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Street Alignment Act 1844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Street Alignment Act 1844</w:t>
            </w:r>
          </w:p>
        </w:tc>
        <w:tc>
          <w:p>
            <w:pPr>
              <w:pStyle w:val="Table01Row"/>
            </w:pPr>
            <w:r>
              <w:t>1844 (8 Vict. No. 8)</w:t>
            </w:r>
          </w:p>
        </w:tc>
        <w:tc>
          <w:p>
            <w:pPr>
              <w:pStyle w:val="Table01Row"/>
            </w:pPr>
            <w:r>
              <w:t>22 Aug 1844</w:t>
            </w:r>
          </w:p>
        </w:tc>
        <w:tc>
          <w:p>
            <w:pPr>
              <w:pStyle w:val="Table01Row"/>
            </w:pPr>
            <w:r>
              <w:rPr/>
              <w:t xml:space="preserve">22 Aug 1844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 Survey Marks Act 1924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1924/008 (15 Geo. V No. 8)</w:t>
            </w:r>
          </w:p>
        </w:tc>
        <w:tc>
          <w:p>
            <w:pPr>
              <w:pStyle w:val="Table01Row"/>
            </w:pPr>
            <w:r>
              <w:t>25 Nov 1924</w:t>
            </w:r>
          </w:p>
        </w:tc>
        <w:tc>
          <w:p>
            <w:pPr>
              <w:pStyle w:val="Table01Row"/>
            </w:pPr>
            <w:r>
              <w:rPr/>
              <w:t xml:space="preserve">25 Nov 1924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48A(2)</w:t>
            </w:r>
          </w:p>
        </w:tc>
        <w:tc>
          <w:p>
            <w:pPr>
              <w:pStyle w:val="Table01Row"/>
            </w:pPr>
            <w:r>
              <w:t>1935/035 (26 Geo. V No. 35) (as amended by 1954/073 s. 5)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 (see s. 48A which was inserted by 1954/073 s. 5)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75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Dec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s. 452(2)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Oct 2012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Street Alignment Act 1844</vt:lpwstr>
  </property>
  <property pid="3" name="IDAct" fmtid="{D5CDD505-2E9C-101B-9397-08002B2CF9AE}">
    <vt:lpwstr>797</vt:lpwstr>
  </property>
  <property pid="4" name="ChangedDate" fmtid="{D5CDD505-2E9C-101B-9397-08002B2CF9AE}">
    <vt:lpwstr>20260804144154</vt:lpwstr>
  </property>
</Properties>
</file>