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British Imperial Oil Company, Limited (Private) Act 1925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British Imperial Oil Company, Limited (Private) Act 1925</w:t>
            </w:r>
          </w:p>
        </w:tc>
        <w:tc>
          <w:p>
            <w:pPr>
              <w:pStyle w:val="Table01Row"/>
            </w:pPr>
            <w:r>
              <w:t>1925 (16 Geo. V Prvt Act)</w:t>
            </w:r>
          </w:p>
        </w:tc>
        <w:tc>
          <w:p>
            <w:pPr>
              <w:pStyle w:val="Table01Row"/>
            </w:pPr>
            <w:r>
              <w:t>31 Dec 1925</w:t>
            </w:r>
          </w:p>
        </w:tc>
        <w:tc>
          <w:p>
            <w:pPr>
              <w:pStyle w:val="Table01Row"/>
            </w:pPr>
            <w:r>
              <w:rPr/>
              <w:t xml:space="preserve">31 Dec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Transport Authority Act 2003</w:t>
            </w:r>
            <w:r>
              <w:t xml:space="preserve"> </w:t>
              <w:t>s. 144</w:t>
            </w:r>
          </w:p>
        </w:tc>
        <w:tc>
          <w:p>
            <w:pPr>
              <w:pStyle w:val="Table01Row"/>
            </w:pPr>
            <w:r>
              <w:t>2003/031</w:t>
            </w:r>
          </w:p>
        </w:tc>
        <w:tc>
          <w:p>
            <w:pPr>
              <w:pStyle w:val="Table01Row"/>
            </w:pPr>
            <w:r>
              <w:t>26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30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Apr 2004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British Imperial Oil Company, Limited (Private) Act 1925</vt:lpwstr>
  </property>
  <property pid="3" name="IDAct" fmtid="{D5CDD505-2E9C-101B-9397-08002B2CF9AE}">
    <vt:lpwstr>81</vt:lpwstr>
  </property>
  <property pid="4" name="ChangedDate" fmtid="{D5CDD505-2E9C-101B-9397-08002B2CF9AE}">
    <vt:lpwstr>20250702000752</vt:lpwstr>
  </property>
</Properties>
</file>