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T</w:t>
      </w:r>
    </w:p>
    <w:p>
      <w:pPr>
        <w:pStyle w:val="IActName"/>
      </w:pPr>
      <w:r>
        <w:t>Trans‑Continental Railway Act 1911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Transport and Major Infrastructure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Transport and Major Infrastructure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Trans‑Continental Railway Act 1911</w:t>
            </w:r>
          </w:p>
        </w:tc>
        <w:tc>
          <w:p>
            <w:pPr>
              <w:pStyle w:val="Table01Row"/>
            </w:pPr>
            <w:r>
              <w:t>1912/006 (2 Geo. V No. 14)</w:t>
            </w:r>
          </w:p>
        </w:tc>
        <w:tc>
          <w:p>
            <w:pPr>
              <w:pStyle w:val="Table01Row"/>
            </w:pPr>
            <w:r>
              <w:t>9 Jan 1912</w:t>
            </w:r>
          </w:p>
        </w:tc>
        <w:tc>
          <w:p>
            <w:pPr>
              <w:pStyle w:val="Table01Row"/>
            </w:pPr>
            <w:r>
              <w:rPr/>
              <w:t xml:space="preserve">9 Jan 1912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3 Aug 2007 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Trans-Continental Railway Act 1911</vt:lpwstr>
  </property>
  <property pid="3" name="IDAct" fmtid="{D5CDD505-2E9C-101B-9397-08002B2CF9AE}">
    <vt:lpwstr>827</vt:lpwstr>
  </property>
  <property pid="4" name="ChangedDate" fmtid="{D5CDD505-2E9C-101B-9397-08002B2CF9AE}">
    <vt:lpwstr>20260804143232</vt:lpwstr>
  </property>
</Properties>
</file>