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V</w:t>
      </w:r>
    </w:p>
    <w:p>
      <w:pPr>
        <w:pStyle w:val="IActName"/>
      </w:pPr>
      <w:r>
        <w:t>Victims of Crime Act 1994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Victims of Crime Act 1994</w:t>
            </w:r>
          </w:p>
        </w:tc>
        <w:tc>
          <w:p>
            <w:pPr>
              <w:pStyle w:val="Table01Row"/>
            </w:pPr>
            <w:r>
              <w:t>1994/081</w:t>
            </w:r>
          </w:p>
        </w:tc>
        <w:tc>
          <w:p>
            <w:pPr>
              <w:pStyle w:val="Table01Row"/>
            </w:pPr>
            <w:r>
              <w:t>23 Dec 1994</w:t>
            </w:r>
          </w:p>
        </w:tc>
        <w:tc>
          <w:p>
            <w:pPr>
              <w:pStyle w:val="Table01Row"/>
            </w:pPr>
            <w:r>
              <w:rPr/>
              <w:t xml:space="preserve">20 Jan 1995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Pt. 79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Victims of Crime Amendment Act 2004</w:t>
            </w:r>
          </w:p>
        </w:tc>
        <w:tc>
          <w:p>
            <w:pPr>
              <w:pStyle w:val="Table01Row"/>
            </w:pPr>
            <w:r>
              <w:t>2004/030</w:t>
            </w:r>
          </w:p>
        </w:tc>
        <w:tc>
          <w:p>
            <w:pPr>
              <w:pStyle w:val="Table01Row"/>
            </w:pPr>
            <w:r>
              <w:t>14 Oct 2004</w:t>
            </w:r>
          </w:p>
        </w:tc>
        <w:tc>
          <w:p>
            <w:pPr>
              <w:pStyle w:val="Table01Row"/>
            </w:pPr>
            <w:r>
              <w:rPr/>
              <w:t xml:space="preserve">14 Oct 2004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4 Mar 2005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Parole and Sentencing Legislation Amendment Act 2006</w:t>
            </w:r>
            <w:r>
              <w:t xml:space="preserve"> </w:t>
              <w:t>s. 97</w:t>
            </w:r>
          </w:p>
        </w:tc>
        <w:tc>
          <w:p>
            <w:pPr>
              <w:pStyle w:val="Table01Row"/>
            </w:pPr>
            <w:r>
              <w:t>2006/041</w:t>
            </w:r>
          </w:p>
        </w:tc>
        <w:tc>
          <w:p>
            <w:pPr>
              <w:pStyle w:val="Table01Row"/>
            </w:pPr>
            <w:r>
              <w:t>22 Sep 2006</w:t>
            </w:r>
          </w:p>
        </w:tc>
        <w:tc>
          <w:p>
            <w:pPr>
              <w:pStyle w:val="Table01Row"/>
            </w:pPr>
            <w:r>
              <w:rPr/>
              <w:t xml:space="preserve">28 Jan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2006 p. 5867)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Prisons and Sentencing Legislation Amendment Act 2006</w:t>
            </w:r>
            <w:r>
              <w:t xml:space="preserve"> </w:t>
              <w:t>Pt. 12</w:t>
            </w:r>
          </w:p>
        </w:tc>
        <w:tc>
          <w:p>
            <w:pPr>
              <w:pStyle w:val="Table01Row"/>
            </w:pPr>
            <w:r>
              <w:t>2006/065</w:t>
            </w:r>
          </w:p>
        </w:tc>
        <w:tc>
          <w:p>
            <w:pPr>
              <w:pStyle w:val="Table01Row"/>
            </w:pPr>
            <w:r>
              <w:t>8 Dec 2006</w:t>
            </w:r>
          </w:p>
        </w:tc>
        <w:tc>
          <w:p>
            <w:pPr>
              <w:pStyle w:val="Table01Row"/>
            </w:pPr>
            <w:r>
              <w:rPr/>
              <w:t xml:space="preserve">4 Apr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Apr 2007 p. 1491)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(Justice) Act 2008</w:t>
            </w:r>
            <w:r>
              <w:t xml:space="preserve"> </w:t>
              <w:t>Pt. 25</w:t>
            </w:r>
          </w:p>
        </w:tc>
        <w:tc>
          <w:p>
            <w:pPr>
              <w:pStyle w:val="Table01Row"/>
            </w:pPr>
            <w:r>
              <w:t>2008/005</w:t>
            </w:r>
          </w:p>
        </w:tc>
        <w:tc>
          <w:p>
            <w:pPr>
              <w:pStyle w:val="Table01Row"/>
            </w:pPr>
            <w:r>
              <w:t>31 Mar 2008</w:t>
            </w:r>
          </w:p>
        </w:tc>
        <w:tc>
          <w:p>
            <w:pPr>
              <w:pStyle w:val="Table01Row"/>
            </w:pPr>
            <w:r>
              <w:rPr/>
              <w:t xml:space="preserve">30 Sep 2008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11 Jul 2008 p. 3253)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28 Oct 2011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(Mental Impairment) Act 2023</w:t>
            </w:r>
            <w:r>
              <w:t xml:space="preserve"> </w:t>
              <w:t>s. 411</w:t>
            </w:r>
          </w:p>
        </w:tc>
        <w:tc>
          <w:p>
            <w:pPr>
              <w:pStyle w:val="Table01Row"/>
            </w:pPr>
            <w:r>
              <w:t>2023/010</w:t>
            </w:r>
          </w:p>
        </w:tc>
        <w:tc>
          <w:p>
            <w:pPr>
              <w:pStyle w:val="Table01Row"/>
            </w:pPr>
            <w:r>
              <w:t>13 Apr 2023</w:t>
            </w:r>
          </w:p>
        </w:tc>
        <w:tc>
          <w:p>
            <w:pPr>
              <w:pStyle w:val="Table01Row"/>
            </w:pPr>
            <w:r>
              <w:rPr/>
              <w:t xml:space="preserve">1 Sep 2024 (see s. 2(b) and SL 2024/175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Victims of Crime Act 1994</vt:lpwstr>
  </property>
  <property pid="3" name="IDAct" fmtid="{D5CDD505-2E9C-101B-9397-08002B2CF9AE}">
    <vt:lpwstr>857</vt:lpwstr>
  </property>
  <property pid="4" name="ChangedDate" fmtid="{D5CDD505-2E9C-101B-9397-08002B2CF9AE}">
    <vt:lpwstr>20250402124410</vt:lpwstr>
  </property>
</Properties>
</file>