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body>
    <w:p>
      <w:pPr>
        <w:pStyle w:val="IAlphabetDivider"/>
      </w:pPr>
      <w:r>
        <w:t>W</w:t>
      </w:r>
    </w:p>
    <w:p>
      <w:pPr>
        <w:pStyle w:val="IActName"/>
      </w:pPr>
      <w:r>
        <w:t>Witness Protection (Western Australia) Act 1996</w:t>
      </w:r>
    </w:p>
    <w:tbl>
      <w:tblPr>
        <w:tblW w:w="0" w:type="auto"/>
        <w:tblLayout w:type="fixed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4"/>
        <w:gridCol w:w="8505"/>
      </w:tblGrid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Portfolio:</w:t>
            </w:r>
          </w:p>
        </w:tc>
        <w:tc>
          <w:p>
            <w:pPr>
              <w:pStyle w:val="Table01Row"/>
              <w:keepNext/>
            </w:pPr>
            <w:r>
              <w:t>Minister for Police</w:t>
            </w:r>
          </w:p>
        </w:tc>
      </w:tr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Agency:</w:t>
            </w:r>
          </w:p>
        </w:tc>
        <w:tc>
          <w:p>
            <w:pPr>
              <w:pStyle w:val="Table01Row"/>
              <w:keepNext/>
            </w:pPr>
            <w:r>
              <w:t>Police Service</w:t>
            </w:r>
          </w:p>
        </w:tc>
      </w:tr>
    </w:tbl>
    <w:p>
      <w:pPr>
        <w:keepNext/>
      </w:pPr>
    </w:p>
    <w:tbl>
      <w:tblPr>
        <w:tblW w:w="0" w:type="auto"/>
        <w:tblLayout w:type="fixed"/>
        <w:jc w:val="center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4253"/>
        <w:gridCol w:w="1134"/>
        <w:gridCol w:w="1134"/>
        <w:gridCol w:w="3686"/>
      </w:tblGrid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Witness Protection (Western Australia) Act 1996</w:t>
            </w:r>
          </w:p>
        </w:tc>
        <w:tc>
          <w:p>
            <w:pPr>
              <w:pStyle w:val="Table01Row"/>
            </w:pPr>
            <w:r>
              <w:t>1996/011</w:t>
            </w:r>
          </w:p>
        </w:tc>
        <w:tc>
          <w:p>
            <w:pPr>
              <w:pStyle w:val="Table01Row"/>
            </w:pPr>
            <w:r>
              <w:t>28 Jun 1996</w:t>
            </w:r>
          </w:p>
        </w:tc>
        <w:tc>
          <w:p>
            <w:pPr>
              <w:pStyle w:val="Table01Row"/>
            </w:pPr>
            <w:r>
              <w:rPr/>
              <w:t xml:space="preserve">s. 1 &amp; 2: 28 Jun 1996;</w:t>
            </w:r>
          </w:p>
          <w:p>
            <w:pPr>
              <w:pStyle w:val="Table01Row"/>
            </w:pPr>
            <w:r>
              <w:rPr/>
              <w:t xml:space="preserve">Act other than s. 1 &amp; 2: 7 Dec 1996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6 Dec 1996 p. 6699)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Statutes (Repeals and Minor Amendments) Act 1997</w:t>
            </w:r>
            <w:r>
              <w:t xml:space="preserve"> </w:t>
              <w:t>s. 133</w:t>
            </w:r>
          </w:p>
        </w:tc>
        <w:tc>
          <w:p>
            <w:pPr>
              <w:pStyle w:val="Table01Row"/>
            </w:pPr>
            <w:r>
              <w:t>1997/057</w:t>
            </w:r>
          </w:p>
        </w:tc>
        <w:tc>
          <w:p>
            <w:pPr>
              <w:pStyle w:val="Table01Row"/>
            </w:pPr>
            <w:r>
              <w:t>15 Dec 1997</w:t>
            </w:r>
          </w:p>
        </w:tc>
        <w:tc>
          <w:p>
            <w:pPr>
              <w:pStyle w:val="Table01Row"/>
            </w:pPr>
            <w:r>
              <w:rPr/>
              <w:t xml:space="preserve">28 Jun 1996 (see s. 2(2))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Acts Repeal and Amendment (Births, Deaths and Marriages Registration) Act 1998</w:t>
            </w:r>
            <w:r>
              <w:t xml:space="preserve"> </w:t>
              <w:t>s. 18</w:t>
            </w:r>
          </w:p>
        </w:tc>
        <w:tc>
          <w:p>
            <w:pPr>
              <w:pStyle w:val="Table01Row"/>
            </w:pPr>
            <w:r>
              <w:t>1998/040</w:t>
            </w:r>
          </w:p>
        </w:tc>
        <w:tc>
          <w:p>
            <w:pPr>
              <w:pStyle w:val="Table01Row"/>
            </w:pPr>
            <w:r>
              <w:t>30 Oct 1998</w:t>
            </w:r>
          </w:p>
        </w:tc>
        <w:tc>
          <w:p>
            <w:pPr>
              <w:pStyle w:val="Table01Row"/>
            </w:pPr>
            <w:r>
              <w:rPr/>
              <w:t xml:space="preserve">14 Apr 1999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9 Apr 1999 p. 1433)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Corruption and Crime Commission Act 2003</w:t>
            </w:r>
            <w:r>
              <w:t xml:space="preserve"> </w:t>
              <w:t>Sch. 4 cl. 11</w:t>
            </w:r>
          </w:p>
        </w:tc>
        <w:tc>
          <w:p>
            <w:pPr>
              <w:pStyle w:val="Table01Row"/>
            </w:pPr>
            <w:r>
              <w:t>2003/048</w:t>
            </w:r>
          </w:p>
        </w:tc>
        <w:tc>
          <w:p>
            <w:pPr>
              <w:pStyle w:val="Table01Row"/>
            </w:pPr>
            <w:r>
              <w:t>3 Jul 2003</w:t>
            </w:r>
          </w:p>
        </w:tc>
        <w:tc>
          <w:p>
            <w:pPr>
              <w:pStyle w:val="Table01Row"/>
            </w:pPr>
            <w:r>
              <w:rPr/>
              <w:t xml:space="preserve">1 Jan 2004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30 Dec 2003 p. 5723)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 1 as at 10 Oct 2003 (not including 2003/048)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Criminal Code Amendment Act 2004</w:t>
            </w:r>
            <w:r>
              <w:t xml:space="preserve"> </w:t>
              <w:t>s. 58</w:t>
            </w:r>
          </w:p>
        </w:tc>
        <w:tc>
          <w:p>
            <w:pPr>
              <w:pStyle w:val="Table01Row"/>
            </w:pPr>
            <w:r>
              <w:t>2004/004</w:t>
            </w:r>
          </w:p>
        </w:tc>
        <w:tc>
          <w:p>
            <w:pPr>
              <w:pStyle w:val="Table01Row"/>
            </w:pPr>
            <w:r>
              <w:t>23 Apr 2004</w:t>
            </w:r>
          </w:p>
        </w:tc>
        <w:tc>
          <w:p>
            <w:pPr>
              <w:pStyle w:val="Table01Row"/>
            </w:pPr>
            <w:r>
              <w:rPr/>
              <w:t xml:space="preserve">21 May 2004 (see s. 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Australian Crime Commission (Western Australia) Act 2004</w:t>
            </w:r>
            <w:r>
              <w:t xml:space="preserve"> </w:t>
              <w:t>s. 75</w:t>
            </w:r>
          </w:p>
        </w:tc>
        <w:tc>
          <w:p>
            <w:pPr>
              <w:pStyle w:val="Table01Row"/>
            </w:pPr>
            <w:r>
              <w:t>2004/074</w:t>
            </w:r>
          </w:p>
        </w:tc>
        <w:tc>
          <w:p>
            <w:pPr>
              <w:pStyle w:val="Table01Row"/>
            </w:pPr>
            <w:r>
              <w:t>8 Dec 2004</w:t>
            </w:r>
          </w:p>
        </w:tc>
        <w:tc>
          <w:p>
            <w:pPr>
              <w:pStyle w:val="Table01Row"/>
            </w:pPr>
            <w:r>
              <w:rPr/>
              <w:t xml:space="preserve">1 Feb 2005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31 Dec 2004 p. 7130)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Financial Legislation Amendment and Repeal Act 2006</w:t>
            </w:r>
            <w:r>
              <w:t xml:space="preserve"> </w:t>
              <w:t>Sch. 1 cl. 188</w:t>
            </w:r>
          </w:p>
        </w:tc>
        <w:tc>
          <w:p>
            <w:pPr>
              <w:pStyle w:val="Table01Row"/>
            </w:pPr>
            <w:r>
              <w:t>2006/077</w:t>
            </w:r>
          </w:p>
        </w:tc>
        <w:tc>
          <w:p>
            <w:pPr>
              <w:pStyle w:val="Table01Row"/>
            </w:pPr>
            <w:r>
              <w:t>21 Dec 2006</w:t>
            </w:r>
          </w:p>
        </w:tc>
        <w:tc>
          <w:p>
            <w:pPr>
              <w:pStyle w:val="Table01Row"/>
            </w:pPr>
            <w:r>
              <w:rPr/>
              <w:t xml:space="preserve">1 Feb 2007 (see s. 2(1) and </w:t>
            </w:r>
            <w:r>
              <w:rPr>
                <w:i/>
              </w:rPr>
              <w:t xml:space="preserve">Gazette</w:t>
            </w:r>
            <w:r>
              <w:rPr/>
              <w:t xml:space="preserve"> 19 Jan 2007 p. 137)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Police Amendment Act 2008</w:t>
            </w:r>
            <w:r>
              <w:t xml:space="preserve"> </w:t>
              <w:t>s. 22 &amp; 23(9)</w:t>
            </w:r>
          </w:p>
        </w:tc>
        <w:tc>
          <w:p>
            <w:pPr>
              <w:pStyle w:val="Table01Row"/>
            </w:pPr>
            <w:r>
              <w:t>2008/008</w:t>
            </w:r>
          </w:p>
        </w:tc>
        <w:tc>
          <w:p>
            <w:pPr>
              <w:pStyle w:val="Table01Row"/>
            </w:pPr>
            <w:r>
              <w:t>31 Mar 2008</w:t>
            </w:r>
          </w:p>
        </w:tc>
        <w:tc>
          <w:p>
            <w:pPr>
              <w:pStyle w:val="Table01Row"/>
            </w:pPr>
            <w:r>
              <w:rPr/>
              <w:t xml:space="preserve">s. 22: 1 Apr 2008 (see s. 2(1));</w:t>
            </w:r>
          </w:p>
          <w:p>
            <w:pPr>
              <w:pStyle w:val="Table01Row"/>
            </w:pPr>
            <w:r>
              <w:rPr/>
              <w:t xml:space="preserve">s. 23(9): 21 Jun 2008 (see s. 2(2) and </w:t>
            </w:r>
            <w:r>
              <w:rPr>
                <w:i/>
              </w:rPr>
              <w:t xml:space="preserve">Gazette</w:t>
            </w:r>
            <w:r>
              <w:rPr/>
              <w:t xml:space="preserve"> 20 Jun 2008 p. 2706)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 2 as at 8 Aug 2008 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Criminal Investigation (Covert Powers) Act 2012</w:t>
            </w:r>
            <w:r>
              <w:t xml:space="preserve"> </w:t>
              <w:t>Pt. 11</w:t>
            </w:r>
          </w:p>
        </w:tc>
        <w:tc>
          <w:p>
            <w:pPr>
              <w:pStyle w:val="Table01Row"/>
            </w:pPr>
            <w:r>
              <w:t>2012/055</w:t>
            </w:r>
          </w:p>
        </w:tc>
        <w:tc>
          <w:p>
            <w:pPr>
              <w:pStyle w:val="Table01Row"/>
            </w:pPr>
            <w:r>
              <w:t>3 Dec 2012</w:t>
            </w:r>
          </w:p>
        </w:tc>
        <w:tc>
          <w:p>
            <w:pPr>
              <w:pStyle w:val="Table01Row"/>
            </w:pPr>
            <w:r>
              <w:rPr/>
              <w:t xml:space="preserve">1 Mar 2013 (see s. 2(b) and </w:t>
            </w:r>
            <w:r>
              <w:rPr>
                <w:i/>
              </w:rPr>
              <w:t xml:space="preserve">Gazette</w:t>
            </w:r>
            <w:r>
              <w:rPr/>
              <w:t xml:space="preserve"> 25 Jan 2013 p. 271)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Corruption and Crime Commission Amendment (Misconduct) Act 2014</w:t>
            </w:r>
            <w:r>
              <w:t xml:space="preserve"> </w:t>
              <w:t>s. 39</w:t>
            </w:r>
          </w:p>
        </w:tc>
        <w:tc>
          <w:p>
            <w:pPr>
              <w:pStyle w:val="Table01Row"/>
            </w:pPr>
            <w:r>
              <w:t>2014/035</w:t>
            </w:r>
          </w:p>
        </w:tc>
        <w:tc>
          <w:p>
            <w:pPr>
              <w:pStyle w:val="Table01Row"/>
            </w:pPr>
            <w:r>
              <w:t>9 Dec 2014</w:t>
            </w:r>
          </w:p>
        </w:tc>
        <w:tc>
          <w:p>
            <w:pPr>
              <w:pStyle w:val="Table01Row"/>
            </w:pPr>
            <w:r>
              <w:rPr/>
              <w:t xml:space="preserve">1 Jul 2015 (see s. 2(b) and </w:t>
            </w:r>
            <w:r>
              <w:rPr>
                <w:i/>
              </w:rPr>
              <w:t xml:space="preserve">Gazette</w:t>
            </w:r>
            <w:r>
              <w:rPr/>
              <w:t xml:space="preserve"> 26 Jun 2015 p. 2235)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Legal Profession Uniform Law Application Act 2022</w:t>
            </w:r>
            <w:r>
              <w:t xml:space="preserve"> </w:t>
              <w:t>s. 424</w:t>
            </w:r>
          </w:p>
        </w:tc>
        <w:tc>
          <w:p>
            <w:pPr>
              <w:pStyle w:val="Table01Row"/>
            </w:pPr>
            <w:r>
              <w:t>2022/009</w:t>
            </w:r>
          </w:p>
        </w:tc>
        <w:tc>
          <w:p>
            <w:pPr>
              <w:pStyle w:val="Table01Row"/>
            </w:pPr>
            <w:r>
              <w:t>14 Apr 2022</w:t>
            </w:r>
          </w:p>
        </w:tc>
        <w:tc>
          <w:p>
            <w:pPr>
              <w:pStyle w:val="Table01Row"/>
            </w:pPr>
            <w:r>
              <w:rPr/>
              <w:t xml:space="preserve">1 Jul 2022 (see s. 2(c) and SL 2022/113 cl. 2)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Editorial changes as at 4 Apr 2025 </w:t>
            </w:r>
          </w:p>
        </w:tc>
      </w:tr>
    </w:tbl>
    <w:sectPr>
      <w:headerReference w:type="even" r:id="rId8"/>
      <w:headerReference w:type="default" r:id="rId9"/>
      <w:footerReference w:type="even" r:id="rId10"/>
      <w:footerReference w:type="default" r:id="rId11"/>
      <w:pgSz w:w="11906" w:h="16838" w:code="9"/>
      <w:pgMar w:top="851" w:right="851" w:bottom="851" w:left="851" w:header="851" w:footer="851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line="20" w:lineRule="exact"/>
      </w:pPr>
    </w:p>
  </w:endnote>
  <w:endnote w:type="continuationSeparator" w:id="0">
    <w:p>
      <w:r>
        <w:t xml:space="preserve"> </w:t>
      </w:r>
    </w:p>
  </w:endnote>
  <w:endnote w:type="continuationNotice" w:id="1">
    <w:p>
      <w:r>
        <w:t xml:space="preserve">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ewCenturySchlbk">
    <w:altName w:val="Century Schoolbook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</w:pP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er2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  <w:rPr>
        <w:sz w:val="10"/>
      </w:rPr>
    </w:pPr>
    <w:r>
      <w:tab/>
    </w: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</w:rPr>
      <w:t>Error! No text of specified style in document.</w:t>
    </w:r>
    <w:r>
      <w:rPr>
        <w:b/>
      </w:rPr>
      <w:fldChar w:fldCharType="end"/>
    </w:r>
    <w:r>
      <w:tab/>
      <w:t xml:space="preserve">Table 1 — Acts in force</w:t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header2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tab/>
      <w:t xml:space="preserve">Table 1 — Acts in force</w:t>
    </w: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  <w:lang w:val="en-US"/>
      </w:rPr>
      <w:t>Error! No text of specified style in document.</w:t>
    </w:r>
    <w:r>
      <w:rPr>
        <w:b/>
      </w:rPr>
      <w:fldChar w:fldCharType="end"/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tblHeader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12C6A94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58EA9DE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E676F2D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D8B4263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626AE1C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1864EE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C832B94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E902AA9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22468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222F5B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5716D3"/>
    <w:multiLevelType w:val="multilevel"/>
    <w:tmpl w:val="60309F98"/>
    <w:name w:val="ScheduleNumberedItems"/>
    <w:lvl w:ilvl="0">
      <w:start w:val="1"/>
      <w:numFmt w:val="decimal"/>
      <w:suff w:val="nothing"/>
      <w:lvlText w:val="%1"/>
      <w:lvlJc w:val="left"/>
      <w:pPr>
        <w:ind w:left="0" w:firstLine="0"/>
      </w:pPr>
      <w:rPr>
        <w:b w:val="0"/>
        <w:i w:val="0"/>
      </w:rPr>
    </w:lvl>
    <w:lvl w:ilvl="1">
      <w:start w:val="1"/>
      <w:numFmt w:val="lowerLetter"/>
      <w:lvlText w:val="%2)"/>
      <w:lvlJc w:val="left"/>
      <w:pPr>
        <w:tabs>
          <w:tab w:val="num" w:pos="360"/>
        </w:tabs>
        <w:ind w:left="0" w:firstLine="0"/>
      </w:pPr>
    </w:lvl>
    <w:lvl w:ilvl="2">
      <w:start w:val="1"/>
      <w:numFmt w:val="lowerRoman"/>
      <w:lvlText w:val="%3)"/>
      <w:lvlJc w:val="left"/>
      <w:pPr>
        <w:tabs>
          <w:tab w:val="num" w:pos="720"/>
        </w:tabs>
        <w:ind w:left="0" w:firstLine="0"/>
      </w:pPr>
    </w:lvl>
    <w:lvl w:ilvl="3">
      <w:start w:val="1"/>
      <w:numFmt w:val="decimal"/>
      <w:lvlText w:val="(%4)"/>
      <w:lvlJc w:val="left"/>
      <w:pPr>
        <w:tabs>
          <w:tab w:val="num" w:pos="360"/>
        </w:tabs>
        <w:ind w:left="0" w:firstLine="0"/>
      </w:pPr>
    </w:lvl>
    <w:lvl w:ilvl="4">
      <w:start w:val="1"/>
      <w:numFmt w:val="lowerLetter"/>
      <w:lvlText w:val="(%5)"/>
      <w:lvlJc w:val="left"/>
      <w:pPr>
        <w:tabs>
          <w:tab w:val="num" w:pos="360"/>
        </w:tabs>
        <w:ind w:left="0" w:firstLine="0"/>
      </w:pPr>
    </w:lvl>
    <w:lvl w:ilvl="5">
      <w:start w:val="1"/>
      <w:numFmt w:val="lowerRoman"/>
      <w:lvlText w:val="(%6)"/>
      <w:lvlJc w:val="left"/>
      <w:pPr>
        <w:tabs>
          <w:tab w:val="num" w:pos="7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36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36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720"/>
        </w:tabs>
        <w:ind w:left="0" w:firstLine="0"/>
      </w:pPr>
    </w:lvl>
  </w:abstractNum>
  <w:abstractNum w:abstractNumId="11" w15:restartNumberingAfterBreak="0">
    <w:nsid w:val="02411BE1"/>
    <w:multiLevelType w:val="singleLevel"/>
    <w:tmpl w:val="94B8C984"/>
    <w:lvl w:ilvl="0">
      <w:start w:val="7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2" w15:restartNumberingAfterBreak="0">
    <w:nsid w:val="03E34CD7"/>
    <w:multiLevelType w:val="multilevel"/>
    <w:tmpl w:val="83749112"/>
    <w:name w:val="def"/>
    <w:lvl w:ilvl="0">
      <w:start w:val="1"/>
      <w:numFmt w:val="decimal"/>
      <w:lvlText w:val="%1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lowerLetter"/>
      <w:lvlText w:val="(%2)"/>
      <w:lvlJc w:val="right"/>
      <w:pPr>
        <w:tabs>
          <w:tab w:val="num" w:pos="1800"/>
        </w:tabs>
        <w:ind w:left="1800" w:hanging="288"/>
      </w:pPr>
    </w:lvl>
    <w:lvl w:ilvl="2">
      <w:start w:val="1"/>
      <w:numFmt w:val="lowerRoman"/>
      <w:lvlText w:val="(%3)"/>
      <w:lvlJc w:val="right"/>
      <w:pPr>
        <w:tabs>
          <w:tab w:val="num" w:pos="2376"/>
        </w:tabs>
        <w:ind w:left="2376" w:hanging="288"/>
      </w:pPr>
    </w:lvl>
    <w:lvl w:ilvl="3">
      <w:start w:val="1"/>
      <w:numFmt w:val="upperRoman"/>
      <w:lvlText w:val="(%4)"/>
      <w:lvlJc w:val="right"/>
      <w:pPr>
        <w:tabs>
          <w:tab w:val="num" w:pos="2952"/>
        </w:tabs>
        <w:ind w:left="2952" w:hanging="288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3" w15:restartNumberingAfterBreak="0">
    <w:nsid w:val="0F3C3412"/>
    <w:multiLevelType w:val="multilevel"/>
    <w:tmpl w:val="4968A1EE"/>
    <w:name w:val="mainnumbers"/>
    <w:lvl w:ilvl="0">
      <w:start w:val="1"/>
      <w:numFmt w:val="none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4" w15:restartNumberingAfterBreak="0">
    <w:nsid w:val="138B63E2"/>
    <w:multiLevelType w:val="multilevel"/>
    <w:tmpl w:val="3B4E73C2"/>
    <w:name w:val="SectionNumbers"/>
    <w:lvl w:ilvl="0">
      <w:start w:val="1"/>
      <w:numFmt w:val="decimal"/>
      <w:lvlRestart w:val="0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5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6" w15:restartNumberingAfterBreak="0">
    <w:nsid w:val="213A7538"/>
    <w:multiLevelType w:val="singleLevel"/>
    <w:tmpl w:val="47388A70"/>
    <w:lvl w:ilvl="0">
      <w:start w:val="5"/>
      <w:numFmt w:val="decimal"/>
      <w:lvlText w:val="(%1)"/>
      <w:lvlJc w:val="left"/>
      <w:pPr>
        <w:tabs>
          <w:tab w:val="num" w:pos="1620"/>
        </w:tabs>
        <w:ind w:left="1620" w:hanging="525"/>
      </w:pPr>
      <w:rPr>
        <w:rFonts w:hint="default"/>
      </w:rPr>
    </w:lvl>
  </w:abstractNum>
  <w:abstractNum w:abstractNumId="17" w15:restartNumberingAfterBreak="0">
    <w:nsid w:val="22FF52EB"/>
    <w:multiLevelType w:val="multilevel"/>
    <w:tmpl w:val="033A45D2"/>
    <w:name w:val="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8" w15:restartNumberingAfterBreak="0">
    <w:nsid w:val="27855774"/>
    <w:multiLevelType w:val="singleLevel"/>
    <w:tmpl w:val="97B47F60"/>
    <w:lvl w:ilvl="0">
      <w:start w:val="2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9" w15:restartNumberingAfterBreak="0">
    <w:nsid w:val="29E57463"/>
    <w:multiLevelType w:val="multilevel"/>
    <w:tmpl w:val="8B7471A8"/>
    <w:name w:val="defs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0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1" w15:restartNumberingAfterBreak="0">
    <w:nsid w:val="2CE7501A"/>
    <w:multiLevelType w:val="multilevel"/>
    <w:tmpl w:val="011E435C"/>
    <w:name w:val="defs2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2" w15:restartNumberingAfterBreak="0">
    <w:nsid w:val="30BF5862"/>
    <w:multiLevelType w:val="multilevel"/>
    <w:tmpl w:val="811EB9CC"/>
    <w:name w:val="headings"/>
    <w:lvl w:ilvl="0">
      <w:start w:val="1"/>
      <w:numFmt w:val="none"/>
      <w:lvlText w:val="%1Chapter  - "/>
      <w:lvlJc w:val="left"/>
      <w:pPr>
        <w:tabs>
          <w:tab w:val="num" w:pos="1080"/>
        </w:tabs>
        <w:ind w:left="360" w:hanging="360"/>
      </w:pPr>
    </w:lvl>
    <w:lvl w:ilvl="1">
      <w:start w:val="1"/>
      <w:numFmt w:val="none"/>
      <w:lvlText w:val="Part - "/>
      <w:lvlJc w:val="left"/>
      <w:pPr>
        <w:tabs>
          <w:tab w:val="num" w:pos="1080"/>
        </w:tabs>
        <w:ind w:left="720" w:hanging="360"/>
      </w:pPr>
    </w:lvl>
    <w:lvl w:ilvl="2">
      <w:start w:val="1"/>
      <w:numFmt w:val="none"/>
      <w:lvlText w:val="Division  - "/>
      <w:lvlJc w:val="left"/>
      <w:pPr>
        <w:tabs>
          <w:tab w:val="num" w:pos="1800"/>
        </w:tabs>
        <w:ind w:left="1080" w:hanging="360"/>
      </w:pPr>
    </w:lvl>
    <w:lvl w:ilvl="3">
      <w:start w:val="1"/>
      <w:numFmt w:val="none"/>
      <w:lvlText w:val="Subdivision - 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3" w15:restartNumberingAfterBreak="0">
    <w:nsid w:val="310F4753"/>
    <w:multiLevelType w:val="multilevel"/>
    <w:tmpl w:val="4F04CBBC"/>
    <w:name w:val="SchedulePart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4" w15:restartNumberingAfterBreak="0">
    <w:nsid w:val="351C33A5"/>
    <w:multiLevelType w:val="multilevel"/>
    <w:tmpl w:val="6A7E0364"/>
    <w:name w:val="ScheduleSection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5" w15:restartNumberingAfterBreak="0">
    <w:nsid w:val="3C2808C0"/>
    <w:multiLevelType w:val="singleLevel"/>
    <w:tmpl w:val="BDD2BB06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26" w15:restartNumberingAfterBreak="0">
    <w:nsid w:val="4A985E84"/>
    <w:multiLevelType w:val="multilevel"/>
    <w:tmpl w:val="B17C9440"/>
    <w:name w:val="heading"/>
    <w:lvl w:ilvl="0">
      <w:start w:val="1"/>
      <w:numFmt w:val="decimal"/>
      <w:suff w:val="space"/>
      <w:lvlText w:val="Chapter %1 — "/>
      <w:lvlJc w:val="left"/>
      <w:pPr>
        <w:ind w:left="0" w:firstLine="0"/>
      </w:pPr>
    </w:lvl>
    <w:lvl w:ilvl="1">
      <w:start w:val="1"/>
      <w:numFmt w:val="decimal"/>
      <w:suff w:val="space"/>
      <w:lvlText w:val="Part %2 — "/>
      <w:lvlJc w:val="left"/>
      <w:pPr>
        <w:ind w:left="0" w:firstLine="0"/>
      </w:pPr>
    </w:lvl>
    <w:lvl w:ilvl="2">
      <w:start w:val="1"/>
      <w:numFmt w:val="decimal"/>
      <w:suff w:val="space"/>
      <w:lvlText w:val="Division %3 — "/>
      <w:lvlJc w:val="left"/>
      <w:pPr>
        <w:ind w:left="0" w:firstLine="0"/>
      </w:pPr>
    </w:lvl>
    <w:lvl w:ilvl="3">
      <w:start w:val="1"/>
      <w:numFmt w:val="decimal"/>
      <w:suff w:val="space"/>
      <w:lvlText w:val="Subdivision %4 — "/>
      <w:lvlJc w:val="left"/>
      <w:pPr>
        <w:ind w:left="0" w:firstLine="0"/>
      </w:pPr>
    </w:lvl>
    <w:lvl w:ilvl="4">
      <w:start w:val="1"/>
      <w:numFmt w:val="decimal"/>
      <w:lvlRestart w:val="0"/>
      <w:suff w:val="space"/>
      <w:lvlText w:val="%5. "/>
      <w:lvlJc w:val="left"/>
      <w:pPr>
        <w:ind w:left="893" w:hanging="893"/>
      </w:pPr>
    </w:lvl>
    <w:lvl w:ilvl="5">
      <w:start w:val="1"/>
      <w:numFmt w:val="decimal"/>
      <w:suff w:val="nothing"/>
      <w:lvlText w:val="(%6)"/>
      <w:lvlJc w:val="right"/>
      <w:pPr>
        <w:ind w:left="0" w:firstLine="72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7" w15:restartNumberingAfterBreak="0">
    <w:nsid w:val="4D9106A5"/>
    <w:multiLevelType w:val="singleLevel"/>
    <w:tmpl w:val="43F8DBCA"/>
    <w:name w:val="headings1"/>
    <w:lvl w:ilvl="0">
      <w:start w:val="1"/>
      <w:numFmt w:val="lowerRoman"/>
      <w:lvlText w:val="(%1)"/>
      <w:lvlJc w:val="right"/>
      <w:pPr>
        <w:tabs>
          <w:tab w:val="num" w:pos="2376"/>
        </w:tabs>
        <w:ind w:left="2376" w:hanging="288"/>
      </w:pPr>
    </w:lvl>
  </w:abstractNum>
  <w:abstractNum w:abstractNumId="28" w15:restartNumberingAfterBreak="0">
    <w:nsid w:val="5F092D33"/>
    <w:multiLevelType w:val="singleLevel"/>
    <w:tmpl w:val="118EBDB0"/>
    <w:name w:val="headings12"/>
    <w:lvl w:ilvl="0">
      <w:start w:val="1"/>
      <w:numFmt w:val="lowerLetter"/>
      <w:lvlText w:val="(%1)"/>
      <w:lvlJc w:val="right"/>
      <w:pPr>
        <w:tabs>
          <w:tab w:val="num" w:pos="2664"/>
        </w:tabs>
        <w:ind w:left="2664" w:hanging="288"/>
      </w:pPr>
    </w:lvl>
  </w:abstractNum>
  <w:abstractNum w:abstractNumId="29" w15:restartNumberingAfterBreak="0">
    <w:nsid w:val="65D140E9"/>
    <w:multiLevelType w:val="multilevel"/>
    <w:tmpl w:val="EE3E4260"/>
    <w:name w:val="def2"/>
    <w:lvl w:ilvl="0">
      <w:start w:val="1"/>
      <w:numFmt w:val="none"/>
      <w:lvlText w:val="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none"/>
      <w:lvlText w:val=""/>
      <w:lvlJc w:val="right"/>
      <w:pPr>
        <w:tabs>
          <w:tab w:val="num" w:pos="1800"/>
        </w:tabs>
        <w:ind w:left="1800" w:hanging="288"/>
      </w:pPr>
      <w:rPr>
        <w:rFonts w:ascii="NewCenturySchlbk" w:hAnsi="NewCenturySchlbk" w:hint="default"/>
        <w:b w:val="0"/>
        <w:i w:val="0"/>
        <w:sz w:val="22"/>
      </w:rPr>
    </w:lvl>
    <w:lvl w:ilvl="2">
      <w:start w:val="1"/>
      <w:numFmt w:val="none"/>
      <w:lvlText w:val=""/>
      <w:lvlJc w:val="right"/>
      <w:pPr>
        <w:tabs>
          <w:tab w:val="num" w:pos="2376"/>
        </w:tabs>
        <w:ind w:left="2376" w:hanging="288"/>
      </w:pPr>
    </w:lvl>
    <w:lvl w:ilvl="3">
      <w:start w:val="1"/>
      <w:numFmt w:val="none"/>
      <w:lvlText w:val=""/>
      <w:lvlJc w:val="right"/>
      <w:pPr>
        <w:tabs>
          <w:tab w:val="num" w:pos="2952"/>
        </w:tabs>
        <w:ind w:left="2952" w:hanging="288"/>
      </w:p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30" w15:restartNumberingAfterBreak="0">
    <w:nsid w:val="6E4A591E"/>
    <w:multiLevelType w:val="multilevel"/>
    <w:tmpl w:val="76644C80"/>
    <w:name w:val="headings\l7"/>
    <w:lvl w:ilvl="0">
      <w:start w:val="1"/>
      <w:numFmt w:val="decimal"/>
      <w:suff w:val="space"/>
      <w:lvlText w:val="Chapter %1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lowerLetter"/>
      <w:lvlText w:val="(%7)"/>
      <w:lvlJc w:val="right"/>
      <w:pPr>
        <w:tabs>
          <w:tab w:val="num" w:pos="1440"/>
        </w:tabs>
        <w:ind w:left="1440" w:hanging="288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31" w15:restartNumberingAfterBreak="0">
    <w:nsid w:val="6FDE73CC"/>
    <w:multiLevelType w:val="multilevel"/>
    <w:tmpl w:val="E1B8D9A4"/>
    <w:name w:val="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2" w15:restartNumberingAfterBreak="0">
    <w:nsid w:val="77821B5A"/>
    <w:multiLevelType w:val="singleLevel"/>
    <w:tmpl w:val="FEEA0620"/>
    <w:lvl w:ilvl="0">
      <w:start w:val="5"/>
      <w:numFmt w:val="decimal"/>
      <w:lvlText w:val="%1"/>
      <w:lvlJc w:val="left"/>
      <w:pPr>
        <w:tabs>
          <w:tab w:val="num" w:pos="465"/>
        </w:tabs>
        <w:ind w:left="465" w:hanging="465"/>
      </w:pPr>
      <w:rPr>
        <w:rFonts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32"/>
  </w:num>
  <w:num w:numId="11">
    <w:abstractNumId w:val="16"/>
  </w:num>
  <w:num w:numId="12">
    <w:abstractNumId w:val="18"/>
  </w:num>
  <w:num w:numId="13">
    <w:abstractNumId w:val="11"/>
  </w:num>
  <w:num w:numId="14">
    <w:abstractNumId w:val="25"/>
  </w:num>
  <w:num w:numId="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hideSpellingErrors/>
  <w:activeWritingStyle w:appName="MSWord" w:lang="en-AU" w:vendorID="8" w:dllVersion="513" w:checkStyle="1"/>
  <w:activeWritingStyle w:appName="MSWord" w:lang="en-US" w:vendorID="8" w:dllVersion="513" w:checkStyle="1"/>
  <w:proofState w:spelling="clean" w:grammar="clean"/>
  <w:defaultTabStop w:val="720"/>
  <w:hyphenationZone w:val="863"/>
  <w:doNotHyphenateCaps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hdrShapeDefaults>
    <o:shapedefaults v:ext="edit" spidmax="40961"/>
  </w:hdrShapeDefaults>
  <w:footnotePr>
    <w:footnote w:id="-1"/>
    <w:footnote w:id="0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61"/>
    <o:shapelayout v:ext="edit">
      <o:idmap v:ext="edit" data="1"/>
    </o:shapelayout>
  </w:shapeDefaults>
  <w:decimalSymbol w:val="."/>
  <w:listSeparator w:val=","/>
  <w15:docId w15:val="{C21DF542-39DD-4A5F-8DB7-8839CA793E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semiHidden/>
    <w:pPr>
      <w:tabs>
        <w:tab w:val="left" w:pos="284"/>
        <w:tab w:val="center" w:pos="5103"/>
        <w:tab w:val="right" w:pos="9923"/>
      </w:tabs>
      <w:spacing w:after="80"/>
    </w:pPr>
  </w:style>
  <w:style w:type="paragraph" w:styleId="Footer">
    <w:name w:val="footer"/>
    <w:semiHidden/>
    <w:pPr>
      <w:jc w:val="center"/>
    </w:pPr>
    <w:rPr>
      <w:sz w:val="16"/>
    </w:rPr>
  </w:style>
  <w:style w:type="paragraph" w:customStyle="1" w:styleId="IFooter">
    <w:name w:val="IFooter"/>
    <w:semiHidden/>
    <w:pPr>
      <w:pBdr>
        <w:top w:val="single" w:sz="4" w:space="1" w:color="auto"/>
      </w:pBdr>
      <w:tabs>
        <w:tab w:val="right" w:pos="10206"/>
      </w:tabs>
      <w:spacing w:line="260" w:lineRule="atLeast"/>
    </w:pPr>
    <w:rPr>
      <w:i/>
      <w:snapToGrid w:val="0"/>
      <w:sz w:val="16"/>
      <w:lang w:eastAsia="en-US"/>
    </w:r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customStyle="1" w:styleId="IAlphabetDivider">
    <w:name w:val="IAlphabetDivider"/>
    <w:pPr>
      <w:pageBreakBefore/>
      <w:suppressAutoHyphens/>
      <w:jc w:val="center"/>
      <w:outlineLvl w:val="1"/>
    </w:pPr>
    <w:rPr>
      <w:sz w:val="28"/>
    </w:rPr>
  </w:style>
  <w:style w:type="paragraph" w:customStyle="1" w:styleId="ITable">
    <w:name w:val="ITable"/>
    <w:pPr>
      <w:suppressAutoHyphens/>
      <w:jc w:val="center"/>
      <w:outlineLvl w:val="0"/>
    </w:pPr>
    <w:rPr>
      <w:b/>
      <w:sz w:val="32"/>
    </w:rPr>
  </w:style>
  <w:style w:type="paragraph" w:customStyle="1" w:styleId="IActName">
    <w:name w:val="IActName"/>
    <w:basedOn w:val="Normal"/>
    <w:pPr>
      <w:keepNext/>
      <w:suppressAutoHyphens/>
      <w:spacing w:before="240"/>
      <w:ind w:left="284" w:hanging="284"/>
      <w:outlineLvl w:val="2"/>
    </w:pPr>
    <w:rPr>
      <w:b/>
      <w:i/>
      <w:sz w:val="24"/>
    </w:rPr>
  </w:style>
  <w:style w:type="character" w:styleId="Hyperlink">
    <w:name w:val="Hyperlink"/>
    <w:basedOn w:val="DefaultParagraphFont"/>
    <w:semiHidden/>
    <w:rPr>
      <w:color w:val="0000FF"/>
      <w:u w:val="none"/>
    </w:rPr>
  </w:style>
  <w:style w:type="character" w:styleId="FollowedHyperlink">
    <w:name w:val="FollowedHyperlink"/>
    <w:basedOn w:val="DefaultParagraphFont"/>
    <w:semiHidden/>
    <w:rPr>
      <w:color w:val="800080"/>
      <w:u w:val="single"/>
    </w:rPr>
  </w:style>
  <w:style w:type="paragraph" w:customStyle="1" w:styleId="BuildTime">
    <w:name w:val="BuildTime"/>
    <w:pPr>
      <w:jc w:val="center"/>
    </w:pPr>
    <w:rPr>
      <w:sz w:val="24"/>
    </w:rPr>
  </w:style>
  <w:style w:type="paragraph" w:customStyle="1" w:styleId="Highlight">
    <w:name w:val="Highlight"/>
    <w:pPr>
      <w:spacing w:before="120" w:after="60"/>
      <w:ind w:left="284" w:hanging="284"/>
      <w:jc w:val="both"/>
    </w:pPr>
    <w:rPr>
      <w:sz w:val="28"/>
    </w:rPr>
  </w:style>
  <w:style w:type="paragraph" w:customStyle="1" w:styleId="Notes">
    <w:name w:val="Notes"/>
  </w:style>
  <w:style w:type="paragraph" w:customStyle="1" w:styleId="Table01Row">
    <w:name w:val="Table01Row"/>
    <w:qFormat/>
    <w:pPr>
      <w:spacing w:before="40" w:after="40"/>
    </w:pPr>
    <w:rPr>
      <w:sz w:val="18"/>
    </w:rPr>
  </w:style>
  <w:style w:type="paragraph" w:customStyle="1" w:styleId="Table01Hdr">
    <w:name w:val="Table01Hdr"/>
    <w:qFormat/>
    <w:pPr>
      <w:jc w:val="center"/>
    </w:pPr>
    <w:rPr>
      <w:b/>
    </w:rPr>
  </w:style>
  <w:style w:type="paragraph" w:customStyle="1" w:styleId="Table01Note">
    <w:name w:val="Table01Note"/>
    <w:qFormat/>
    <w:pPr>
      <w:keepNext/>
      <w:spacing w:before="80" w:after="40"/>
      <w:ind w:left="113"/>
    </w:pPr>
    <w:rPr>
      <w:sz w:val="18"/>
    </w:rPr>
  </w:style>
  <w:style w:type="paragraph" w:customStyle="1" w:styleId="Table01BNote">
    <w:name w:val="Table01BNote"/>
    <w:qFormat/>
    <w:pPr>
      <w:spacing w:before="40" w:after="40"/>
      <w:ind w:left="170" w:hanging="170"/>
    </w:pPr>
    <w:rPr>
      <w:b/>
      <w:sz w:val="18"/>
    </w:rPr>
  </w:style>
  <w:style w:type="table" w:styleId="TableGrid">
    <w:name w:val="Table Grid"/>
    <w:basedOn w:val="Table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DocSecurity>0</DocSecurity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Table 1 — Acts in force</vt:lpstr>
    </vt:vector>
  </TitlesOfParts>
  <LinksUpToDate>false</LinksUpToDate>
  <CharactersWithSpaces>1722</CharactersWithSpaces>
  <SharedDoc>false</SharedDoc>
  <HLinks>
    <vt:vector size="6" baseType="variant">
      <vt:variant>
        <vt:i4>65542</vt:i4>
      </vt:variant>
      <vt:variant>
        <vt:i4>-1</vt:i4>
      </vt:variant>
      <vt:variant>
        <vt:i4>1027</vt:i4>
      </vt:variant>
      <vt:variant>
        <vt:i4>1</vt:i4>
      </vt:variant>
      <vt:variant>
        <vt:lpwstr>CREST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Table 1 — Acts in force</dc:title>
  <cp:revision>24</cp:revision>
  <cp:category/>
  <dc:creator>Tables Generator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pid="2" name="Citation" fmtid="{D5CDD505-2E9C-101B-9397-08002B2CF9AE}">
    <vt:lpwstr>Witness Protection (Western Australia) Act 1996</vt:lpwstr>
  </property>
  <property pid="3" name="IDAct" fmtid="{D5CDD505-2E9C-101B-9397-08002B2CF9AE}">
    <vt:lpwstr>911</vt:lpwstr>
  </property>
  <property pid="4" name="ChangedDate" fmtid="{D5CDD505-2E9C-101B-9397-08002B2CF9AE}">
    <vt:lpwstr>20250404102611</vt:lpwstr>
  </property>
</Properties>
</file>