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C</w:t>
      </w:r>
    </w:p>
    <w:p>
      <w:pPr>
        <w:pStyle w:val="IActName"/>
      </w:pPr>
      <w:r>
        <w:t>Civil Judgments Enforcement Act 2004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Civil Judgments Enforcement Act 2004</w:t>
            </w:r>
          </w:p>
        </w:tc>
        <w:tc>
          <w:p>
            <w:pPr>
              <w:pStyle w:val="Table01Row"/>
            </w:pPr>
            <w:r>
              <w:t>2004/028</w:t>
            </w:r>
          </w:p>
        </w:tc>
        <w:tc>
          <w:p>
            <w:pPr>
              <w:pStyle w:val="Table01Row"/>
            </w:pPr>
            <w:r>
              <w:t>14 Oct 2004</w:t>
            </w:r>
          </w:p>
        </w:tc>
        <w:tc>
          <w:p>
            <w:pPr>
              <w:pStyle w:val="Table01Row"/>
            </w:pPr>
            <w:r>
              <w:rPr/>
              <w:t xml:space="preserve">s. 1 &amp; 2: 14 Oct 2004;</w:t>
            </w:r>
          </w:p>
          <w:p>
            <w:pPr>
              <w:pStyle w:val="Table01Row"/>
            </w:pPr>
            <w:r>
              <w:rPr/>
              <w:t xml:space="preserve">Act other than s. 1 &amp; 2: 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Housing Societies Repeal Act 2005</w:t>
            </w:r>
            <w:r>
              <w:t xml:space="preserve"> </w:t>
              <w:t>s. 20</w:t>
            </w:r>
          </w:p>
        </w:tc>
        <w:tc>
          <w:p>
            <w:pPr>
              <w:pStyle w:val="Table01Row"/>
            </w:pPr>
            <w:r>
              <w:t>2005/017</w:t>
            </w:r>
          </w:p>
        </w:tc>
        <w:tc>
          <w:p>
            <w:pPr>
              <w:pStyle w:val="Table01Row"/>
            </w:pPr>
            <w:r>
              <w:t>5 Oct 2005</w:t>
            </w:r>
          </w:p>
        </w:tc>
        <w:tc>
          <w:p>
            <w:pPr>
              <w:pStyle w:val="Table01Row"/>
            </w:pPr>
            <w:r>
              <w:rPr/>
              <w:t xml:space="preserve">10 Jul 2010 (see s. 2(3) and </w:t>
            </w:r>
            <w:r>
              <w:rPr>
                <w:i/>
              </w:rPr>
              <w:t xml:space="preserve">Gazette</w:t>
            </w:r>
            <w:r>
              <w:rPr/>
              <w:t xml:space="preserve"> 9 Jul 2010 p. 3239)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Planning and Development (Consequential and Transitional Provisions) Act 2005</w:t>
            </w:r>
            <w:r>
              <w:t xml:space="preserve"> </w:t>
              <w:t>s. 15</w:t>
            </w:r>
          </w:p>
        </w:tc>
        <w:tc>
          <w:p>
            <w:pPr>
              <w:pStyle w:val="Table01Row"/>
            </w:pPr>
            <w:r>
              <w:t>2005/038</w:t>
            </w:r>
          </w:p>
        </w:tc>
        <w:tc>
          <w:p>
            <w:pPr>
              <w:pStyle w:val="Table01Row"/>
            </w:pPr>
            <w:r>
              <w:t>12 Dec 2005</w:t>
            </w:r>
          </w:p>
        </w:tc>
        <w:tc>
          <w:p>
            <w:pPr>
              <w:pStyle w:val="Table01Row"/>
            </w:pPr>
            <w:r>
              <w:rPr/>
              <w:t xml:space="preserve">9 Apr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21 Mar 2006 p. 1078)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(Justice) Act 2008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2008/005</w:t>
            </w:r>
          </w:p>
        </w:tc>
        <w:tc>
          <w:p>
            <w:pPr>
              <w:pStyle w:val="Table01Row"/>
            </w:pPr>
            <w:r>
              <w:t>31 Mar 2008</w:t>
            </w:r>
          </w:p>
        </w:tc>
        <w:tc>
          <w:p>
            <w:pPr>
              <w:pStyle w:val="Table01Row"/>
            </w:pPr>
            <w:r>
              <w:rPr/>
              <w:t xml:space="preserve">30 Sep 2008 (see s. 2(d) and </w:t>
            </w:r>
            <w:r>
              <w:rPr>
                <w:i/>
              </w:rPr>
              <w:t xml:space="preserve">Gazette</w:t>
            </w:r>
            <w:r>
              <w:rPr/>
              <w:t xml:space="preserve"> 11 Jul 2008 p. 3253)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Act 2008</w:t>
            </w:r>
            <w:r>
              <w:t xml:space="preserve"> </w:t>
              <w:t>s. 645</w:t>
            </w:r>
          </w:p>
        </w:tc>
        <w:tc>
          <w:p>
            <w:pPr>
              <w:pStyle w:val="Table01Row"/>
            </w:pPr>
            <w:r>
              <w:t>2008/021</w:t>
            </w:r>
          </w:p>
        </w:tc>
        <w:tc>
          <w:p>
            <w:pPr>
              <w:pStyle w:val="Table01Row"/>
            </w:pPr>
            <w:r>
              <w:t>27 May 2008</w:t>
            </w:r>
          </w:p>
        </w:tc>
        <w:tc>
          <w:p>
            <w:pPr>
              <w:pStyle w:val="Table01Row"/>
            </w:pPr>
            <w:r>
              <w:rPr/>
              <w:t xml:space="preserve">1 Mar 2009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27 Feb 2009 p. 511)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20 Feb 2009 (not including 2005/017 &amp; 2008/021)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Co‑operatives Act 2009</w:t>
            </w:r>
            <w:r>
              <w:t xml:space="preserve"> </w:t>
              <w:t>s. 507 &amp; 512</w:t>
            </w:r>
          </w:p>
        </w:tc>
        <w:tc>
          <w:p>
            <w:pPr>
              <w:pStyle w:val="Table01Row"/>
            </w:pPr>
            <w:r>
              <w:t>2009/024</w:t>
            </w:r>
          </w:p>
        </w:tc>
        <w:tc>
          <w:p>
            <w:pPr>
              <w:pStyle w:val="Table01Row"/>
            </w:pPr>
            <w:r>
              <w:t>22 Oct 2009</w:t>
            </w:r>
          </w:p>
        </w:tc>
        <w:tc>
          <w:p>
            <w:pPr>
              <w:pStyle w:val="Table01Row"/>
            </w:pPr>
            <w:r>
              <w:rPr/>
              <w:t xml:space="preserve">s. 507: 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13 Aug 2010 p. 3975)</w:t>
            </w:r>
          </w:p>
          <w:p>
            <w:pPr>
              <w:pStyle w:val="Table01Row"/>
            </w:pPr>
            <w:r>
              <w:rPr/>
              <w:t xml:space="preserve">s. 512: 1 Sep 2012 (see s. 2(c)) and </w:t>
            </w:r>
            <w:r>
              <w:rPr>
                <w:i/>
              </w:rPr>
              <w:t xml:space="preserve">Gazette</w:t>
            </w:r>
            <w:r>
              <w:rPr/>
              <w:t xml:space="preserve"> 13 Aug 2010 p. 3975)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Police Amendment Act 2009</w:t>
            </w:r>
            <w:r>
              <w:t xml:space="preserve"> </w:t>
              <w:t>s. 13</w:t>
            </w:r>
          </w:p>
        </w:tc>
        <w:tc>
          <w:p>
            <w:pPr>
              <w:pStyle w:val="Table01Row"/>
            </w:pPr>
            <w:r>
              <w:t>2009/042</w:t>
            </w:r>
          </w:p>
        </w:tc>
        <w:tc>
          <w:p>
            <w:pPr>
              <w:pStyle w:val="Table01Row"/>
            </w:pPr>
            <w:r>
              <w:t>3 Dec 2009</w:t>
            </w:r>
          </w:p>
        </w:tc>
        <w:tc>
          <w:p>
            <w:pPr>
              <w:pStyle w:val="Table01Row"/>
            </w:pPr>
            <w:r>
              <w:rPr/>
              <w:t xml:space="preserve">13 Mar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12 Mar 2010 p. 941)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Legislation Amendment Act 2012</w:t>
            </w:r>
            <w:r>
              <w:t xml:space="preserve"> </w:t>
              <w:t>Pt. 4 Div. 8</w:t>
            </w:r>
          </w:p>
        </w:tc>
        <w:tc>
          <w:p>
            <w:pPr>
              <w:pStyle w:val="Table01Row"/>
            </w:pPr>
            <w:r>
              <w:t>2012/008</w:t>
            </w:r>
          </w:p>
        </w:tc>
        <w:tc>
          <w:p>
            <w:pPr>
              <w:pStyle w:val="Table01Row"/>
            </w:pPr>
            <w:r>
              <w:t>21 May 2012</w:t>
            </w:r>
          </w:p>
        </w:tc>
        <w:tc>
          <w:p>
            <w:pPr>
              <w:pStyle w:val="Table01Row"/>
            </w:pPr>
            <w:r>
              <w:rPr/>
              <w:t xml:space="preserve">27 Apr 2015 (see s. 2(d) and </w:t>
            </w:r>
            <w:r>
              <w:rPr>
                <w:i/>
              </w:rPr>
              <w:t xml:space="preserve">Gazette</w:t>
            </w:r>
            <w:r>
              <w:rPr/>
              <w:t xml:space="preserve"> 17 Apr 2015 p. 1371)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24 May 2013 (not including 2012/008)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and Tribunals (Electronic Processes Facilitation) Act 2013</w:t>
            </w:r>
            <w:r>
              <w:t xml:space="preserve"> </w:t>
              <w:t>Pt. 3 Div. 3</w:t>
            </w:r>
          </w:p>
        </w:tc>
        <w:tc>
          <w:p>
            <w:pPr>
              <w:pStyle w:val="Table01Row"/>
            </w:pPr>
            <w:r>
              <w:t>2013/020</w:t>
            </w:r>
          </w:p>
        </w:tc>
        <w:tc>
          <w:p>
            <w:pPr>
              <w:pStyle w:val="Table01Row"/>
            </w:pPr>
            <w:r>
              <w:t>4 Nov 2013</w:t>
            </w:r>
          </w:p>
        </w:tc>
        <w:tc>
          <w:p>
            <w:pPr>
              <w:pStyle w:val="Table01Row"/>
            </w:pPr>
            <w:r>
              <w:rPr/>
              <w:t xml:space="preserve">25 Nov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22 Nov 2013 p. 5391)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Legislation Amendment Act 2016</w:t>
            </w:r>
            <w:r>
              <w:t xml:space="preserve"> </w:t>
              <w:t>Pt. 3 Div. 7</w:t>
            </w:r>
          </w:p>
        </w:tc>
        <w:tc>
          <w:p>
            <w:pPr>
              <w:pStyle w:val="Table01Row"/>
            </w:pPr>
            <w:r>
              <w:t>2016/026</w:t>
            </w:r>
          </w:p>
        </w:tc>
        <w:tc>
          <w:p>
            <w:pPr>
              <w:pStyle w:val="Table01Row"/>
            </w:pPr>
            <w:r>
              <w:t>21 Sep 2016</w:t>
            </w:r>
          </w:p>
        </w:tc>
        <w:tc>
          <w:p>
            <w:pPr>
              <w:pStyle w:val="Table01Row"/>
            </w:pPr>
            <w:r>
              <w:rPr/>
              <w:t xml:space="preserve">21 Jan 2017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20 Jan 2017 p. 648)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Act 2018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2018/029</w:t>
            </w:r>
          </w:p>
        </w:tc>
        <w:tc>
          <w:p>
            <w:pPr>
              <w:pStyle w:val="Table01Row"/>
            </w:pPr>
            <w:r>
              <w:t>2 Nov 2018</w:t>
            </w:r>
          </w:p>
        </w:tc>
        <w:tc>
          <w:p>
            <w:pPr>
              <w:pStyle w:val="Table01Row"/>
            </w:pPr>
            <w:r>
              <w:rPr/>
              <w:t xml:space="preserve">3 Nov 2018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Uniform Law Application Act 2022</w:t>
            </w:r>
            <w:r>
              <w:t xml:space="preserve"> </w:t>
              <w:t>Pt. 17 Div. 3</w:t>
            </w:r>
          </w:p>
        </w:tc>
        <w:tc>
          <w:p>
            <w:pPr>
              <w:pStyle w:val="Table01Row"/>
            </w:pPr>
            <w:r>
              <w:t>2022/009</w:t>
            </w:r>
          </w:p>
        </w:tc>
        <w:tc>
          <w:p>
            <w:pPr>
              <w:pStyle w:val="Table01Row"/>
            </w:pPr>
            <w:r>
              <w:t>14 Apr 2022</w:t>
            </w:r>
          </w:p>
        </w:tc>
        <w:tc>
          <w:p>
            <w:pPr>
              <w:pStyle w:val="Table01Row"/>
            </w:pPr>
            <w:r>
              <w:rPr/>
              <w:t xml:space="preserve">1 Jul 2022 (see s. 2(c) and SL 2022/113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Civil Judgments Enforcement Act 2004</vt:lpwstr>
  </property>
  <property pid="3" name="IDAct" fmtid="{D5CDD505-2E9C-101B-9397-08002B2CF9AE}">
    <vt:lpwstr>9237</vt:lpwstr>
  </property>
  <property pid="4" name="ChangedDate" fmtid="{D5CDD505-2E9C-101B-9397-08002B2CF9AE}">
    <vt:lpwstr>20250402124408</vt:lpwstr>
  </property>
</Properties>
</file>