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Children and Community Services Act 2004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Child Protection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Communities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s. 1 &amp; 2: 20 Oct 2004;</w:t>
            </w:r>
          </w:p>
          <w:p>
            <w:pPr>
              <w:pStyle w:val="Table01Row"/>
            </w:pPr>
            <w:r>
              <w:rPr/>
              <w:t xml:space="preserve">s. 3 &amp; 102: 22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Jan 2005 p. 257);</w:t>
            </w:r>
          </w:p>
          <w:p>
            <w:pPr>
              <w:pStyle w:val="Table01Row"/>
            </w:pPr>
            <w:r>
              <w:rPr/>
              <w:t xml:space="preserve">Act other than s. 1‑3 &amp; 102 &amp; Sch. 2 cl. 9(2) &amp; 25: 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695);</w:t>
            </w:r>
          </w:p>
          <w:p>
            <w:pPr>
              <w:pStyle w:val="Table01Row"/>
            </w:pPr>
            <w:r>
              <w:rPr/>
              <w:t xml:space="preserve">Sch. 2 cl. 9(2): 11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Mar 2006 p. 987);</w:t>
            </w:r>
          </w:p>
          <w:p>
            <w:pPr>
              <w:pStyle w:val="Table01Row"/>
            </w:pPr>
            <w:r>
              <w:rPr/>
              <w:t xml:space="preserve">Sch. 2 cl. 25 deleted by 2009/008 s. 32(4)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Working with Children (Criminal Record Checking) Act 2004</w:t>
            </w:r>
            <w:r>
              <w:t xml:space="preserve"> </w:t>
              <w:t>Pt. 5 (s. 48‑55)</w:t>
            </w:r>
          </w:p>
        </w:tc>
        <w:tc>
          <w:p>
            <w:pPr>
              <w:pStyle w:val="Table01Row"/>
            </w:pPr>
            <w:r>
              <w:t>2004/065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Pt. 5 other than s. 50‑52: 1 Jan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2005 p. 6875);</w:t>
            </w:r>
          </w:p>
          <w:p>
            <w:pPr>
              <w:pStyle w:val="Table01Row"/>
            </w:pPr>
            <w:r>
              <w:rPr/>
              <w:t xml:space="preserve">s. 50‑52: 1 Jan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2006 p. 5867)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85(4)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Legislation Amendment Act 2006</w:t>
            </w:r>
            <w:r>
              <w:t xml:space="preserve"> </w:t>
              <w:t>Pt. 6 Div. 1</w:t>
            </w:r>
          </w:p>
        </w:tc>
        <w:tc>
          <w:p>
            <w:pPr>
              <w:pStyle w:val="Table01Row"/>
            </w:pPr>
            <w:r>
              <w:t>2006/035</w:t>
            </w:r>
          </w:p>
        </w:tc>
        <w:tc>
          <w:p>
            <w:pPr>
              <w:pStyle w:val="Table01Row"/>
            </w:pPr>
            <w:r>
              <w:t>4 Jul 2006</w:t>
            </w:r>
          </w:p>
        </w:tc>
        <w:tc>
          <w:p>
            <w:pPr>
              <w:pStyle w:val="Table01Row"/>
            </w:pPr>
            <w:r>
              <w:rPr/>
              <w:t xml:space="preserve">15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Jul 2006 p. 2559)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 Care Services Act 2007</w:t>
            </w:r>
            <w:r>
              <w:t xml:space="preserve"> </w:t>
              <w:t>Pt. 7 Div. 1</w:t>
            </w:r>
          </w:p>
        </w:tc>
        <w:tc>
          <w:p>
            <w:pPr>
              <w:pStyle w:val="Table01Row"/>
            </w:pPr>
            <w:r>
              <w:t>2007/019</w:t>
            </w:r>
          </w:p>
        </w:tc>
        <w:tc>
          <w:p>
            <w:pPr>
              <w:pStyle w:val="Table01Row"/>
            </w:pPr>
            <w:r>
              <w:t>3 Jul 2007</w:t>
            </w:r>
          </w:p>
        </w:tc>
        <w:tc>
          <w:p>
            <w:pPr>
              <w:pStyle w:val="Table01Row"/>
            </w:pPr>
            <w:r>
              <w:rPr/>
              <w:t xml:space="preserve">10 Aug 2007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Aug 2007 p. 4071)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4 Apr 2008 (not including 2004/034 Sch. 2 cl. 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642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Amendment (Reporting Sexual Abuse of Children) Act 2008</w:t>
            </w:r>
            <w:r>
              <w:t xml:space="preserve"> </w:t>
              <w:t>s. 4‑11</w:t>
            </w:r>
          </w:p>
        </w:tc>
        <w:tc>
          <w:p>
            <w:pPr>
              <w:pStyle w:val="Table01Row"/>
            </w:pPr>
            <w:r>
              <w:t>2008/026</w:t>
            </w:r>
          </w:p>
        </w:tc>
        <w:tc>
          <w:p>
            <w:pPr>
              <w:pStyle w:val="Table01Row"/>
            </w:pPr>
            <w:r>
              <w:t>19 Jun 2008</w:t>
            </w:r>
          </w:p>
        </w:tc>
        <w:tc>
          <w:p>
            <w:pPr>
              <w:pStyle w:val="Table01Row"/>
            </w:pPr>
            <w:r>
              <w:rPr/>
              <w:t xml:space="preserve">1 Jan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Dec 2008 p. 5107)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Surrogacy Act 2008</w:t>
            </w:r>
            <w:r>
              <w:t xml:space="preserve"> </w:t>
              <w:t>Pt. 4 Div. 2</w:t>
            </w:r>
          </w:p>
        </w:tc>
        <w:tc>
          <w:p>
            <w:pPr>
              <w:pStyle w:val="Table01Row"/>
            </w:pPr>
            <w:r>
              <w:t>2008/047</w:t>
            </w:r>
          </w:p>
        </w:tc>
        <w:tc>
          <w:p>
            <w:pPr>
              <w:pStyle w:val="Table01Row"/>
            </w:pPr>
            <w:r>
              <w:t>10 Dec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Parliamentary Commissioner Amendment Act 2009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2009/010</w:t>
            </w:r>
          </w:p>
        </w:tc>
        <w:tc>
          <w:p>
            <w:pPr>
              <w:pStyle w:val="Table01Row"/>
            </w:pPr>
            <w:r>
              <w:t>29 Jun 2009</w:t>
            </w:r>
          </w:p>
        </w:tc>
        <w:tc>
          <w:p>
            <w:pPr>
              <w:pStyle w:val="Table01Row"/>
            </w:pPr>
            <w:r>
              <w:rPr/>
              <w:t xml:space="preserve">30 Jun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27 Nov 2009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8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Amendment Act 2010</w:t>
            </w:r>
            <w:r>
              <w:t xml:space="preserve"> </w:t>
              <w:t>Pt. 2 Div. 1 &amp; Pt. 3‑5</w:t>
            </w:r>
          </w:p>
        </w:tc>
        <w:tc>
          <w:p>
            <w:pPr>
              <w:pStyle w:val="Table01Row"/>
            </w:pPr>
            <w:r>
              <w:t>2010/049</w:t>
            </w:r>
          </w:p>
        </w:tc>
        <w:tc>
          <w:p>
            <w:pPr>
              <w:pStyle w:val="Table01Row"/>
            </w:pPr>
            <w:r>
              <w:t>24 Nov 2010</w:t>
            </w:r>
          </w:p>
        </w:tc>
        <w:tc>
          <w:p>
            <w:pPr>
              <w:pStyle w:val="Table01Row"/>
            </w:pPr>
            <w:r>
              <w:rPr/>
              <w:t xml:space="preserve">31 Jan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28 Jan 2011 p. 241)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4 Mar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6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Education and Care Services National Law (WA) Act 2012</w:t>
            </w:r>
            <w:r>
              <w:t xml:space="preserve"> </w:t>
              <w:t>Pt. 4 Div. 2</w:t>
            </w:r>
          </w:p>
        </w:tc>
        <w:tc>
          <w:p>
            <w:pPr>
              <w:pStyle w:val="Table01Row"/>
            </w:pPr>
            <w:r>
              <w:t>2012/011</w:t>
            </w:r>
          </w:p>
        </w:tc>
        <w:tc>
          <w:p>
            <w:pPr>
              <w:pStyle w:val="Table01Row"/>
            </w:pPr>
            <w:r>
              <w:t>20 Jun 2012</w:t>
            </w:r>
          </w:p>
        </w:tc>
        <w:tc>
          <w:p>
            <w:pPr>
              <w:pStyle w:val="Table01Row"/>
            </w:pPr>
            <w:r>
              <w:rPr/>
              <w:t xml:space="preserve">1 Aug 2012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25 Jul 2012 p. 3411)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Teacher Registration Act 2012</w:t>
            </w:r>
            <w:r>
              <w:t xml:space="preserve"> </w:t>
              <w:t>s. 163</w:t>
            </w:r>
          </w:p>
        </w:tc>
        <w:tc>
          <w:p>
            <w:pPr>
              <w:pStyle w:val="Table01Row"/>
            </w:pPr>
            <w:r>
              <w:t>2012/016</w:t>
            </w:r>
          </w:p>
        </w:tc>
        <w:tc>
          <w:p>
            <w:pPr>
              <w:pStyle w:val="Table01Row"/>
            </w:pPr>
            <w:r>
              <w:t>3 Jul 2012</w:t>
            </w:r>
          </w:p>
        </w:tc>
        <w:tc>
          <w:p>
            <w:pPr>
              <w:pStyle w:val="Table01Row"/>
            </w:pPr>
            <w:r>
              <w:rPr/>
              <w:t xml:space="preserve">7 Dec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Nov 2012 p. 5637)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Declared Places (Mentally Impaired Accused) Act 2015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2015/004</w:t>
            </w:r>
          </w:p>
        </w:tc>
        <w:tc>
          <w:p>
            <w:pPr>
              <w:pStyle w:val="Table01Row"/>
            </w:pPr>
            <w:r>
              <w:t>3 Mar 2015</w:t>
            </w:r>
          </w:p>
        </w:tc>
        <w:tc>
          <w:p>
            <w:pPr>
              <w:pStyle w:val="Table01Row"/>
            </w:pPr>
            <w:r>
              <w:rPr/>
              <w:t xml:space="preserve">17 Jun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2015 p. 2071)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10 Jul 2015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Legislation Amendment and Repeal Act 2015</w:t>
            </w:r>
            <w:r>
              <w:t xml:space="preserve"> </w:t>
              <w:t>Pt. 2 Div. 1 &amp; Pt. 3</w:t>
            </w:r>
          </w:p>
        </w:tc>
        <w:tc>
          <w:p>
            <w:pPr>
              <w:pStyle w:val="Table01Row"/>
            </w:pPr>
            <w:r>
              <w:t>2015/023</w:t>
            </w:r>
          </w:p>
        </w:tc>
        <w:tc>
          <w:p>
            <w:pPr>
              <w:pStyle w:val="Table01Row"/>
            </w:pPr>
            <w:r>
              <w:t>17 Sep 2015</w:t>
            </w:r>
          </w:p>
        </w:tc>
        <w:tc>
          <w:p>
            <w:pPr>
              <w:pStyle w:val="Table01Row"/>
            </w:pPr>
            <w:r>
              <w:rPr/>
              <w:t xml:space="preserve">1 Jan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2015 p. 5027)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6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Restraining Orders and Related Legislation Amendment (Family Violence) Act 2016</w:t>
            </w:r>
            <w:r>
              <w:t xml:space="preserve"> </w:t>
              <w:t>Pt. 3 Div. 2</w:t>
            </w:r>
          </w:p>
        </w:tc>
        <w:tc>
          <w:p>
            <w:pPr>
              <w:pStyle w:val="Table01Row"/>
            </w:pPr>
            <w:r>
              <w:t>2016/049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1 Jul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7 Feb 2017 p. 1157)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</w:t>
              <w:t>s. 102</w:t>
            </w:r>
          </w:p>
        </w:tc>
        <w:tc>
          <w:p>
            <w:pPr>
              <w:pStyle w:val="Table01Row"/>
            </w:pPr>
            <w:r>
              <w:t>2018/004</w:t>
            </w:r>
          </w:p>
        </w:tc>
        <w:tc>
          <w:p>
            <w:pPr>
              <w:pStyle w:val="Table01Row"/>
            </w:pPr>
            <w:r>
              <w:t>19 Apr 2018</w:t>
            </w:r>
          </w:p>
        </w:tc>
        <w:tc>
          <w:p>
            <w:pPr>
              <w:pStyle w:val="Table01Row"/>
            </w:pPr>
            <w:r>
              <w:rPr/>
              <w:t xml:space="preserve">1 Dec 2018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2018 p. 4427‑8)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22 Mar 2019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High Risk Serious Offenders Act 2020</w:t>
            </w:r>
            <w:r>
              <w:t xml:space="preserve"> </w:t>
              <w:t>s. 121</w:t>
            </w:r>
          </w:p>
        </w:tc>
        <w:tc>
          <w:p>
            <w:pPr>
              <w:pStyle w:val="Table01Row"/>
            </w:pPr>
            <w:r>
              <w:t>2020/029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26 Aug 2020 (see s. 2(1)(c) &amp; SL 2020/131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Amendment Act 2021</w:t>
            </w:r>
          </w:p>
        </w:tc>
        <w:tc>
          <w:p>
            <w:pPr>
              <w:pStyle w:val="Table01Row"/>
            </w:pPr>
            <w:r>
              <w:t>2021/018</w:t>
            </w:r>
          </w:p>
        </w:tc>
        <w:tc>
          <w:p>
            <w:pPr>
              <w:pStyle w:val="Table01Row"/>
            </w:pPr>
            <w:r>
              <w:t>19 Oct 2021</w:t>
            </w:r>
          </w:p>
        </w:tc>
        <w:tc>
          <w:p>
            <w:pPr>
              <w:pStyle w:val="Table01Row"/>
            </w:pPr>
            <w:r>
              <w:rPr/>
              <w:t xml:space="preserve">s. 1 &amp; 2: 19 Oct 2021 (see s. 2(a));</w:t>
            </w:r>
          </w:p>
          <w:p>
            <w:pPr>
              <w:pStyle w:val="Table01Row"/>
            </w:pPr>
            <w:r>
              <w:rPr/>
              <w:t xml:space="preserve">Act other than s. 1, 2, 15, 32, 39, 40 &amp; 52‑54: 1 May 2022 (see s. 2(b) &amp; (c) and SL 2022/50 cl. 2);</w:t>
            </w:r>
          </w:p>
          <w:p>
            <w:pPr>
              <w:pStyle w:val="Table01Row"/>
            </w:pPr>
            <w:r>
              <w:rPr/>
              <w:t xml:space="preserve">s. 52(3), (8), (9) &amp; (17)‑(19), 53(1), (5), (10) &amp; (11) &amp; 54: 1 Nov 2022 (see s. 2(c) and SL 2022/167 cl. 2);</w:t>
            </w:r>
          </w:p>
          <w:p>
            <w:pPr>
              <w:pStyle w:val="Table01Row"/>
            </w:pPr>
            <w:r>
              <w:rPr/>
              <w:t xml:space="preserve">s. 52(1), (4), (10), (11) &amp; (13), 53(2), (3) &amp; (6): 1 Nov 2023 (see s. 2(c) and SL 2023/153 cl. 2);</w:t>
            </w:r>
          </w:p>
          <w:p>
            <w:pPr>
              <w:pStyle w:val="Table01Row"/>
            </w:pPr>
            <w:r>
              <w:rPr/>
              <w:t xml:space="preserve">s. 52(5), (6), (14) &amp; (15) &amp; 53(7) &amp; (8): 1 May 2024 (see s. 2(c) and SL 2024/45 cl. 2);</w:t>
            </w:r>
          </w:p>
          <w:p>
            <w:pPr>
              <w:pStyle w:val="Table01Row"/>
            </w:pPr>
            <w:r>
              <w:rPr/>
              <w:t xml:space="preserve">s. 52(2) &amp; (12) &amp; 53(4): 1 Nov 2024 (see s. 2(c) and SL 2024/223 cl. 2);</w:t>
            </w:r>
          </w:p>
          <w:p>
            <w:pPr>
              <w:pStyle w:val="Table01Row"/>
            </w:pPr>
            <w:r>
              <w:rPr/>
              <w:t xml:space="preserve">s. 52(7), (16) &amp; (20) &amp; 53(9): 1 May 2025 (see s. 2(c) and SL 2025/58 cl. 2);</w:t>
            </w:r>
          </w:p>
          <w:p>
            <w:pPr>
              <w:pStyle w:val="Table01Row"/>
            </w:pPr>
            <w:r>
              <w:rPr/>
              <w:t xml:space="preserve">s. 15, 32, 39 &amp; 40: to be proclaimed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Pt. 17 Div. 2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Amendment Act 2022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2022/013</w:t>
            </w:r>
          </w:p>
        </w:tc>
        <w:tc>
          <w:p>
            <w:pPr>
              <w:pStyle w:val="Table01Row"/>
            </w:pPr>
            <w:r>
              <w:t>18 May 2022</w:t>
            </w:r>
          </w:p>
        </w:tc>
        <w:tc>
          <w:p>
            <w:pPr>
              <w:pStyle w:val="Table01Row"/>
            </w:pPr>
            <w:r>
              <w:rPr/>
              <w:t xml:space="preserve">19 Nov 2022 (see s. 2(c) and SL 2022/186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</w:t>
              <w:t>Pt. 17 Div. 3 Subdiv. 1</w:t>
            </w:r>
          </w:p>
        </w:tc>
        <w:tc>
          <w:p>
            <w:pPr>
              <w:pStyle w:val="Table01Row"/>
            </w:pPr>
            <w:r>
              <w:t>2024/023</w:t>
            </w:r>
          </w:p>
        </w:tc>
        <w:tc>
          <w:p>
            <w:pPr>
              <w:pStyle w:val="Table01Row"/>
            </w:pPr>
            <w:r>
              <w:t>27 Jun 2024</w:t>
            </w:r>
          </w:p>
        </w:tc>
        <w:tc>
          <w:p>
            <w:pPr>
              <w:pStyle w:val="Table01Row"/>
            </w:pPr>
            <w:r>
              <w:rPr/>
              <w:t xml:space="preserve">31 Mar 2025 (see s. 2(d) and SL 2024/289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Births, Deaths and Marriages Registration Amendment (Sex or Gender Changes) Act 2024</w:t>
            </w:r>
            <w:r>
              <w:t xml:space="preserve"> </w:t>
              <w:t>Pt. 4 Div. 1</w:t>
            </w:r>
          </w:p>
        </w:tc>
        <w:tc>
          <w:p>
            <w:pPr>
              <w:pStyle w:val="Table01Row"/>
            </w:pPr>
            <w:r>
              <w:t>2024/031</w:t>
            </w:r>
          </w:p>
        </w:tc>
        <w:tc>
          <w:p>
            <w:pPr>
              <w:pStyle w:val="Table01Row"/>
            </w:pPr>
            <w:r>
              <w:t>26 Sep 2024</w:t>
            </w:r>
          </w:p>
        </w:tc>
        <w:tc>
          <w:p>
            <w:pPr>
              <w:pStyle w:val="Table01Row"/>
            </w:pPr>
            <w:r>
              <w:rPr/>
              <w:t xml:space="preserve">30 May 2025 (see s. 2(b) and SL 2025/80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Legislation Amendment Act 2024</w:t>
            </w:r>
            <w:r>
              <w:t xml:space="preserve"> </w:t>
              <w:t>Pt. 5 Div. 1</w:t>
            </w:r>
          </w:p>
        </w:tc>
        <w:tc>
          <w:p>
            <w:pPr>
              <w:pStyle w:val="Table01Row"/>
            </w:pPr>
            <w:r>
              <w:t>2024/033</w:t>
            </w:r>
          </w:p>
        </w:tc>
        <w:tc>
          <w:p>
            <w:pPr>
              <w:pStyle w:val="Table01Row"/>
            </w:pPr>
            <w:r>
              <w:t>26 Sep 2024</w:t>
            </w:r>
          </w:p>
        </w:tc>
        <w:tc>
          <w:p>
            <w:pPr>
              <w:pStyle w:val="Table01Row"/>
            </w:pPr>
            <w:r>
              <w:rPr/>
              <w:t xml:space="preserve">20 Dec 2024 (see s. 2(1)(b) and SL 2024/277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Pt. 12 Div. 7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</w:t>
              <w:t>Pt. 17 Div. 3</w:t>
            </w:r>
          </w:p>
        </w:tc>
        <w:tc>
          <w:p>
            <w:pPr>
              <w:pStyle w:val="Table01Row"/>
            </w:pPr>
            <w:r>
              <w:t>2025/019</w:t>
            </w:r>
          </w:p>
        </w:tc>
        <w:tc>
          <w:p>
            <w:pPr>
              <w:pStyle w:val="Table01Row"/>
            </w:pPr>
            <w:r>
              <w:t>18 Dec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Education and Care Services National Law Application Act 2026</w:t>
            </w:r>
            <w:r>
              <w:rPr>
                <w:color w:val="FF0000"/>
              </w:rPr>
              <w:t xml:space="preserve"> </w:t>
              <w:t>s.102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2026/002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31 Mar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 May 2026 (see s. 2(1)(d) and SL 2026/50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Children and Community Services Act 2004</vt:lpwstr>
  </property>
  <property pid="3" name="IDAct" fmtid="{D5CDD505-2E9C-101B-9397-08002B2CF9AE}">
    <vt:lpwstr>9243</vt:lpwstr>
  </property>
  <property pid="4" name="ChangedDate" fmtid="{D5CDD505-2E9C-101B-9397-08002B2CF9AE}">
    <vt:lpwstr>20260804164324</vt:lpwstr>
  </property>
</Properties>
</file>