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Community Protection (Offender Reporting) Act 2004</w:t>
      </w:r>
    </w:p>
    <w:p>
      <w:pPr>
        <w:pStyle w:val="Table01Note"/>
      </w:pPr>
      <w:r>
        <w:rPr/>
        <w:t xml:space="preserve">Note: In order to give effect to the Cross‑border Justice Act 2008, the Community Protection (Offender Reporting) Act 2004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Act 2004</w:t>
            </w:r>
          </w:p>
        </w:tc>
        <w:tc>
          <w:p>
            <w:pPr>
              <w:pStyle w:val="Table01Row"/>
            </w:pPr>
            <w:r>
              <w:t>2004/072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2004;</w:t>
            </w:r>
          </w:p>
          <w:p>
            <w:pPr>
              <w:pStyle w:val="Table01Row"/>
            </w:pPr>
            <w:r>
              <w:rPr/>
              <w:t xml:space="preserve">s. 3‑5 &amp; Pt. 4 &amp; 6: 25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2004 p. 6266); </w:t>
            </w:r>
          </w:p>
          <w:p>
            <w:pPr>
              <w:pStyle w:val="Table01Row"/>
            </w:pPr>
            <w:r>
              <w:rPr/>
              <w:t xml:space="preserve">Pt. 2 (except s. 6(2)(b) &amp; 12), Pt. 3 &amp; 5 &amp; Sch. 1 &amp; 2: 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2004 p. 6266);</w:t>
            </w:r>
          </w:p>
          <w:p>
            <w:pPr>
              <w:pStyle w:val="Table01Row"/>
            </w:pPr>
            <w:r>
              <w:rPr/>
              <w:t xml:space="preserve">s. 6(2)(b): 1 Jul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2004 p. 6266); </w:t>
            </w:r>
          </w:p>
          <w:p>
            <w:pPr>
              <w:pStyle w:val="Table01Row"/>
            </w:pPr>
            <w:r>
              <w:rPr/>
              <w:t xml:space="preserve">s. 12 &amp; Sch. 3: to be proclaimed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s. 127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2008/013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2(b) &amp; 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2008</w:t>
            </w:r>
            <w:r>
              <w:t xml:space="preserve"> </w:t>
              <w:t>s. 4‑12</w:t>
            </w:r>
          </w:p>
        </w:tc>
        <w:tc>
          <w:p>
            <w:pPr>
              <w:pStyle w:val="Table01Row"/>
            </w:pPr>
            <w:r>
              <w:t>2008/027</w:t>
            </w:r>
          </w:p>
        </w:tc>
        <w:tc>
          <w:p>
            <w:pPr>
              <w:pStyle w:val="Table01Row"/>
            </w:pPr>
            <w:r>
              <w:t>1 Jul 2008</w:t>
            </w:r>
          </w:p>
        </w:tc>
        <w:tc>
          <w:p>
            <w:pPr>
              <w:pStyle w:val="Table01Row"/>
            </w:pPr>
            <w:r>
              <w:rPr/>
              <w:t xml:space="preserve">2 Jul 2008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14 Nov 2008 (not including 2004/072 s. 12 &amp; Sch. 3 &amp; 2008/013)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2010/021</w:t>
            </w:r>
          </w:p>
        </w:tc>
        <w:tc>
          <w:p>
            <w:pPr>
              <w:pStyle w:val="Table01Row"/>
            </w:pPr>
            <w:r>
              <w:t>7 Jul 2010</w:t>
            </w:r>
          </w:p>
        </w:tc>
        <w:tc>
          <w:p>
            <w:pPr>
              <w:pStyle w:val="Table01Row"/>
            </w:pPr>
            <w:r>
              <w:rPr/>
              <w:t xml:space="preserve">28 Aug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Aug 2010 p. 4105)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2012/001</w:t>
            </w:r>
          </w:p>
        </w:tc>
        <w:tc>
          <w:p>
            <w:pPr>
              <w:pStyle w:val="Table01Row"/>
            </w:pPr>
            <w:r>
              <w:t>15 Mar 2012</w:t>
            </w:r>
          </w:p>
        </w:tc>
        <w:tc>
          <w:p>
            <w:pPr>
              <w:pStyle w:val="Table01Row"/>
            </w:pPr>
            <w:r>
              <w:rPr/>
              <w:t xml:space="preserve">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2012 p. 2777)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 (No. 2) 2012</w:t>
            </w:r>
            <w:r>
              <w:t xml:space="preserve"> </w:t>
              <w:t>Pt. 2 (s. 3‑42)</w:t>
            </w:r>
          </w:p>
        </w:tc>
        <w:tc>
          <w:p>
            <w:pPr>
              <w:pStyle w:val="Table01Row"/>
            </w:pPr>
            <w:r>
              <w:t>2012/054</w:t>
            </w:r>
          </w:p>
        </w:tc>
        <w:tc>
          <w:p>
            <w:pPr>
              <w:pStyle w:val="Table01Row"/>
            </w:pPr>
            <w:r>
              <w:t>3 Dec 2012</w:t>
            </w:r>
          </w:p>
        </w:tc>
        <w:tc>
          <w:p>
            <w:pPr>
              <w:pStyle w:val="Table01Row"/>
            </w:pPr>
            <w:r>
              <w:rPr/>
              <w:t xml:space="preserve">s. 3‑22, 27, 34(1) &amp; (2) &amp; 35‑38: 23 Feb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2013 p. 1045);</w:t>
            </w:r>
          </w:p>
          <w:p>
            <w:pPr>
              <w:pStyle w:val="Table01Row"/>
            </w:pPr>
            <w:r>
              <w:rPr/>
              <w:t xml:space="preserve">s. 23‑26, 28‑33, 34(3) and 39‑42: 9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8 Nov 2013 p. 4969)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Dec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10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3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Pt. 9 Div. 1 &amp; s. 121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(Unlawful Consorting and Prohibited Insignia) Act 2021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2021/025</w:t>
            </w:r>
          </w:p>
        </w:tc>
        <w:tc>
          <w:p>
            <w:pPr>
              <w:pStyle w:val="Table01Row"/>
            </w:pPr>
            <w:r>
              <w:t>13 Dec 2021</w:t>
            </w:r>
          </w:p>
        </w:tc>
        <w:tc>
          <w:p>
            <w:pPr>
              <w:pStyle w:val="Table01Row"/>
            </w:pPr>
            <w:r>
              <w:rPr/>
              <w:t xml:space="preserve">24 Dec 2021 (see s. 2(b) and SL 2021/219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3 &amp; s. 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2024</w:t>
            </w:r>
            <w:r>
              <w:t xml:space="preserve"> </w:t>
              <w:t>Pt. 2 Div. 1, Pt. 3 Div. 1 &amp; Pt. 4</w:t>
            </w:r>
          </w:p>
        </w:tc>
        <w:tc>
          <w:p>
            <w:pPr>
              <w:pStyle w:val="Table01Row"/>
            </w:pPr>
            <w:r>
              <w:t>2024/035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Pt. 2 Div. 1: 28 Jul 2025 (see s. 2(b) and SL 2025/137 cl. 2);</w:t>
            </w:r>
          </w:p>
          <w:p>
            <w:pPr>
              <w:pStyle w:val="Table01Row"/>
            </w:pPr>
            <w:r>
              <w:rPr/>
              <w:t xml:space="preserve">Pt. 3 Div. 1: 31 Dec 2025 (see s. 2(b) and SL 2025/201 cl. 2);</w:t>
            </w:r>
          </w:p>
          <w:p>
            <w:pPr>
              <w:pStyle w:val="Table01Row"/>
            </w:pPr>
            <w:r>
              <w:rPr/>
              <w:t xml:space="preserve">Pt. 4: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Community Protection (Offender Reporting) Act 2004</vt:lpwstr>
  </property>
  <property pid="3" name="IDAct" fmtid="{D5CDD505-2E9C-101B-9397-08002B2CF9AE}">
    <vt:lpwstr>9275</vt:lpwstr>
  </property>
  <property pid="4" name="ChangedDate" fmtid="{D5CDD505-2E9C-101B-9397-08002B2CF9AE}">
    <vt:lpwstr>20250404102611</vt:lpwstr>
  </property>
</Properties>
</file>