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Reserves (National Parks, Conservation Parks, Nature Reserves and Other Reserves)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the Environment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Biodiversity, Conservation and Attractions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Reserves (National Parks, Conservation Parks, Nature Reserves and Other Reserves) Act 2004</w:t>
            </w:r>
          </w:p>
        </w:tc>
        <w:tc>
          <w:p>
            <w:pPr>
              <w:pStyle w:val="Table01Row"/>
            </w:pPr>
            <w:r>
              <w:t>2004/066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Act other than s. 15, 21, 22, 24, 29, 31 &amp; 32: 8 Dec 2004 (see s. 2(1));</w:t>
            </w:r>
          </w:p>
          <w:p>
            <w:pPr>
              <w:pStyle w:val="Table01Row"/>
            </w:pPr>
            <w:r>
              <w:rPr/>
              <w:t xml:space="preserve">s. 21, 29 &amp; 32: 31 Oct 2024 (see s. 2(2) and SL 2024/225 cl. 2);</w:t>
            </w:r>
          </w:p>
          <w:p>
            <w:pPr>
              <w:pStyle w:val="Table01Row"/>
            </w:pPr>
            <w:r>
              <w:rPr/>
              <w:t xml:space="preserve">s. 22 deleted by 2025/013 s. 12;</w:t>
            </w:r>
          </w:p>
          <w:p>
            <w:pPr>
              <w:pStyle w:val="Table01Row"/>
            </w:pPr>
            <w:r>
              <w:rPr/>
              <w:t xml:space="preserve">s. 15, 24 &amp; 31: 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Reserves Act 2025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2025/013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3 Oct 2025 (see s. 2(c) and SL 2025/168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Reserves (National Parks, Conservation Parks, Nature Reserves and Other Reserves) Act 2004</vt:lpwstr>
  </property>
  <property pid="3" name="IDAct" fmtid="{D5CDD505-2E9C-101B-9397-08002B2CF9AE}">
    <vt:lpwstr>9279</vt:lpwstr>
  </property>
  <property pid="4" name="ChangedDate" fmtid="{D5CDD505-2E9C-101B-9397-08002B2CF9AE}">
    <vt:lpwstr>20251001132118</vt:lpwstr>
  </property>
</Properties>
</file>