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Australian Crime Commission (Western Australia)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</w:p>
        </w:tc>
        <w:tc>
          <w:p>
            <w:pPr>
              <w:pStyle w:val="Table01Row"/>
            </w:pPr>
            <w:r>
              <w:t>2004/074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2004;</w:t>
            </w:r>
          </w:p>
          <w:p>
            <w:pPr>
              <w:pStyle w:val="Table01Row"/>
            </w:pPr>
            <w:r>
              <w:rPr/>
              <w:t xml:space="preserve">Act other than s. 1 &amp; 2: 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640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Australian Crime Commission (Western Australia) Act 2004</vt:lpwstr>
  </property>
  <property pid="3" name="IDAct" fmtid="{D5CDD505-2E9C-101B-9397-08002B2CF9AE}">
    <vt:lpwstr>9285</vt:lpwstr>
  </property>
  <property pid="4" name="ChangedDate" fmtid="{D5CDD505-2E9C-101B-9397-08002B2CF9AE}">
    <vt:lpwstr>20250404102611</vt:lpwstr>
  </property>
</Properties>
</file>