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Architects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Architects Act 2004</w:t>
            </w:r>
          </w:p>
        </w:tc>
        <w:tc>
          <w:p>
            <w:pPr>
              <w:pStyle w:val="Table01Row"/>
            </w:pPr>
            <w:r>
              <w:t>2004/075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2004;</w:t>
            </w:r>
          </w:p>
          <w:p>
            <w:pPr>
              <w:pStyle w:val="Table01Row"/>
            </w:pPr>
            <w:r>
              <w:rPr/>
              <w:t xml:space="preserve">Act other than s. 1 &amp; 2: 16 Nov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2005 p. 5597)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May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Architects Amendment Act 2025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2025/002</w:t>
            </w:r>
          </w:p>
        </w:tc>
        <w:tc>
          <w:p>
            <w:pPr>
              <w:pStyle w:val="Table01Row"/>
            </w:pPr>
            <w:r>
              <w:t>10 Jun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 &amp; 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Architects Act 2004</vt:lpwstr>
  </property>
  <property pid="3" name="IDAct" fmtid="{D5CDD505-2E9C-101B-9397-08002B2CF9AE}">
    <vt:lpwstr>9286</vt:lpwstr>
  </property>
  <property pid="4" name="ChangedDate" fmtid="{D5CDD505-2E9C-101B-9397-08002B2CF9AE}">
    <vt:lpwstr>20250404114309</vt:lpwstr>
  </property>
</Properties>
</file>