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Emergency Management Act 2005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Emergency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State Emergency Management Committee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Emergency Management Act 2005</w:t>
            </w:r>
          </w:p>
        </w:tc>
        <w:tc>
          <w:p>
            <w:pPr>
              <w:pStyle w:val="Table01Row"/>
            </w:pPr>
            <w:r>
              <w:t>2005/015</w:t>
            </w:r>
          </w:p>
        </w:tc>
        <w:tc>
          <w:p>
            <w:pPr>
              <w:pStyle w:val="Table01Row"/>
            </w:pPr>
            <w:r>
              <w:t>27 Sep 2005</w:t>
            </w:r>
          </w:p>
        </w:tc>
        <w:tc>
          <w:p>
            <w:pPr>
              <w:pStyle w:val="Table01Row"/>
            </w:pPr>
            <w:r>
              <w:rPr/>
              <w:t xml:space="preserve">s. 1 &amp; 2: 27 Sep 2005;</w:t>
            </w:r>
          </w:p>
          <w:p>
            <w:pPr>
              <w:pStyle w:val="Table01Row"/>
            </w:pPr>
            <w:r>
              <w:rPr/>
              <w:t xml:space="preserve">Act other than s. 1 &amp; 2: 24 Dec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19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</w:t>
              <w:t>s. 184</w:t>
            </w:r>
          </w:p>
        </w:tc>
        <w:tc>
          <w:p>
            <w:pPr>
              <w:pStyle w:val="Table01Row"/>
            </w:pPr>
            <w:r>
              <w:t>2014/013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30 Jan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17 Jan 2017 p. 403)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13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14 Jul 2017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Emergency Management Amendment (COVID‑19 Response) Act 2020</w:t>
            </w:r>
          </w:p>
        </w:tc>
        <w:tc>
          <w:p>
            <w:pPr>
              <w:pStyle w:val="Table01Row"/>
            </w:pPr>
            <w:r>
              <w:t>2020/011 (as amended by 2020/039 s. 9, 2021/001 s. 9, 2021/021 s. 9, 2022/015 s. 9 &amp; 2022/033 s. 11)</w:t>
            </w:r>
          </w:p>
        </w:tc>
        <w:tc>
          <w:p>
            <w:pPr>
              <w:pStyle w:val="Table01Row"/>
            </w:pPr>
            <w:r>
              <w:t>3 Apr 2020</w:t>
            </w:r>
          </w:p>
        </w:tc>
        <w:tc>
          <w:p>
            <w:pPr>
              <w:pStyle w:val="Table01Row"/>
            </w:pPr>
            <w:r>
              <w:rPr/>
              <w:t xml:space="preserve">s. 5, 7, 11 &amp; 12(1) &amp; (2): 16 Mar 2020 (see s. 2(b));</w:t>
            </w:r>
          </w:p>
          <w:p>
            <w:pPr>
              <w:pStyle w:val="Table01Row"/>
            </w:pPr>
            <w:r>
              <w:rPr/>
              <w:t xml:space="preserve">s. 1 &amp; 2: 3 Apr 2020 (see s. 2(a));</w:t>
            </w:r>
          </w:p>
          <w:p>
            <w:pPr>
              <w:pStyle w:val="Table01Row"/>
            </w:pPr>
            <w:r>
              <w:rPr/>
              <w:t xml:space="preserve">Act other than s. 1, 2, 5, 7, 10, 11, 12(1) &amp; (2): 4 Apr 2020 (see s. 2(d));</w:t>
            </w:r>
          </w:p>
          <w:p>
            <w:pPr>
              <w:pStyle w:val="Table01Row"/>
            </w:pPr>
            <w:r>
              <w:rPr/>
              <w:t xml:space="preserve">s. 10: deleted by 2022/033 s. 11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Emergency Management Amendment (Temporary COVID‑19 Provisions) Act 2022</w:t>
            </w:r>
            <w:r>
              <w:t xml:space="preserve"> </w:t>
              <w:t>Pt. 2 Div. 1 &amp; Pt. 3 Div. 1</w:t>
            </w:r>
          </w:p>
        </w:tc>
        <w:tc>
          <w:p>
            <w:pPr>
              <w:pStyle w:val="Table01Row"/>
            </w:pPr>
            <w:r>
              <w:t>2022/033</w:t>
            </w:r>
          </w:p>
        </w:tc>
        <w:tc>
          <w:p>
            <w:pPr>
              <w:pStyle w:val="Table01Row"/>
            </w:pPr>
            <w:r>
              <w:t>21 Oct 2022</w:t>
            </w:r>
          </w:p>
        </w:tc>
        <w:tc>
          <w:p>
            <w:pPr>
              <w:pStyle w:val="Table01Row"/>
            </w:pPr>
            <w:r>
              <w:rPr/>
              <w:t xml:space="preserve">Pt. 2 Div. 1: 3 Nov 2022 (see s. 2(b) and SL 2022/175 cl. 2);</w:t>
            </w:r>
          </w:p>
          <w:p>
            <w:pPr>
              <w:pStyle w:val="Table01Row"/>
            </w:pPr>
            <w:r>
              <w:rPr/>
              <w:t xml:space="preserve">Pt. 3 Div. 1: 3 Nov 2024 (see s. 2(c) and SL 2022/175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20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Emergency Management Act 2005</vt:lpwstr>
  </property>
  <property pid="3" name="IDAct" fmtid="{D5CDD505-2E9C-101B-9397-08002B2CF9AE}">
    <vt:lpwstr>9384</vt:lpwstr>
  </property>
  <property pid="4" name="ChangedDate" fmtid="{D5CDD505-2E9C-101B-9397-08002B2CF9AE}">
    <vt:lpwstr>20260804124704</vt:lpwstr>
  </property>
</Properties>
</file>