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Standard Time Act 2005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Premier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 Time Act 2005</w:t>
            </w:r>
          </w:p>
        </w:tc>
        <w:tc>
          <w:p>
            <w:pPr>
              <w:pStyle w:val="Table01Row"/>
            </w:pPr>
            <w:r>
              <w:t>2005/021</w:t>
            </w:r>
          </w:p>
        </w:tc>
        <w:tc>
          <w:p>
            <w:pPr>
              <w:pStyle w:val="Table01Row"/>
            </w:pPr>
            <w:r>
              <w:t>15 Nov 2005</w:t>
            </w:r>
          </w:p>
        </w:tc>
        <w:tc>
          <w:p>
            <w:pPr>
              <w:pStyle w:val="Table01Row"/>
            </w:pPr>
            <w:r>
              <w:rPr/>
              <w:t xml:space="preserve">16 Nov 2005 (see s.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Standard Time Act 2005</vt:lpwstr>
  </property>
  <property pid="3" name="IDAct" fmtid="{D5CDD505-2E9C-101B-9397-08002B2CF9AE}">
    <vt:lpwstr>9388</vt:lpwstr>
  </property>
  <property pid="4" name="ChangedDate" fmtid="{D5CDD505-2E9C-101B-9397-08002B2CF9AE}">
    <vt:lpwstr>20250404094514</vt:lpwstr>
  </property>
</Properties>
</file>