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P</w:t>
      </w:r>
    </w:p>
    <w:p>
      <w:pPr>
        <w:pStyle w:val="IActName"/>
      </w:pPr>
      <w:r>
        <w:t>Planning and Development (Consequential and Transitional Provisions) Act 2005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s. 1 &amp; 2: 12 Dec 2005;</w:t>
            </w:r>
          </w:p>
          <w:p>
            <w:pPr>
              <w:pStyle w:val="Table01Row"/>
            </w:pPr>
            <w:r>
              <w:rPr/>
              <w:t xml:space="preserve">Act other than s. 1 &amp; 2: 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Planning and Development (Consequential and Transitional Provisions) Act 2005</vt:lpwstr>
  </property>
  <property pid="3" name="IDAct" fmtid="{D5CDD505-2E9C-101B-9397-08002B2CF9AE}">
    <vt:lpwstr>9409</vt:lpwstr>
  </property>
  <property pid="4" name="ChangedDate" fmtid="{D5CDD505-2E9C-101B-9397-08002B2CF9AE}">
    <vt:lpwstr>20260804144154</vt:lpwstr>
  </property>
</Properties>
</file>