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Defamation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Defamation Act 2005</w:t>
            </w:r>
          </w:p>
        </w:tc>
        <w:tc>
          <w:p>
            <w:pPr>
              <w:pStyle w:val="Table01Row"/>
            </w:pPr>
            <w:r>
              <w:t>2005/044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Defamation Act 2005</vt:lpwstr>
  </property>
  <property pid="3" name="IDAct" fmtid="{D5CDD505-2E9C-101B-9397-08002B2CF9AE}">
    <vt:lpwstr>9415</vt:lpwstr>
  </property>
  <property pid="4" name="ChangedDate" fmtid="{D5CDD505-2E9C-101B-9397-08002B2CF9AE}">
    <vt:lpwstr>20250402124409</vt:lpwstr>
  </property>
</Properties>
</file>