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Bunbury Treefarm Project Agreement Act 1995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Bunbury Treefarm Project Agreement Act 1995</w:t>
            </w:r>
          </w:p>
        </w:tc>
        <w:tc>
          <w:p>
            <w:pPr>
              <w:pStyle w:val="Table01Row"/>
            </w:pPr>
            <w:r>
              <w:t>1995/051</w:t>
            </w:r>
          </w:p>
        </w:tc>
        <w:tc>
          <w:p>
            <w:pPr>
              <w:pStyle w:val="Table01Row"/>
            </w:pPr>
            <w:r>
              <w:t>21 Nov 1995</w:t>
            </w:r>
          </w:p>
        </w:tc>
        <w:tc>
          <w:p>
            <w:pPr>
              <w:pStyle w:val="Table01Row"/>
            </w:pPr>
            <w:r>
              <w:rPr/>
              <w:t xml:space="preserve">21 Nov 1995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2 May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Bunbury Treefarm Project Agreement Act 1995</vt:lpwstr>
  </property>
  <property pid="3" name="IDAct" fmtid="{D5CDD505-2E9C-101B-9397-08002B2CF9AE}">
    <vt:lpwstr>94</vt:lpwstr>
  </property>
  <property pid="4" name="ChangedDate" fmtid="{D5CDD505-2E9C-101B-9397-08002B2CF9AE}">
    <vt:lpwstr>20260804144845</vt:lpwstr>
  </property>
</Properties>
</file>