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Sep 2008</w:t>
      </w:r>
      <w:r>
        <w:fldChar w:fldCharType="end"/>
      </w:r>
      <w:r>
        <w:t xml:space="preserve">, </w:t>
      </w:r>
      <w:r>
        <w:fldChar w:fldCharType="begin"/>
      </w:r>
      <w:r>
        <w:instrText xml:space="preserve"> DocProperty FromSuffix </w:instrText>
      </w:r>
      <w:r>
        <w:fldChar w:fldCharType="separate"/>
      </w:r>
      <w:r>
        <w:t>09-ac0-03</w:t>
      </w:r>
      <w:r>
        <w:fldChar w:fldCharType="end"/>
      </w:r>
      <w:r>
        <w:t>] and [</w:t>
      </w:r>
      <w:r>
        <w:fldChar w:fldCharType="begin"/>
      </w:r>
      <w:r>
        <w:instrText xml:space="preserve"> DocProperty ToAsAtDate</w:instrText>
      </w:r>
      <w:r>
        <w:fldChar w:fldCharType="separate"/>
      </w:r>
      <w:r>
        <w:t>03 Oct 2008</w:t>
      </w:r>
      <w:r>
        <w:fldChar w:fldCharType="end"/>
      </w:r>
      <w:r>
        <w:t xml:space="preserve">, </w:t>
      </w:r>
      <w:r>
        <w:fldChar w:fldCharType="begin"/>
      </w:r>
      <w:r>
        <w:instrText xml:space="preserve"> DocProperty ToSuffix</w:instrText>
      </w:r>
      <w:r>
        <w:fldChar w:fldCharType="separate"/>
      </w:r>
      <w:r>
        <w:t>10-a0-04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8T08:22:00Z"/>
        </w:trPr>
        <w:tc>
          <w:tcPr>
            <w:tcW w:w="2434" w:type="dxa"/>
            <w:vMerge w:val="restart"/>
          </w:tcPr>
          <w:p>
            <w:pPr>
              <w:rPr>
                <w:ins w:id="1" w:author="svcMRProcess" w:date="2018-09-08T08:22:00Z"/>
              </w:rPr>
            </w:pPr>
          </w:p>
        </w:tc>
        <w:tc>
          <w:tcPr>
            <w:tcW w:w="2434" w:type="dxa"/>
            <w:vMerge w:val="restart"/>
          </w:tcPr>
          <w:p>
            <w:pPr>
              <w:jc w:val="center"/>
              <w:rPr>
                <w:ins w:id="2" w:author="svcMRProcess" w:date="2018-09-08T08:22:00Z"/>
              </w:rPr>
            </w:pPr>
            <w:ins w:id="3" w:author="svcMRProcess" w:date="2018-09-08T08:2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8T08:22:00Z"/>
              </w:rPr>
            </w:pPr>
            <w:ins w:id="5" w:author="svcMRProcess" w:date="2018-09-08T08:22:00Z">
              <w:r>
                <w:rPr>
                  <w:b/>
                  <w:sz w:val="22"/>
                </w:rPr>
                <w:t xml:space="preserve">Reprinted under the </w:t>
              </w:r>
              <w:r>
                <w:rPr>
                  <w:b/>
                  <w:i/>
                  <w:sz w:val="22"/>
                </w:rPr>
                <w:t>Reprints Act 1984</w:t>
              </w:r>
              <w:r>
                <w:rPr>
                  <w:b/>
                  <w:sz w:val="22"/>
                </w:rPr>
                <w:t xml:space="preserve"> as</w:t>
              </w:r>
            </w:ins>
          </w:p>
        </w:tc>
      </w:tr>
      <w:tr>
        <w:trPr>
          <w:cantSplit/>
          <w:ins w:id="6" w:author="svcMRProcess" w:date="2018-09-08T08:22:00Z"/>
        </w:trPr>
        <w:tc>
          <w:tcPr>
            <w:tcW w:w="2434" w:type="dxa"/>
            <w:vMerge/>
          </w:tcPr>
          <w:p>
            <w:pPr>
              <w:rPr>
                <w:ins w:id="7" w:author="svcMRProcess" w:date="2018-09-08T08:22:00Z"/>
              </w:rPr>
            </w:pPr>
          </w:p>
        </w:tc>
        <w:tc>
          <w:tcPr>
            <w:tcW w:w="2434" w:type="dxa"/>
            <w:vMerge/>
          </w:tcPr>
          <w:p>
            <w:pPr>
              <w:jc w:val="center"/>
              <w:rPr>
                <w:ins w:id="8" w:author="svcMRProcess" w:date="2018-09-08T08:22:00Z"/>
              </w:rPr>
            </w:pPr>
          </w:p>
        </w:tc>
        <w:tc>
          <w:tcPr>
            <w:tcW w:w="2434" w:type="dxa"/>
          </w:tcPr>
          <w:p>
            <w:pPr>
              <w:keepNext/>
              <w:rPr>
                <w:ins w:id="9" w:author="svcMRProcess" w:date="2018-09-08T08:22:00Z"/>
                <w:b/>
                <w:sz w:val="22"/>
              </w:rPr>
            </w:pPr>
            <w:ins w:id="10" w:author="svcMRProcess" w:date="2018-09-08T08:22:00Z">
              <w:r>
                <w:rPr>
                  <w:b/>
                  <w:sz w:val="22"/>
                </w:rPr>
                <w:t>at 3</w:t>
              </w:r>
              <w:r>
                <w:rPr>
                  <w:b/>
                  <w:snapToGrid w:val="0"/>
                  <w:sz w:val="22"/>
                </w:rPr>
                <w:t xml:space="preserve"> October 2008</w:t>
              </w:r>
            </w:ins>
          </w:p>
        </w:tc>
      </w:tr>
    </w:tbl>
    <w:p>
      <w:pPr>
        <w:pStyle w:val="WA"/>
        <w:spacing w:before="120"/>
      </w:pPr>
      <w:r>
        <w:t>Western Australia</w:t>
      </w:r>
    </w:p>
    <w:p>
      <w:pPr>
        <w:pStyle w:val="NameofActReg"/>
        <w:spacing w:before="600" w:after="1440"/>
        <w:outlineLvl w:val="0"/>
      </w:pPr>
      <w:r>
        <w:t>Road Traffic Act 1974</w:t>
      </w:r>
    </w:p>
    <w:p>
      <w:pPr>
        <w:pStyle w:val="LongTitle"/>
        <w:rPr>
          <w:snapToGrid w:val="0"/>
        </w:rPr>
      </w:pPr>
      <w:r>
        <w:rPr>
          <w:snapToGrid w:val="0"/>
        </w:rPr>
        <w:t>A</w:t>
      </w:r>
      <w:bookmarkStart w:id="11" w:name="_GoBack"/>
      <w:bookmarkEnd w:id="11"/>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2" w:name="_Toc201457468"/>
      <w:bookmarkStart w:id="13" w:name="_Toc202335306"/>
      <w:bookmarkStart w:id="14" w:name="_Toc202770129"/>
      <w:bookmarkStart w:id="15" w:name="_Toc203541340"/>
      <w:bookmarkStart w:id="16" w:name="_Toc204067414"/>
      <w:bookmarkStart w:id="17" w:name="_Toc204072536"/>
      <w:bookmarkStart w:id="18" w:name="_Toc205284838"/>
      <w:bookmarkStart w:id="19" w:name="_Toc207510059"/>
      <w:bookmarkStart w:id="20" w:name="_Toc207675466"/>
      <w:bookmarkStart w:id="21" w:name="_Toc207685016"/>
      <w:bookmarkStart w:id="22" w:name="_Toc208978870"/>
      <w:bookmarkStart w:id="23" w:name="_Toc208979184"/>
      <w:bookmarkStart w:id="24" w:name="_Toc209246360"/>
      <w:bookmarkStart w:id="25" w:name="_Toc211654380"/>
      <w:bookmarkStart w:id="26" w:name="_Toc276038635"/>
      <w:bookmarkStart w:id="27" w:name="_Toc210119881"/>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rPr>
          <w:snapToGrid w:val="0"/>
        </w:rPr>
      </w:pPr>
      <w:bookmarkStart w:id="28" w:name="_Toc276038636"/>
      <w:bookmarkStart w:id="29" w:name="_Toc210119882"/>
      <w:r>
        <w:rPr>
          <w:rStyle w:val="CharSectno"/>
        </w:rPr>
        <w:t>1</w:t>
      </w:r>
      <w:r>
        <w:rPr>
          <w:snapToGrid w:val="0"/>
        </w:rPr>
        <w:t>.</w:t>
      </w:r>
      <w:r>
        <w:rPr>
          <w:snapToGrid w:val="0"/>
        </w:rPr>
        <w:tab/>
        <w:t>Short title</w:t>
      </w:r>
      <w:bookmarkEnd w:id="28"/>
      <w:bookmarkEnd w:id="29"/>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30" w:name="_Toc276038637"/>
      <w:bookmarkStart w:id="31" w:name="_Toc210119883"/>
      <w:r>
        <w:rPr>
          <w:rStyle w:val="CharSectno"/>
        </w:rPr>
        <w:t>2</w:t>
      </w:r>
      <w:r>
        <w:rPr>
          <w:snapToGrid w:val="0"/>
        </w:rPr>
        <w:t>.</w:t>
      </w:r>
      <w:r>
        <w:rPr>
          <w:snapToGrid w:val="0"/>
        </w:rPr>
        <w:tab/>
        <w:t>Commencement</w:t>
      </w:r>
      <w:bookmarkEnd w:id="30"/>
      <w:bookmarkEnd w:id="31"/>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32" w:name="_Toc276038638"/>
      <w:bookmarkStart w:id="33" w:name="_Toc210119884"/>
      <w:r>
        <w:rPr>
          <w:rStyle w:val="CharSectno"/>
        </w:rPr>
        <w:t>4</w:t>
      </w:r>
      <w:r>
        <w:rPr>
          <w:snapToGrid w:val="0"/>
        </w:rPr>
        <w:t>.</w:t>
      </w:r>
      <w:r>
        <w:rPr>
          <w:snapToGrid w:val="0"/>
        </w:rPr>
        <w:tab/>
        <w:t>Repeal</w:t>
      </w:r>
      <w:bookmarkEnd w:id="32"/>
      <w:bookmarkEnd w:id="33"/>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34" w:name="_Toc210119885"/>
      <w:bookmarkStart w:id="35" w:name="_Toc276038639"/>
      <w:r>
        <w:rPr>
          <w:rStyle w:val="CharSectno"/>
        </w:rPr>
        <w:t>5</w:t>
      </w:r>
      <w:r>
        <w:rPr>
          <w:snapToGrid w:val="0"/>
        </w:rPr>
        <w:t>.</w:t>
      </w:r>
      <w:r>
        <w:rPr>
          <w:snapToGrid w:val="0"/>
        </w:rPr>
        <w:tab/>
      </w:r>
      <w:del w:id="36" w:author="svcMRProcess" w:date="2018-09-08T08:22:00Z">
        <w:r>
          <w:rPr>
            <w:snapToGrid w:val="0"/>
          </w:rPr>
          <w:delText>Definitions</w:delText>
        </w:r>
      </w:del>
      <w:bookmarkEnd w:id="34"/>
      <w:ins w:id="37" w:author="svcMRProcess" w:date="2018-09-08T08:22:00Z">
        <w:r>
          <w:rPr>
            <w:snapToGrid w:val="0"/>
          </w:rPr>
          <w:t>Terms used in this Act</w:t>
        </w:r>
      </w:ins>
      <w:bookmarkEnd w:id="35"/>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district</w:t>
      </w:r>
      <w:r>
        <w:t xml:space="preserve"> means a district under the </w:t>
      </w:r>
      <w:r>
        <w:rPr>
          <w:i/>
        </w:rPr>
        <w:t>Local Government Act 1995</w:t>
      </w:r>
      <w:r>
        <w:t>;</w:t>
      </w:r>
    </w:p>
    <w:p>
      <w:pPr>
        <w:pStyle w:val="Defstart"/>
      </w:pPr>
      <w:r>
        <w:lastRenderedPageBreak/>
        <w:tab/>
      </w:r>
      <w:r>
        <w:rPr>
          <w:rStyle w:val="CharDefText"/>
        </w:rPr>
        <w:t>drive</w:t>
      </w:r>
      <w:r>
        <w:t xml:space="preserve"> includes —</w:t>
      </w:r>
    </w:p>
    <w:p>
      <w:pPr>
        <w:pStyle w:val="Defpara"/>
        <w:spacing w:before="60"/>
      </w:pPr>
      <w:r>
        <w:tab/>
        <w:t>(a)</w:t>
      </w:r>
      <w:r>
        <w:tab/>
        <w:t>in relation to a vehicle, to have control over the steering, movement or propulsion of the vehicle;</w:t>
      </w:r>
    </w:p>
    <w:p>
      <w:pPr>
        <w:pStyle w:val="Defpara"/>
        <w:spacing w:before="60"/>
      </w:pPr>
      <w:r>
        <w:rPr>
          <w:snapToGrid/>
        </w:rPr>
        <w:tab/>
        <w:t>(b)</w:t>
      </w:r>
      <w:r>
        <w:rPr>
          <w:snapToGrid/>
        </w:rPr>
        <w:tab/>
      </w:r>
      <w:r>
        <w:t>in relation to an animal, to be in control of the animal,</w:t>
      </w:r>
    </w:p>
    <w:p>
      <w:pPr>
        <w:pStyle w:val="Defstart"/>
        <w:spacing w:before="60"/>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spacing w:before="60"/>
      </w:pPr>
      <w:r>
        <w:tab/>
        <w:t>(a)</w:t>
      </w:r>
      <w:r>
        <w:tab/>
        <w:t xml:space="preserve">an external Territory, as defined in the </w:t>
      </w:r>
      <w:r>
        <w:rPr>
          <w:i/>
        </w:rPr>
        <w:t>Acts Interpretation Act 1901</w:t>
      </w:r>
      <w:r>
        <w:t xml:space="preserve"> of the Commonwealth; or</w:t>
      </w:r>
    </w:p>
    <w:p>
      <w:pPr>
        <w:pStyle w:val="Defpara"/>
        <w:spacing w:before="60"/>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spacing w:before="60"/>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pPr>
      <w:r>
        <w:tab/>
      </w:r>
      <w:r>
        <w:rPr>
          <w:rStyle w:val="CharDefText"/>
        </w:rPr>
        <w:t>traffic infringement notice</w:t>
      </w:r>
      <w:r>
        <w:t xml:space="preserve"> has the meaning given by section 102(1);</w:t>
      </w:r>
    </w:p>
    <w:p>
      <w:pPr>
        <w:pStyle w:val="Defstart"/>
      </w:pPr>
      <w:r>
        <w:rPr>
          <w:b/>
        </w:rPr>
        <w:tab/>
      </w:r>
      <w:r>
        <w:rPr>
          <w:rStyle w:val="CharDefText"/>
        </w:rPr>
        <w:t>traffic regulation provisions of this Act</w:t>
      </w:r>
      <w:r>
        <w:t xml:space="preserve"> means the provisions of this Act other than the licensing provisions of this Act;</w:t>
      </w:r>
    </w:p>
    <w:p>
      <w:pPr>
        <w:pStyle w:val="Defstart"/>
        <w:keepNext/>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rPr>
          <w:b/>
        </w:rPr>
        <w:tab/>
      </w:r>
      <w:r>
        <w:rPr>
          <w:rStyle w:val="CharDefText"/>
        </w:rPr>
        <w:t>warden</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rPr>
          <w:del w:id="38" w:author="svcMRProcess" w:date="2018-09-08T08:22:00Z"/>
        </w:rPr>
      </w:pPr>
      <w:del w:id="39" w:author="svcMRProcess" w:date="2018-09-08T08:22:00Z">
        <w:r>
          <w:tab/>
          <w:delText>[(5), (6)</w:delText>
        </w:r>
        <w:r>
          <w:tab/>
          <w:delText>repealed]</w:delText>
        </w:r>
      </w:del>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40" w:name="_Toc276038640"/>
      <w:bookmarkStart w:id="41" w:name="_Toc210119886"/>
      <w:r>
        <w:rPr>
          <w:rStyle w:val="CharSectno"/>
        </w:rPr>
        <w:t>5A</w:t>
      </w:r>
      <w:r>
        <w:t>.</w:t>
      </w:r>
      <w:r>
        <w:tab/>
        <w:t>Person responsible for a vehicle</w:t>
      </w:r>
      <w:bookmarkEnd w:id="40"/>
      <w:bookmarkEnd w:id="41"/>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42" w:name="_Toc201457474"/>
      <w:bookmarkStart w:id="43" w:name="_Toc202335312"/>
      <w:bookmarkStart w:id="44" w:name="_Toc202770135"/>
      <w:bookmarkStart w:id="45" w:name="_Toc203541346"/>
      <w:bookmarkStart w:id="46" w:name="_Toc204067420"/>
      <w:bookmarkStart w:id="47" w:name="_Toc204072542"/>
      <w:bookmarkStart w:id="48" w:name="_Toc205284844"/>
      <w:bookmarkStart w:id="49" w:name="_Toc207510065"/>
      <w:bookmarkStart w:id="50" w:name="_Toc207675472"/>
      <w:bookmarkStart w:id="51" w:name="_Toc207685022"/>
      <w:bookmarkStart w:id="52" w:name="_Toc208978876"/>
      <w:bookmarkStart w:id="53" w:name="_Toc208979190"/>
      <w:bookmarkStart w:id="54" w:name="_Toc209246366"/>
      <w:bookmarkStart w:id="55" w:name="_Toc211654386"/>
      <w:bookmarkStart w:id="56" w:name="_Toc276038641"/>
      <w:bookmarkStart w:id="57" w:name="_Toc210119887"/>
      <w:r>
        <w:rPr>
          <w:rStyle w:val="CharPartNo"/>
        </w:rPr>
        <w:t>Part II</w:t>
      </w:r>
      <w:r>
        <w:rPr>
          <w:rStyle w:val="CharDivNo"/>
        </w:rPr>
        <w:t> </w:t>
      </w:r>
      <w:r>
        <w:t>—</w:t>
      </w:r>
      <w:r>
        <w:rPr>
          <w:rStyle w:val="CharDivText"/>
        </w:rPr>
        <w:t> </w:t>
      </w:r>
      <w:r>
        <w:rPr>
          <w:rStyle w:val="CharPartText"/>
        </w:rPr>
        <w:t>Administration</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Footnoteheading"/>
      </w:pPr>
      <w:r>
        <w:tab/>
        <w:t>[Heading inserted by No. 76 of 1996 s. 5.]</w:t>
      </w:r>
    </w:p>
    <w:p>
      <w:pPr>
        <w:pStyle w:val="Heading5"/>
        <w:rPr>
          <w:snapToGrid w:val="0"/>
        </w:rPr>
      </w:pPr>
      <w:bookmarkStart w:id="58" w:name="_Toc276038642"/>
      <w:bookmarkStart w:id="59" w:name="_Toc210119888"/>
      <w:r>
        <w:rPr>
          <w:rStyle w:val="CharSectno"/>
        </w:rPr>
        <w:t>6</w:t>
      </w:r>
      <w:r>
        <w:rPr>
          <w:snapToGrid w:val="0"/>
        </w:rPr>
        <w:t>.</w:t>
      </w:r>
      <w:r>
        <w:rPr>
          <w:snapToGrid w:val="0"/>
        </w:rPr>
        <w:tab/>
        <w:t>Functions of the Commissioner of Police and the Director General</w:t>
      </w:r>
      <w:bookmarkEnd w:id="58"/>
      <w:bookmarkEnd w:id="59"/>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60" w:name="_Toc276038643"/>
      <w:bookmarkStart w:id="61" w:name="_Toc210119889"/>
      <w:r>
        <w:rPr>
          <w:rStyle w:val="CharSectno"/>
        </w:rPr>
        <w:t>6A</w:t>
      </w:r>
      <w:r>
        <w:t>.</w:t>
      </w:r>
      <w:r>
        <w:tab/>
        <w:t>Delegation</w:t>
      </w:r>
      <w:bookmarkEnd w:id="60"/>
      <w:bookmarkEnd w:id="61"/>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62" w:name="_Toc276038644"/>
      <w:bookmarkStart w:id="63" w:name="_Toc210119890"/>
      <w:r>
        <w:rPr>
          <w:rStyle w:val="CharSectno"/>
        </w:rPr>
        <w:t>6B</w:t>
      </w:r>
      <w:r>
        <w:t>.</w:t>
      </w:r>
      <w:r>
        <w:tab/>
        <w:t>Agreements for performance of functions</w:t>
      </w:r>
      <w:bookmarkEnd w:id="62"/>
      <w:bookmarkEnd w:id="63"/>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64" w:name="_Toc276038645"/>
      <w:bookmarkStart w:id="65" w:name="_Toc210119891"/>
      <w:r>
        <w:rPr>
          <w:rStyle w:val="CharSectno"/>
        </w:rPr>
        <w:t>7</w:t>
      </w:r>
      <w:r>
        <w:rPr>
          <w:snapToGrid w:val="0"/>
        </w:rPr>
        <w:t>.</w:t>
      </w:r>
      <w:r>
        <w:rPr>
          <w:snapToGrid w:val="0"/>
        </w:rPr>
        <w:tab/>
        <w:t>Wardens</w:t>
      </w:r>
      <w:bookmarkEnd w:id="64"/>
      <w:bookmarkEnd w:id="65"/>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66" w:name="_Toc276038646"/>
      <w:bookmarkStart w:id="67" w:name="_Toc210119892"/>
      <w:r>
        <w:rPr>
          <w:rStyle w:val="CharSectno"/>
        </w:rPr>
        <w:t>8</w:t>
      </w:r>
      <w:r>
        <w:rPr>
          <w:snapToGrid w:val="0"/>
        </w:rPr>
        <w:t>.</w:t>
      </w:r>
      <w:r>
        <w:rPr>
          <w:snapToGrid w:val="0"/>
        </w:rPr>
        <w:tab/>
        <w:t>Access to information</w:t>
      </w:r>
      <w:bookmarkEnd w:id="66"/>
      <w:bookmarkEnd w:id="67"/>
    </w:p>
    <w:p>
      <w:pPr>
        <w:pStyle w:val="Subsection"/>
        <w:spacing w:before="180"/>
        <w:rPr>
          <w:snapToGrid w:val="0"/>
        </w:rPr>
      </w:pPr>
      <w:r>
        <w:rPr>
          <w:snapToGrid w:val="0"/>
        </w:rPr>
        <w:tab/>
        <w:t>(1)</w:t>
      </w:r>
      <w:r>
        <w:rPr>
          <w:snapToGrid w:val="0"/>
        </w:rPr>
        <w:tab/>
        <w:t>In this section —</w:t>
      </w:r>
    </w:p>
    <w:p>
      <w:pPr>
        <w:pStyle w:val="Defstart"/>
        <w:spacing w:before="100"/>
      </w:pPr>
      <w:r>
        <w:rPr>
          <w:b/>
        </w:rPr>
        <w:tab/>
      </w:r>
      <w:r>
        <w:rPr>
          <w:rStyle w:val="CharDefText"/>
        </w:rPr>
        <w:t>licence</w:t>
      </w:r>
      <w:r>
        <w:t xml:space="preserve"> means a driver’s licence or vehicle licence under this Act or a licence under the </w:t>
      </w:r>
      <w:r>
        <w:rPr>
          <w:i/>
        </w:rPr>
        <w:t>Motor Vehicle Drivers Instructors Act 1963</w:t>
      </w:r>
      <w:r>
        <w:t>;</w:t>
      </w:r>
    </w:p>
    <w:p>
      <w:pPr>
        <w:pStyle w:val="Defstart"/>
        <w:spacing w:before="100"/>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r>
      <w:r>
        <w:rPr>
          <w:rStyle w:val="CharDefText"/>
        </w:rPr>
        <w:t>permit</w:t>
      </w:r>
      <w:r>
        <w:t xml:space="preserve"> means a learner’s permit or a permit under the </w:t>
      </w:r>
      <w:r>
        <w:rPr>
          <w:i/>
        </w:rPr>
        <w:t>Motor Vehicle Drivers Instructors Act 1963</w:t>
      </w:r>
      <w:r>
        <w:t>;</w:t>
      </w:r>
    </w:p>
    <w:p>
      <w:pPr>
        <w:pStyle w:val="Defstart"/>
      </w:pPr>
      <w:r>
        <w:rPr>
          <w:b/>
        </w:rPr>
        <w:tab/>
      </w:r>
      <w:r>
        <w:rPr>
          <w:rStyle w:val="CharDefText"/>
        </w:rPr>
        <w:t>supply</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w:t>
      </w:r>
      <w:del w:id="68" w:author="svcMRProcess" w:date="2018-09-08T08:22:00Z">
        <w:r>
          <w:delText>14 repealed by No. 76 of 1996 s. 5;</w:delText>
        </w:r>
        <w:r>
          <w:br/>
        </w:r>
        <w:r>
          <w:tab/>
          <w:delText>s. </w:delText>
        </w:r>
      </w:del>
      <w:r>
        <w:t>9</w:t>
      </w:r>
      <w:r>
        <w:noBreakHyphen/>
        <w:t>13 repealed by No. 5 of 2002 s. </w:t>
      </w:r>
      <w:del w:id="69" w:author="svcMRProcess" w:date="2018-09-08T08:22:00Z">
        <w:r>
          <w:delText>15</w:delText>
        </w:r>
      </w:del>
      <w:ins w:id="70" w:author="svcMRProcess" w:date="2018-09-08T08:22:00Z">
        <w:r>
          <w:t>15;</w:t>
        </w:r>
        <w:r>
          <w:br/>
        </w:r>
        <w:r>
          <w:tab/>
          <w:t>s. 14 repealed by No. 76 of 1996 s. 5</w:t>
        </w:r>
      </w:ins>
      <w:r>
        <w:t>.]</w:t>
      </w:r>
    </w:p>
    <w:p>
      <w:pPr>
        <w:pStyle w:val="Heading2"/>
      </w:pPr>
      <w:bookmarkStart w:id="71" w:name="_Toc201457480"/>
      <w:bookmarkStart w:id="72" w:name="_Toc202335318"/>
      <w:bookmarkStart w:id="73" w:name="_Toc202770141"/>
      <w:bookmarkStart w:id="74" w:name="_Toc203541352"/>
      <w:bookmarkStart w:id="75" w:name="_Toc204067426"/>
      <w:bookmarkStart w:id="76" w:name="_Toc204072548"/>
      <w:bookmarkStart w:id="77" w:name="_Toc205284850"/>
      <w:bookmarkStart w:id="78" w:name="_Toc207510071"/>
      <w:bookmarkStart w:id="79" w:name="_Toc207675478"/>
      <w:bookmarkStart w:id="80" w:name="_Toc207685028"/>
      <w:bookmarkStart w:id="81" w:name="_Toc208978882"/>
      <w:bookmarkStart w:id="82" w:name="_Toc208979196"/>
      <w:bookmarkStart w:id="83" w:name="_Toc209246372"/>
      <w:bookmarkStart w:id="84" w:name="_Toc211654392"/>
      <w:bookmarkStart w:id="85" w:name="_Toc276038647"/>
      <w:bookmarkStart w:id="86" w:name="_Toc210119893"/>
      <w:r>
        <w:rPr>
          <w:rStyle w:val="CharPartNo"/>
        </w:rPr>
        <w:t>Part III</w:t>
      </w:r>
      <w:r>
        <w:rPr>
          <w:rStyle w:val="CharDivNo"/>
        </w:rPr>
        <w:t> </w:t>
      </w:r>
      <w:r>
        <w:t>—</w:t>
      </w:r>
      <w:r>
        <w:rPr>
          <w:rStyle w:val="CharDivText"/>
        </w:rPr>
        <w:t> </w:t>
      </w:r>
      <w:r>
        <w:rPr>
          <w:rStyle w:val="CharPartText"/>
        </w:rPr>
        <w:t>Licensing of vehicles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spacing w:before="180"/>
        <w:rPr>
          <w:snapToGrid w:val="0"/>
        </w:rPr>
      </w:pPr>
      <w:bookmarkStart w:id="87" w:name="_Toc276038648"/>
      <w:bookmarkStart w:id="88" w:name="_Toc210119894"/>
      <w:r>
        <w:rPr>
          <w:rStyle w:val="CharSectno"/>
        </w:rPr>
        <w:t>15</w:t>
      </w:r>
      <w:r>
        <w:rPr>
          <w:snapToGrid w:val="0"/>
        </w:rPr>
        <w:t>.</w:t>
      </w:r>
      <w:r>
        <w:rPr>
          <w:snapToGrid w:val="0"/>
        </w:rPr>
        <w:tab/>
        <w:t>Vehicle licences</w:t>
      </w:r>
      <w:bookmarkEnd w:id="87"/>
      <w:bookmarkEnd w:id="88"/>
    </w:p>
    <w:p>
      <w:pPr>
        <w:pStyle w:val="Subsection"/>
      </w:pPr>
      <w:r>
        <w:tab/>
        <w:t>(1)</w:t>
      </w:r>
      <w:r>
        <w:tab/>
        <w:t>A vehicle licence is required for a vehicle prescribed in the regulations.</w:t>
      </w:r>
    </w:p>
    <w:p>
      <w:pPr>
        <w:pStyle w:val="Ednotesubsection"/>
      </w:pPr>
      <w:r>
        <w:tab/>
        <w:t>[(2</w:t>
      </w:r>
      <w:del w:id="89" w:author="svcMRProcess" w:date="2018-09-08T08:22:00Z">
        <w:r>
          <w:delText>)-(2a</w:delText>
        </w:r>
      </w:del>
      <w:r>
        <w:t>)</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r>
        <w:t>[</w:t>
      </w:r>
      <w:r>
        <w:rPr>
          <w:b/>
        </w:rPr>
        <w:t>16.</w:t>
      </w:r>
      <w:r>
        <w:tab/>
        <w:t>Repealed by No. 28 of 2001 s. 7.]</w:t>
      </w:r>
    </w:p>
    <w:p>
      <w:pPr>
        <w:pStyle w:val="Heading5"/>
      </w:pPr>
      <w:bookmarkStart w:id="90" w:name="_Toc276038649"/>
      <w:bookmarkStart w:id="91" w:name="_Toc210119895"/>
      <w:r>
        <w:rPr>
          <w:rStyle w:val="CharSectno"/>
        </w:rPr>
        <w:t>17</w:t>
      </w:r>
      <w:r>
        <w:t>.</w:t>
      </w:r>
      <w:r>
        <w:tab/>
        <w:t>Applications for grant, renewal and transfer of vehicle licences</w:t>
      </w:r>
      <w:bookmarkEnd w:id="90"/>
      <w:bookmarkEnd w:id="91"/>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Duties Act </w:t>
      </w:r>
      <w:del w:id="92" w:author="svcMRProcess" w:date="2018-09-08T08:22:00Z">
        <w:r>
          <w:rPr>
            <w:i/>
            <w:iCs/>
          </w:rPr>
          <w:delText>2008</w:delText>
        </w:r>
        <w:r>
          <w:delText>on</w:delText>
        </w:r>
      </w:del>
      <w:ins w:id="93" w:author="svcMRProcess" w:date="2018-09-08T08:22:00Z">
        <w:r>
          <w:rPr>
            <w:i/>
            <w:iCs/>
          </w:rPr>
          <w:t xml:space="preserve">2008 </w:t>
        </w:r>
        <w:r>
          <w:t>on</w:t>
        </w:r>
      </w:ins>
      <w:r>
        <w:t xml:space="preserve">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keepNext/>
        <w:keepLines/>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w:t>
      </w:r>
      <w:del w:id="94" w:author="svcMRProcess" w:date="2018-09-08T08:22:00Z">
        <w:r>
          <w:delText>);</w:delText>
        </w:r>
      </w:del>
      <w:ins w:id="95" w:author="svcMRProcess" w:date="2018-09-08T08:22:00Z">
        <w:r>
          <w:t>) (as amended by No. 45 of 2002 s. 29(2));</w:t>
        </w:r>
      </w:ins>
      <w:r>
        <w:t xml:space="preserve"> No. 12 of 2008 s. 52.]</w:t>
      </w:r>
    </w:p>
    <w:p>
      <w:pPr>
        <w:pStyle w:val="Heading5"/>
      </w:pPr>
      <w:bookmarkStart w:id="96" w:name="_Toc276038650"/>
      <w:bookmarkStart w:id="97" w:name="_Toc210119896"/>
      <w:r>
        <w:t>18.</w:t>
      </w:r>
      <w:r>
        <w:tab/>
        <w:t>Regulations for the grant and renewal of vehicle licences</w:t>
      </w:r>
      <w:bookmarkEnd w:id="96"/>
      <w:bookmarkEnd w:id="97"/>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98" w:name="_Toc276038651"/>
      <w:bookmarkStart w:id="99" w:name="_Toc210119897"/>
      <w:r>
        <w:rPr>
          <w:rStyle w:val="CharSectno"/>
        </w:rPr>
        <w:t>19</w:t>
      </w:r>
      <w:r>
        <w:rPr>
          <w:snapToGrid w:val="0"/>
        </w:rPr>
        <w:t>.</w:t>
      </w:r>
      <w:r>
        <w:rPr>
          <w:snapToGrid w:val="0"/>
        </w:rPr>
        <w:tab/>
        <w:t>Fees or charges for vehicle licences</w:t>
      </w:r>
      <w:bookmarkEnd w:id="98"/>
      <w:bookmarkEnd w:id="99"/>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w:t>
      </w:r>
      <w:del w:id="100" w:author="svcMRProcess" w:date="2018-09-08T08:22:00Z">
        <w:r>
          <w:delText>3a)</w:delText>
        </w:r>
        <w:r>
          <w:noBreakHyphen/>
          <w:delText>(16b</w:delText>
        </w:r>
      </w:del>
      <w:ins w:id="101" w:author="svcMRProcess" w:date="2018-09-08T08:22:00Z">
        <w:r>
          <w:t>4)</w:t>
        </w:r>
        <w:r>
          <w:noBreakHyphen/>
          <w:t>(16</w:t>
        </w:r>
      </w:ins>
      <w:r>
        <w:t>)</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spacing w:before="260"/>
        <w:rPr>
          <w:snapToGrid w:val="0"/>
        </w:rPr>
      </w:pPr>
      <w:bookmarkStart w:id="102" w:name="_Toc276038652"/>
      <w:bookmarkStart w:id="103" w:name="_Toc210119898"/>
      <w:r>
        <w:rPr>
          <w:rStyle w:val="CharSectno"/>
        </w:rPr>
        <w:t>20</w:t>
      </w:r>
      <w:r>
        <w:rPr>
          <w:snapToGrid w:val="0"/>
        </w:rPr>
        <w:t>.</w:t>
      </w:r>
      <w:r>
        <w:rPr>
          <w:snapToGrid w:val="0"/>
        </w:rPr>
        <w:tab/>
        <w:t>Licence obtained by means of a dishonoured cheque void</w:t>
      </w:r>
      <w:bookmarkEnd w:id="102"/>
      <w:bookmarkEnd w:id="103"/>
    </w:p>
    <w:p>
      <w:pPr>
        <w:pStyle w:val="Subsection"/>
        <w:spacing w:before="180"/>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spacing w:before="180"/>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spacing w:before="180"/>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keepLines/>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104" w:name="_Toc276038653"/>
      <w:bookmarkStart w:id="105" w:name="_Toc210119899"/>
      <w:r>
        <w:rPr>
          <w:rStyle w:val="CharSectno"/>
        </w:rPr>
        <w:t>22</w:t>
      </w:r>
      <w:r>
        <w:rPr>
          <w:snapToGrid w:val="0"/>
        </w:rPr>
        <w:t>.</w:t>
      </w:r>
      <w:r>
        <w:rPr>
          <w:snapToGrid w:val="0"/>
        </w:rPr>
        <w:tab/>
        <w:t>Certain fees</w:t>
      </w:r>
      <w:ins w:id="106" w:author="svcMRProcess" w:date="2018-09-08T08:22:00Z">
        <w:r>
          <w:rPr>
            <w:snapToGrid w:val="0"/>
          </w:rPr>
          <w:t xml:space="preserve"> and charges</w:t>
        </w:r>
      </w:ins>
      <w:r>
        <w:rPr>
          <w:snapToGrid w:val="0"/>
        </w:rPr>
        <w:t xml:space="preserve"> to be credited to Main Roads Trust Fund</w:t>
      </w:r>
      <w:bookmarkEnd w:id="104"/>
      <w:bookmarkEnd w:id="105"/>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107" w:name="_Toc276038654"/>
      <w:bookmarkStart w:id="108" w:name="_Toc210119900"/>
      <w:r>
        <w:rPr>
          <w:rStyle w:val="CharSectno"/>
        </w:rPr>
        <w:t>23A</w:t>
      </w:r>
      <w:r>
        <w:rPr>
          <w:snapToGrid w:val="0"/>
        </w:rPr>
        <w:t>.</w:t>
      </w:r>
      <w:r>
        <w:rPr>
          <w:snapToGrid w:val="0"/>
        </w:rPr>
        <w:tab/>
        <w:t>Cancellation of vehicle licence in certain circumstances</w:t>
      </w:r>
      <w:bookmarkEnd w:id="107"/>
      <w:bookmarkEnd w:id="108"/>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109" w:name="_Toc276038655"/>
      <w:bookmarkStart w:id="110" w:name="_Toc210119901"/>
      <w:r>
        <w:rPr>
          <w:rStyle w:val="CharSectno"/>
        </w:rPr>
        <w:t>24</w:t>
      </w:r>
      <w:r>
        <w:rPr>
          <w:snapToGrid w:val="0"/>
        </w:rPr>
        <w:t>.</w:t>
      </w:r>
      <w:r>
        <w:rPr>
          <w:snapToGrid w:val="0"/>
        </w:rPr>
        <w:tab/>
        <w:t>Transfer of vehicle licences</w:t>
      </w:r>
      <w:bookmarkEnd w:id="109"/>
      <w:bookmarkEnd w:id="110"/>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 No. 12 of 2008 s. 52.]</w:t>
      </w:r>
    </w:p>
    <w:p>
      <w:pPr>
        <w:pStyle w:val="Heading5"/>
      </w:pPr>
      <w:bookmarkStart w:id="111" w:name="_Toc276038656"/>
      <w:bookmarkStart w:id="112" w:name="_Toc210119902"/>
      <w:r>
        <w:rPr>
          <w:rStyle w:val="CharSectno"/>
        </w:rPr>
        <w:t>24A</w:t>
      </w:r>
      <w:r>
        <w:t>.</w:t>
      </w:r>
      <w:r>
        <w:tab/>
        <w:t>Requirement to make declaration on applying for grant or transfer of vehicle licence</w:t>
      </w:r>
      <w:bookmarkEnd w:id="111"/>
      <w:bookmarkEnd w:id="112"/>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113" w:name="_Toc276038657"/>
      <w:bookmarkStart w:id="114" w:name="_Toc210119903"/>
      <w:r>
        <w:rPr>
          <w:rStyle w:val="CharSectno"/>
        </w:rPr>
        <w:t>24B</w:t>
      </w:r>
      <w:r>
        <w:t>.</w:t>
      </w:r>
      <w:r>
        <w:tab/>
        <w:t>Change of nominated owner</w:t>
      </w:r>
      <w:bookmarkEnd w:id="113"/>
      <w:bookmarkEnd w:id="114"/>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115" w:name="_Toc276038658"/>
      <w:bookmarkStart w:id="116" w:name="_Toc210119904"/>
      <w:r>
        <w:rPr>
          <w:rStyle w:val="CharSectno"/>
        </w:rPr>
        <w:t>25</w:t>
      </w:r>
      <w:r>
        <w:rPr>
          <w:snapToGrid w:val="0"/>
        </w:rPr>
        <w:t>.</w:t>
      </w:r>
      <w:r>
        <w:rPr>
          <w:snapToGrid w:val="0"/>
        </w:rPr>
        <w:tab/>
        <w:t>Review</w:t>
      </w:r>
      <w:bookmarkEnd w:id="115"/>
      <w:bookmarkEnd w:id="116"/>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repealed]</w:t>
      </w:r>
    </w:p>
    <w:p>
      <w:pPr>
        <w:pStyle w:val="Footnotesection"/>
      </w:pPr>
      <w:r>
        <w:tab/>
        <w:t>[Section 25 amended by No. 39 of 2000 s. 16(1); No. 28 of 2001 s. 14</w:t>
      </w:r>
      <w:del w:id="117" w:author="svcMRProcess" w:date="2018-09-08T08:22:00Z">
        <w:r>
          <w:delText>,</w:delText>
        </w:r>
      </w:del>
      <w:ins w:id="118" w:author="svcMRProcess" w:date="2018-09-08T08:22:00Z">
        <w:r>
          <w:t xml:space="preserve"> and</w:t>
        </w:r>
      </w:ins>
      <w:r>
        <w:t xml:space="preserve"> 23(1); No. 55 of 2004 s. 1062.]</w:t>
      </w:r>
    </w:p>
    <w:p>
      <w:pPr>
        <w:pStyle w:val="Heading5"/>
        <w:rPr>
          <w:snapToGrid w:val="0"/>
        </w:rPr>
      </w:pPr>
      <w:bookmarkStart w:id="119" w:name="_Toc276038659"/>
      <w:bookmarkStart w:id="120" w:name="_Toc210119905"/>
      <w:r>
        <w:rPr>
          <w:rStyle w:val="CharSectno"/>
        </w:rPr>
        <w:t>26</w:t>
      </w:r>
      <w:r>
        <w:rPr>
          <w:snapToGrid w:val="0"/>
        </w:rPr>
        <w:t>.</w:t>
      </w:r>
      <w:r>
        <w:rPr>
          <w:snapToGrid w:val="0"/>
        </w:rPr>
        <w:tab/>
        <w:t>Permits</w:t>
      </w:r>
      <w:del w:id="121" w:author="svcMRProcess" w:date="2018-09-08T08:22:00Z">
        <w:r>
          <w:rPr>
            <w:snapToGrid w:val="0"/>
          </w:rPr>
          <w:delText>,</w:delText>
        </w:r>
      </w:del>
      <w:r>
        <w:rPr>
          <w:snapToGrid w:val="0"/>
        </w:rPr>
        <w:t xml:space="preserve"> etc</w:t>
      </w:r>
      <w:del w:id="122" w:author="svcMRProcess" w:date="2018-09-08T08:22:00Z">
        <w:r>
          <w:rPr>
            <w:snapToGrid w:val="0"/>
          </w:rPr>
          <w:delText>.,</w:delText>
        </w:r>
      </w:del>
      <w:ins w:id="123" w:author="svcMRProcess" w:date="2018-09-08T08:22:00Z">
        <w:r>
          <w:rPr>
            <w:snapToGrid w:val="0"/>
          </w:rPr>
          <w:t>.</w:t>
        </w:r>
      </w:ins>
      <w:r>
        <w:rPr>
          <w:snapToGrid w:val="0"/>
        </w:rPr>
        <w:t xml:space="preserve"> for unlicensed vehicles</w:t>
      </w:r>
      <w:bookmarkEnd w:id="119"/>
      <w:bookmarkEnd w:id="120"/>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keepNext/>
        <w:keepLines/>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124" w:name="_Toc276038660"/>
      <w:bookmarkStart w:id="125" w:name="_Toc210119906"/>
      <w:r>
        <w:rPr>
          <w:rStyle w:val="CharSectno"/>
        </w:rPr>
        <w:t>27</w:t>
      </w:r>
      <w:r>
        <w:rPr>
          <w:snapToGrid w:val="0"/>
        </w:rPr>
        <w:t>.</w:t>
      </w:r>
      <w:r>
        <w:rPr>
          <w:snapToGrid w:val="0"/>
        </w:rPr>
        <w:tab/>
        <w:t>Register of vehicle licences</w:t>
      </w:r>
      <w:bookmarkEnd w:id="124"/>
      <w:bookmarkEnd w:id="125"/>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granted</w:t>
      </w:r>
      <w:r>
        <w:rPr>
          <w:rFonts w:ascii="Times" w:hAnsi="Times"/>
          <w:snapToGrid w:val="0"/>
        </w:rPr>
        <w:t xml:space="preserve">, and shall upon the </w:t>
      </w:r>
      <w:r>
        <w:rPr>
          <w:rFonts w:ascii="Times" w:hAnsi="Times"/>
        </w:rPr>
        <w:t>grant</w:t>
      </w:r>
      <w:r>
        <w:rPr>
          <w:rFonts w:ascii="Times" w:hAnsi="Times"/>
          <w:snapToGrid w:val="0"/>
        </w:rPr>
        <w:t xml:space="preserve"> or renewal of any vehicle licence issue to the applicant a registration label evidencing the </w:t>
      </w:r>
      <w:r>
        <w:rPr>
          <w:rFonts w:ascii="Times" w:hAnsi="Times"/>
        </w:rPr>
        <w:t>grant</w:t>
      </w:r>
      <w:r>
        <w:rPr>
          <w:rFonts w:ascii="Times" w:hAnsi="Times"/>
          <w:snapToGrid w:val="0"/>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126" w:name="_Toc276038661"/>
      <w:bookmarkStart w:id="127" w:name="_Toc210119907"/>
      <w:r>
        <w:rPr>
          <w:rStyle w:val="CharSectno"/>
        </w:rPr>
        <w:t>27A</w:t>
      </w:r>
      <w:r>
        <w:rPr>
          <w:snapToGrid w:val="0"/>
        </w:rPr>
        <w:t>.</w:t>
      </w:r>
      <w:r>
        <w:rPr>
          <w:snapToGrid w:val="0"/>
        </w:rPr>
        <w:tab/>
        <w:t>Effect of disqualification</w:t>
      </w:r>
      <w:bookmarkEnd w:id="126"/>
      <w:bookmarkEnd w:id="127"/>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128" w:name="_Toc276038662"/>
      <w:bookmarkStart w:id="129" w:name="_Toc210119908"/>
      <w:r>
        <w:rPr>
          <w:rStyle w:val="CharSectno"/>
        </w:rPr>
        <w:t>28</w:t>
      </w:r>
      <w:r>
        <w:rPr>
          <w:snapToGrid w:val="0"/>
        </w:rPr>
        <w:t>.</w:t>
      </w:r>
      <w:r>
        <w:rPr>
          <w:snapToGrid w:val="0"/>
        </w:rPr>
        <w:tab/>
        <w:t>Classification of vehicle licences</w:t>
      </w:r>
      <w:bookmarkEnd w:id="128"/>
      <w:bookmarkEnd w:id="129"/>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130" w:name="_Toc276038663"/>
      <w:bookmarkStart w:id="131" w:name="_Toc210119909"/>
      <w:r>
        <w:rPr>
          <w:rStyle w:val="CharSectno"/>
        </w:rPr>
        <w:t>28A</w:t>
      </w:r>
      <w:r>
        <w:rPr>
          <w:snapToGrid w:val="0"/>
        </w:rPr>
        <w:t>.</w:t>
      </w:r>
      <w:r>
        <w:rPr>
          <w:snapToGrid w:val="0"/>
        </w:rPr>
        <w:tab/>
        <w:t>Fees may be amended by regulation</w:t>
      </w:r>
      <w:bookmarkEnd w:id="130"/>
      <w:bookmarkEnd w:id="131"/>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spacing w:before="120"/>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132" w:name="_Toc276038664"/>
      <w:bookmarkStart w:id="133" w:name="_Toc210119910"/>
      <w:r>
        <w:rPr>
          <w:rStyle w:val="CharSectno"/>
        </w:rPr>
        <w:t>29</w:t>
      </w:r>
      <w:r>
        <w:rPr>
          <w:snapToGrid w:val="0"/>
        </w:rPr>
        <w:t>.</w:t>
      </w:r>
      <w:r>
        <w:rPr>
          <w:snapToGrid w:val="0"/>
        </w:rPr>
        <w:tab/>
        <w:t>Minister may require vehicles to be inspected</w:t>
      </w:r>
      <w:bookmarkEnd w:id="132"/>
      <w:bookmarkEnd w:id="133"/>
    </w:p>
    <w:p>
      <w:pPr>
        <w:pStyle w:val="Subsection"/>
        <w:spacing w:before="120"/>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134" w:name="_Toc201457498"/>
      <w:bookmarkStart w:id="135" w:name="_Toc202335336"/>
      <w:bookmarkStart w:id="136" w:name="_Toc202770159"/>
      <w:bookmarkStart w:id="137" w:name="_Toc203541370"/>
      <w:bookmarkStart w:id="138" w:name="_Toc204067444"/>
      <w:bookmarkStart w:id="139" w:name="_Toc204072566"/>
      <w:bookmarkStart w:id="140" w:name="_Toc205284868"/>
      <w:bookmarkStart w:id="141" w:name="_Toc207510089"/>
      <w:bookmarkStart w:id="142" w:name="_Toc207675496"/>
      <w:bookmarkStart w:id="143" w:name="_Toc207685046"/>
      <w:bookmarkStart w:id="144" w:name="_Toc208978900"/>
      <w:bookmarkStart w:id="145" w:name="_Toc208979214"/>
      <w:bookmarkStart w:id="146" w:name="_Toc209246390"/>
      <w:bookmarkStart w:id="147" w:name="_Toc211654410"/>
      <w:bookmarkStart w:id="148" w:name="_Toc276038665"/>
      <w:bookmarkStart w:id="149" w:name="_Toc210119911"/>
      <w:r>
        <w:rPr>
          <w:rStyle w:val="CharPartNo"/>
        </w:rPr>
        <w:t>Part IV</w:t>
      </w:r>
      <w:r>
        <w:rPr>
          <w:rStyle w:val="CharDivNo"/>
        </w:rPr>
        <w:t> </w:t>
      </w:r>
      <w:r>
        <w:t>—</w:t>
      </w:r>
      <w:r>
        <w:rPr>
          <w:rStyle w:val="CharDivText"/>
        </w:rPr>
        <w:t> </w:t>
      </w:r>
      <w:r>
        <w:rPr>
          <w:rStyle w:val="CharPartText"/>
        </w:rPr>
        <w:t>Overseas motor vehicles when temporarily in Australia</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spacing w:before="180"/>
        <w:rPr>
          <w:snapToGrid w:val="0"/>
        </w:rPr>
      </w:pPr>
      <w:bookmarkStart w:id="150" w:name="_Toc276038666"/>
      <w:bookmarkStart w:id="151" w:name="_Toc210119912"/>
      <w:r>
        <w:rPr>
          <w:rStyle w:val="CharSectno"/>
        </w:rPr>
        <w:t>30</w:t>
      </w:r>
      <w:r>
        <w:rPr>
          <w:snapToGrid w:val="0"/>
        </w:rPr>
        <w:t>.</w:t>
      </w:r>
      <w:r>
        <w:rPr>
          <w:snapToGrid w:val="0"/>
        </w:rPr>
        <w:tab/>
        <w:t>Application of this Part</w:t>
      </w:r>
      <w:bookmarkEnd w:id="150"/>
      <w:bookmarkEnd w:id="151"/>
    </w:p>
    <w:p>
      <w:pPr>
        <w:pStyle w:val="Subsection"/>
        <w:spacing w:before="10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spacing w:before="10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spacing w:before="180"/>
        <w:rPr>
          <w:snapToGrid w:val="0"/>
        </w:rPr>
      </w:pPr>
      <w:bookmarkStart w:id="152" w:name="_Toc276038667"/>
      <w:bookmarkStart w:id="153" w:name="_Toc210119913"/>
      <w:r>
        <w:rPr>
          <w:rStyle w:val="CharSectno"/>
        </w:rPr>
        <w:t>31</w:t>
      </w:r>
      <w:r>
        <w:rPr>
          <w:snapToGrid w:val="0"/>
        </w:rPr>
        <w:t>.</w:t>
      </w:r>
      <w:r>
        <w:rPr>
          <w:snapToGrid w:val="0"/>
        </w:rPr>
        <w:tab/>
        <w:t>When owner of overseas vehicle entitled to free licence</w:t>
      </w:r>
      <w:bookmarkEnd w:id="152"/>
      <w:bookmarkEnd w:id="153"/>
    </w:p>
    <w:p>
      <w:pPr>
        <w:pStyle w:val="Subsection"/>
        <w:spacing w:before="10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spacing w:before="100"/>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spacing w:before="140"/>
        <w:ind w:left="890" w:hanging="890"/>
      </w:pPr>
      <w:r>
        <w:tab/>
        <w:t>[Section 31 amended by No. 105 of 1981 s. 19; No. 21 of 1995 s. 9; No. 76 of 1996 s. 20(3); No. 28 of 2001 s. 16, 23(3) and 24.]</w:t>
      </w:r>
    </w:p>
    <w:p>
      <w:pPr>
        <w:pStyle w:val="Heading5"/>
        <w:spacing w:before="180"/>
        <w:rPr>
          <w:snapToGrid w:val="0"/>
        </w:rPr>
      </w:pPr>
      <w:bookmarkStart w:id="154" w:name="_Toc276038668"/>
      <w:bookmarkStart w:id="155" w:name="_Toc210119914"/>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154"/>
      <w:bookmarkEnd w:id="155"/>
    </w:p>
    <w:p>
      <w:pPr>
        <w:pStyle w:val="Subsection"/>
        <w:spacing w:before="12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spacing w:before="140"/>
        <w:ind w:left="890" w:hanging="890"/>
      </w:pPr>
      <w:r>
        <w:tab/>
        <w:t>[Section 32 amended by No. 28 of 2001 s. 23(2).]</w:t>
      </w:r>
    </w:p>
    <w:p>
      <w:pPr>
        <w:pStyle w:val="Heading5"/>
        <w:spacing w:before="180"/>
        <w:rPr>
          <w:snapToGrid w:val="0"/>
        </w:rPr>
      </w:pPr>
      <w:bookmarkStart w:id="156" w:name="_Toc276038669"/>
      <w:bookmarkStart w:id="157" w:name="_Toc210119915"/>
      <w:r>
        <w:rPr>
          <w:rStyle w:val="CharSectno"/>
        </w:rPr>
        <w:t>33</w:t>
      </w:r>
      <w:r>
        <w:rPr>
          <w:snapToGrid w:val="0"/>
        </w:rPr>
        <w:t>.</w:t>
      </w:r>
      <w:r>
        <w:rPr>
          <w:snapToGrid w:val="0"/>
        </w:rPr>
        <w:tab/>
        <w:t>When free licence may be extended free of charge</w:t>
      </w:r>
      <w:bookmarkEnd w:id="156"/>
      <w:bookmarkEnd w:id="157"/>
    </w:p>
    <w:p>
      <w:pPr>
        <w:pStyle w:val="Subsection"/>
        <w:spacing w:before="120"/>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spacing w:before="120"/>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158" w:name="_Toc276038670"/>
      <w:bookmarkStart w:id="159" w:name="_Toc210119916"/>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158"/>
      <w:bookmarkEnd w:id="159"/>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160" w:name="_Toc276038671"/>
      <w:bookmarkStart w:id="161" w:name="_Toc210119917"/>
      <w:r>
        <w:rPr>
          <w:rStyle w:val="CharSectno"/>
        </w:rPr>
        <w:t>35</w:t>
      </w:r>
      <w:r>
        <w:rPr>
          <w:snapToGrid w:val="0"/>
        </w:rPr>
        <w:t>.</w:t>
      </w:r>
      <w:r>
        <w:rPr>
          <w:snapToGrid w:val="0"/>
        </w:rPr>
        <w:tab/>
        <w:t>No licence to be granted or extended unless requirements regarding construction</w:t>
      </w:r>
      <w:del w:id="162" w:author="svcMRProcess" w:date="2018-09-08T08:22:00Z">
        <w:r>
          <w:rPr>
            <w:snapToGrid w:val="0"/>
          </w:rPr>
          <w:delText>,</w:delText>
        </w:r>
      </w:del>
      <w:r>
        <w:rPr>
          <w:snapToGrid w:val="0"/>
        </w:rPr>
        <w:t xml:space="preserve"> etc</w:t>
      </w:r>
      <w:del w:id="163" w:author="svcMRProcess" w:date="2018-09-08T08:22:00Z">
        <w:r>
          <w:rPr>
            <w:snapToGrid w:val="0"/>
          </w:rPr>
          <w:delText>.,</w:delText>
        </w:r>
      </w:del>
      <w:ins w:id="164" w:author="svcMRProcess" w:date="2018-09-08T08:22:00Z">
        <w:r>
          <w:rPr>
            <w:snapToGrid w:val="0"/>
          </w:rPr>
          <w:t>.</w:t>
        </w:r>
      </w:ins>
      <w:r>
        <w:rPr>
          <w:snapToGrid w:val="0"/>
        </w:rPr>
        <w:t xml:space="preserve"> of vehicles complied with</w:t>
      </w:r>
      <w:bookmarkEnd w:id="160"/>
      <w:bookmarkEnd w:id="161"/>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165" w:name="_Toc276038672"/>
      <w:bookmarkStart w:id="166" w:name="_Toc210119918"/>
      <w:r>
        <w:rPr>
          <w:rStyle w:val="CharSectno"/>
        </w:rPr>
        <w:t>36</w:t>
      </w:r>
      <w:r>
        <w:rPr>
          <w:snapToGrid w:val="0"/>
        </w:rPr>
        <w:t>.</w:t>
      </w:r>
      <w:r>
        <w:rPr>
          <w:snapToGrid w:val="0"/>
        </w:rPr>
        <w:tab/>
        <w:t>Free licence or renewal ceases to be valid when owner becomes, or transfers vehicle to, permanent resident</w:t>
      </w:r>
      <w:bookmarkEnd w:id="165"/>
      <w:bookmarkEnd w:id="166"/>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167" w:name="_Toc276038673"/>
      <w:bookmarkStart w:id="168" w:name="_Toc210119919"/>
      <w:r>
        <w:rPr>
          <w:rStyle w:val="CharSectno"/>
        </w:rPr>
        <w:t>37</w:t>
      </w:r>
      <w:r>
        <w:rPr>
          <w:snapToGrid w:val="0"/>
        </w:rPr>
        <w:t>.</w:t>
      </w:r>
      <w:r>
        <w:rPr>
          <w:snapToGrid w:val="0"/>
        </w:rPr>
        <w:tab/>
        <w:t>When provisions of Act apply as though this Part was not enacted</w:t>
      </w:r>
      <w:bookmarkEnd w:id="167"/>
      <w:bookmarkEnd w:id="168"/>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169" w:name="_Toc276038674"/>
      <w:bookmarkStart w:id="170" w:name="_Toc210119920"/>
      <w:r>
        <w:rPr>
          <w:rStyle w:val="CharSectno"/>
        </w:rPr>
        <w:t>38</w:t>
      </w:r>
      <w:r>
        <w:rPr>
          <w:snapToGrid w:val="0"/>
        </w:rPr>
        <w:t>.</w:t>
      </w:r>
      <w:r>
        <w:rPr>
          <w:snapToGrid w:val="0"/>
        </w:rPr>
        <w:tab/>
        <w:t xml:space="preserve">Registration label to be </w:t>
      </w:r>
      <w:del w:id="171" w:author="svcMRProcess" w:date="2018-09-08T08:22:00Z">
        <w:r>
          <w:rPr>
            <w:snapToGrid w:val="0"/>
          </w:rPr>
          <w:delText>issued</w:delText>
        </w:r>
      </w:del>
      <w:ins w:id="172" w:author="svcMRProcess" w:date="2018-09-08T08:22:00Z">
        <w:r>
          <w:rPr>
            <w:snapToGrid w:val="0"/>
          </w:rPr>
          <w:t>granted</w:t>
        </w:r>
      </w:ins>
      <w:r>
        <w:rPr>
          <w:snapToGrid w:val="0"/>
        </w:rPr>
        <w:t xml:space="preserve"> with each licence or renewal of licence</w:t>
      </w:r>
      <w:bookmarkEnd w:id="169"/>
      <w:bookmarkEnd w:id="170"/>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173" w:name="_Toc276038675"/>
      <w:bookmarkStart w:id="174" w:name="_Toc210119921"/>
      <w:r>
        <w:rPr>
          <w:rStyle w:val="CharSectno"/>
        </w:rPr>
        <w:t>39</w:t>
      </w:r>
      <w:r>
        <w:rPr>
          <w:snapToGrid w:val="0"/>
        </w:rPr>
        <w:t>.</w:t>
      </w:r>
      <w:r>
        <w:rPr>
          <w:snapToGrid w:val="0"/>
        </w:rPr>
        <w:tab/>
        <w:t>Number plates on overseas vehicles</w:t>
      </w:r>
      <w:bookmarkEnd w:id="173"/>
      <w:bookmarkEnd w:id="174"/>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175" w:name="_Toc276038676"/>
      <w:bookmarkStart w:id="176" w:name="_Toc210119922"/>
      <w:r>
        <w:rPr>
          <w:rStyle w:val="CharSectno"/>
        </w:rPr>
        <w:t>40</w:t>
      </w:r>
      <w:r>
        <w:rPr>
          <w:snapToGrid w:val="0"/>
        </w:rPr>
        <w:t>.</w:t>
      </w:r>
      <w:r>
        <w:rPr>
          <w:snapToGrid w:val="0"/>
        </w:rPr>
        <w:tab/>
        <w:t>Regulations</w:t>
      </w:r>
      <w:bookmarkEnd w:id="175"/>
      <w:bookmarkEnd w:id="176"/>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177" w:name="_Toc276038677"/>
      <w:bookmarkStart w:id="178" w:name="_Toc210119923"/>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177"/>
      <w:bookmarkEnd w:id="178"/>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179" w:name="_Toc87272"/>
      <w:bookmarkStart w:id="180" w:name="_Toc107717772"/>
      <w:bookmarkStart w:id="181" w:name="_Toc107717883"/>
      <w:bookmarkStart w:id="182" w:name="_Toc107717994"/>
      <w:bookmarkStart w:id="183" w:name="_Toc107718108"/>
      <w:bookmarkStart w:id="184" w:name="_Toc107718219"/>
      <w:bookmarkStart w:id="185" w:name="_Toc107718330"/>
      <w:bookmarkStart w:id="186" w:name="_Toc107718441"/>
      <w:bookmarkStart w:id="187" w:name="_Toc107718552"/>
      <w:bookmarkStart w:id="188" w:name="_Toc107718235"/>
      <w:bookmarkStart w:id="189" w:name="_Toc107718364"/>
      <w:bookmarkStart w:id="190" w:name="_Toc107718495"/>
      <w:bookmarkStart w:id="191" w:name="_Toc107718627"/>
      <w:bookmarkStart w:id="192" w:name="_Toc107719691"/>
      <w:bookmarkStart w:id="193" w:name="_Toc107724151"/>
      <w:bookmarkStart w:id="194" w:name="_Toc107728246"/>
      <w:bookmarkStart w:id="195" w:name="_Toc107732817"/>
      <w:bookmarkStart w:id="196" w:name="_Toc149442060"/>
      <w:bookmarkStart w:id="197" w:name="_Toc152558605"/>
      <w:bookmarkStart w:id="198" w:name="_Toc201980274"/>
      <w:bookmarkStart w:id="199" w:name="_Toc202335349"/>
      <w:bookmarkStart w:id="200" w:name="_Toc202770172"/>
      <w:bookmarkStart w:id="201" w:name="_Toc203541383"/>
      <w:bookmarkStart w:id="202" w:name="_Toc204067457"/>
      <w:bookmarkStart w:id="203" w:name="_Toc204072579"/>
      <w:bookmarkStart w:id="204" w:name="_Toc205284881"/>
      <w:bookmarkStart w:id="205" w:name="_Toc207510102"/>
      <w:bookmarkStart w:id="206" w:name="_Toc207675509"/>
      <w:bookmarkStart w:id="207" w:name="_Toc207685059"/>
      <w:bookmarkStart w:id="208" w:name="_Toc208978913"/>
      <w:bookmarkStart w:id="209" w:name="_Toc208979227"/>
      <w:bookmarkStart w:id="210" w:name="_Toc209246403"/>
      <w:bookmarkStart w:id="211" w:name="_Toc211654423"/>
      <w:bookmarkStart w:id="212" w:name="_Toc276038678"/>
      <w:bookmarkStart w:id="213" w:name="_Toc210119924"/>
      <w:bookmarkStart w:id="214" w:name="_Toc201457527"/>
      <w:r>
        <w:rPr>
          <w:rStyle w:val="CharPartNo"/>
        </w:rPr>
        <w:t>Part IVA</w:t>
      </w:r>
      <w:r>
        <w:t> — </w:t>
      </w:r>
      <w:r>
        <w:rPr>
          <w:rStyle w:val="CharPartText"/>
        </w:rPr>
        <w:t>Authorisation to drive</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Footnoteheading"/>
      </w:pPr>
      <w:bookmarkStart w:id="215" w:name="_Hlt536434955"/>
      <w:bookmarkStart w:id="216" w:name="_Toc87273"/>
      <w:bookmarkStart w:id="217" w:name="_Toc107717445"/>
      <w:bookmarkStart w:id="218" w:name="_Toc107717554"/>
      <w:bookmarkStart w:id="219" w:name="_Toc107717663"/>
      <w:bookmarkStart w:id="220" w:name="_Toc107717773"/>
      <w:bookmarkStart w:id="221" w:name="_Toc107717884"/>
      <w:bookmarkStart w:id="222" w:name="_Toc107717995"/>
      <w:bookmarkStart w:id="223" w:name="_Toc107718109"/>
      <w:bookmarkStart w:id="224" w:name="_Toc107718220"/>
      <w:bookmarkStart w:id="225" w:name="_Toc107718331"/>
      <w:bookmarkStart w:id="226" w:name="_Toc107718442"/>
      <w:bookmarkStart w:id="227" w:name="_Toc107718553"/>
      <w:bookmarkStart w:id="228" w:name="_Toc107718236"/>
      <w:bookmarkStart w:id="229" w:name="_Toc107718365"/>
      <w:bookmarkStart w:id="230" w:name="_Toc107718496"/>
      <w:bookmarkStart w:id="231" w:name="_Toc107718628"/>
      <w:bookmarkStart w:id="232" w:name="_Toc107719692"/>
      <w:bookmarkStart w:id="233" w:name="_Toc107724152"/>
      <w:bookmarkStart w:id="234" w:name="_Toc107728247"/>
      <w:bookmarkStart w:id="235" w:name="_Toc107732818"/>
      <w:bookmarkStart w:id="236" w:name="_Toc149442061"/>
      <w:bookmarkStart w:id="237" w:name="_Toc152558606"/>
      <w:bookmarkStart w:id="238" w:name="_Toc201980275"/>
      <w:bookmarkEnd w:id="215"/>
      <w:r>
        <w:tab/>
        <w:t>[Heading inserted by No. 54 of 2006 s. 6.]</w:t>
      </w:r>
    </w:p>
    <w:p>
      <w:pPr>
        <w:pStyle w:val="Heading3"/>
      </w:pPr>
      <w:bookmarkStart w:id="239" w:name="_Toc202335350"/>
      <w:bookmarkStart w:id="240" w:name="_Toc202770173"/>
      <w:bookmarkStart w:id="241" w:name="_Toc203541384"/>
      <w:bookmarkStart w:id="242" w:name="_Toc204067458"/>
      <w:bookmarkStart w:id="243" w:name="_Toc204072580"/>
      <w:bookmarkStart w:id="244" w:name="_Toc205284882"/>
      <w:bookmarkStart w:id="245" w:name="_Toc207510103"/>
      <w:bookmarkStart w:id="246" w:name="_Toc207675510"/>
      <w:bookmarkStart w:id="247" w:name="_Toc207685060"/>
      <w:bookmarkStart w:id="248" w:name="_Toc208978914"/>
      <w:bookmarkStart w:id="249" w:name="_Toc208979228"/>
      <w:bookmarkStart w:id="250" w:name="_Toc209246404"/>
      <w:bookmarkStart w:id="251" w:name="_Toc211654424"/>
      <w:bookmarkStart w:id="252" w:name="_Toc276038679"/>
      <w:bookmarkStart w:id="253" w:name="_Toc210119925"/>
      <w:r>
        <w:rPr>
          <w:rStyle w:val="CharDivNo"/>
        </w:rPr>
        <w:t>Division 1</w:t>
      </w:r>
      <w:r>
        <w:t> — </w:t>
      </w:r>
      <w:r>
        <w:rPr>
          <w:rStyle w:val="CharDivText"/>
        </w:rPr>
        <w:t>Preliminary</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Footnoteheading"/>
      </w:pPr>
      <w:bookmarkStart w:id="254" w:name="_Hlt533586381"/>
      <w:bookmarkStart w:id="255" w:name="_Toc87274"/>
      <w:bookmarkStart w:id="256" w:name="_Toc149442062"/>
      <w:bookmarkStart w:id="257" w:name="_Toc152558607"/>
      <w:bookmarkStart w:id="258" w:name="_Toc201980276"/>
      <w:bookmarkEnd w:id="254"/>
      <w:r>
        <w:tab/>
        <w:t>[Heading inserted by No. 54 of 2006 s. 6.]</w:t>
      </w:r>
    </w:p>
    <w:p>
      <w:pPr>
        <w:pStyle w:val="Heading5"/>
      </w:pPr>
      <w:bookmarkStart w:id="259" w:name="_Toc210119926"/>
      <w:bookmarkStart w:id="260" w:name="_Toc276038680"/>
      <w:r>
        <w:rPr>
          <w:rStyle w:val="CharSectno"/>
        </w:rPr>
        <w:t>41A</w:t>
      </w:r>
      <w:r>
        <w:t>.</w:t>
      </w:r>
      <w:r>
        <w:tab/>
      </w:r>
      <w:bookmarkEnd w:id="255"/>
      <w:bookmarkEnd w:id="256"/>
      <w:bookmarkEnd w:id="257"/>
      <w:bookmarkEnd w:id="258"/>
      <w:del w:id="261" w:author="svcMRProcess" w:date="2018-09-08T08:22:00Z">
        <w:r>
          <w:delText>Definitions</w:delText>
        </w:r>
      </w:del>
      <w:bookmarkEnd w:id="259"/>
      <w:ins w:id="262" w:author="svcMRProcess" w:date="2018-09-08T08:22:00Z">
        <w:r>
          <w:t>Terms used in this Part</w:t>
        </w:r>
      </w:ins>
      <w:bookmarkEnd w:id="260"/>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263" w:name="_Hlt533586474"/>
      <w:bookmarkEnd w:id="263"/>
    </w:p>
    <w:p>
      <w:pPr>
        <w:pStyle w:val="Footnotesection"/>
      </w:pPr>
      <w:r>
        <w:tab/>
        <w:t>[Section 41A inserted by No. 54 of 2006 s. 6.]</w:t>
      </w:r>
    </w:p>
    <w:p>
      <w:pPr>
        <w:pStyle w:val="Heading3"/>
      </w:pPr>
      <w:bookmarkStart w:id="264" w:name="_Hlt536609103"/>
      <w:bookmarkStart w:id="265" w:name="_Toc87275"/>
      <w:bookmarkStart w:id="266" w:name="_Toc107717447"/>
      <w:bookmarkStart w:id="267" w:name="_Toc107717556"/>
      <w:bookmarkStart w:id="268" w:name="_Toc107717665"/>
      <w:bookmarkStart w:id="269" w:name="_Toc107717775"/>
      <w:bookmarkStart w:id="270" w:name="_Toc107717886"/>
      <w:bookmarkStart w:id="271" w:name="_Toc107717997"/>
      <w:bookmarkStart w:id="272" w:name="_Toc107718111"/>
      <w:bookmarkStart w:id="273" w:name="_Toc107718222"/>
      <w:bookmarkStart w:id="274" w:name="_Toc107718333"/>
      <w:bookmarkStart w:id="275" w:name="_Toc107718444"/>
      <w:bookmarkStart w:id="276" w:name="_Toc107718555"/>
      <w:bookmarkStart w:id="277" w:name="_Toc107718238"/>
      <w:bookmarkStart w:id="278" w:name="_Toc107718367"/>
      <w:bookmarkStart w:id="279" w:name="_Toc107718498"/>
      <w:bookmarkStart w:id="280" w:name="_Toc107718630"/>
      <w:bookmarkStart w:id="281" w:name="_Toc107719694"/>
      <w:bookmarkStart w:id="282" w:name="_Toc107724154"/>
      <w:bookmarkStart w:id="283" w:name="_Toc107728249"/>
      <w:bookmarkStart w:id="284" w:name="_Toc107732820"/>
      <w:bookmarkStart w:id="285" w:name="_Toc149442063"/>
      <w:bookmarkStart w:id="286" w:name="_Toc152558608"/>
      <w:bookmarkStart w:id="287" w:name="_Toc201980277"/>
      <w:bookmarkStart w:id="288" w:name="_Toc202335352"/>
      <w:bookmarkStart w:id="289" w:name="_Toc202770175"/>
      <w:bookmarkStart w:id="290" w:name="_Toc203541386"/>
      <w:bookmarkStart w:id="291" w:name="_Toc204067460"/>
      <w:bookmarkStart w:id="292" w:name="_Toc204072582"/>
      <w:bookmarkStart w:id="293" w:name="_Toc205284884"/>
      <w:bookmarkStart w:id="294" w:name="_Toc207510105"/>
      <w:bookmarkStart w:id="295" w:name="_Toc207675512"/>
      <w:bookmarkStart w:id="296" w:name="_Toc207685062"/>
      <w:bookmarkStart w:id="297" w:name="_Toc208978916"/>
      <w:bookmarkStart w:id="298" w:name="_Toc208979230"/>
      <w:bookmarkStart w:id="299" w:name="_Toc209246406"/>
      <w:bookmarkStart w:id="300" w:name="_Toc211654426"/>
      <w:bookmarkStart w:id="301" w:name="_Toc276038681"/>
      <w:bookmarkStart w:id="302" w:name="_Toc210119927"/>
      <w:bookmarkEnd w:id="264"/>
      <w:r>
        <w:rPr>
          <w:rStyle w:val="CharDivNo"/>
        </w:rPr>
        <w:t>Division 2</w:t>
      </w:r>
      <w:r>
        <w:t> — </w:t>
      </w:r>
      <w:r>
        <w:rPr>
          <w:rStyle w:val="CharDivText"/>
        </w:rPr>
        <w:t>Driver licensing</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Footnoteheading"/>
      </w:pPr>
      <w:bookmarkStart w:id="303" w:name="_Toc87276"/>
      <w:bookmarkStart w:id="304" w:name="_Toc149442064"/>
      <w:bookmarkStart w:id="305" w:name="_Toc152558609"/>
      <w:bookmarkStart w:id="306" w:name="_Toc201980278"/>
      <w:r>
        <w:tab/>
        <w:t>[Heading inserted by No. 54 of 2006 s. 6.]</w:t>
      </w:r>
    </w:p>
    <w:p>
      <w:pPr>
        <w:pStyle w:val="Heading5"/>
      </w:pPr>
      <w:bookmarkStart w:id="307" w:name="_Toc276038682"/>
      <w:bookmarkStart w:id="308" w:name="_Toc210119928"/>
      <w:r>
        <w:rPr>
          <w:rStyle w:val="CharSectno"/>
        </w:rPr>
        <w:t>42</w:t>
      </w:r>
      <w:r>
        <w:t>.</w:t>
      </w:r>
      <w:r>
        <w:tab/>
        <w:t>Regulations for driver licensing scheme</w:t>
      </w:r>
      <w:bookmarkEnd w:id="303"/>
      <w:bookmarkEnd w:id="304"/>
      <w:bookmarkEnd w:id="305"/>
      <w:bookmarkEnd w:id="306"/>
      <w:bookmarkEnd w:id="307"/>
      <w:bookmarkEnd w:id="308"/>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309" w:name="_Hlt533245515"/>
      <w:bookmarkEnd w:id="309"/>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310" w:name="_Toc87277"/>
      <w:bookmarkStart w:id="311" w:name="_Toc149442065"/>
      <w:bookmarkStart w:id="312" w:name="_Toc152558610"/>
      <w:bookmarkStart w:id="313" w:name="_Toc201980279"/>
      <w:r>
        <w:tab/>
        <w:t>[Section 42 inserted by No. 54 of 2006 s. 6.]</w:t>
      </w:r>
    </w:p>
    <w:p>
      <w:pPr>
        <w:pStyle w:val="Heading5"/>
      </w:pPr>
      <w:bookmarkStart w:id="314" w:name="_Toc276038683"/>
      <w:bookmarkStart w:id="315" w:name="_Toc210119929"/>
      <w:r>
        <w:rPr>
          <w:rStyle w:val="CharSectno"/>
        </w:rPr>
        <w:t>42A</w:t>
      </w:r>
      <w:r>
        <w:t>.</w:t>
      </w:r>
      <w:r>
        <w:tab/>
        <w:t>Director General’s licensing functions</w:t>
      </w:r>
      <w:bookmarkEnd w:id="310"/>
      <w:bookmarkEnd w:id="311"/>
      <w:bookmarkEnd w:id="312"/>
      <w:bookmarkEnd w:id="313"/>
      <w:bookmarkEnd w:id="314"/>
      <w:bookmarkEnd w:id="315"/>
    </w:p>
    <w:p>
      <w:pPr>
        <w:pStyle w:val="Subsection"/>
      </w:pPr>
      <w:r>
        <w:tab/>
      </w:r>
      <w:r>
        <w:tab/>
        <w:t xml:space="preserve">It is a function of the Director General to administer the driver </w:t>
      </w:r>
      <w:bookmarkStart w:id="316" w:name="_Hlt536435703"/>
      <w:bookmarkEnd w:id="316"/>
      <w:r>
        <w:t>licensing scheme under this Part.</w:t>
      </w:r>
    </w:p>
    <w:p>
      <w:pPr>
        <w:pStyle w:val="Footnotesection"/>
      </w:pPr>
      <w:bookmarkStart w:id="317" w:name="_Toc87278"/>
      <w:bookmarkStart w:id="318" w:name="_Toc149442066"/>
      <w:bookmarkStart w:id="319" w:name="_Toc152558611"/>
      <w:bookmarkStart w:id="320" w:name="_Toc201980280"/>
      <w:r>
        <w:tab/>
        <w:t>[Section 42A inserted by No. 54 of 2006 s. 6.]</w:t>
      </w:r>
    </w:p>
    <w:p>
      <w:pPr>
        <w:pStyle w:val="Heading5"/>
      </w:pPr>
      <w:bookmarkStart w:id="321" w:name="_Toc276038684"/>
      <w:bookmarkStart w:id="322" w:name="_Toc210119930"/>
      <w:r>
        <w:rPr>
          <w:rStyle w:val="CharSectno"/>
        </w:rPr>
        <w:t>42B</w:t>
      </w:r>
      <w:r>
        <w:t>.</w:t>
      </w:r>
      <w:r>
        <w:tab/>
        <w:t>Certain licences authorise learner driving</w:t>
      </w:r>
      <w:bookmarkEnd w:id="317"/>
      <w:bookmarkEnd w:id="318"/>
      <w:bookmarkEnd w:id="319"/>
      <w:bookmarkEnd w:id="320"/>
      <w:bookmarkEnd w:id="321"/>
      <w:bookmarkEnd w:id="322"/>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323" w:name="_Hlt536607696"/>
      <w:bookmarkStart w:id="324" w:name="_Toc87279"/>
      <w:bookmarkStart w:id="325" w:name="_Toc149442067"/>
      <w:bookmarkStart w:id="326" w:name="_Toc152558612"/>
      <w:bookmarkStart w:id="327" w:name="_Toc201980281"/>
      <w:bookmarkEnd w:id="323"/>
      <w:r>
        <w:tab/>
        <w:t>[Section 42B inserted by No. 54 of 2006 s. 6.]</w:t>
      </w:r>
    </w:p>
    <w:p>
      <w:pPr>
        <w:pStyle w:val="Heading5"/>
      </w:pPr>
      <w:bookmarkStart w:id="328" w:name="_Toc276038685"/>
      <w:bookmarkStart w:id="329" w:name="_Toc210119931"/>
      <w:r>
        <w:rPr>
          <w:rStyle w:val="CharSectno"/>
        </w:rPr>
        <w:t>42C</w:t>
      </w:r>
      <w:r>
        <w:t>.</w:t>
      </w:r>
      <w:r>
        <w:tab/>
        <w:t>Dishonestly obtained driver’s licence</w:t>
      </w:r>
      <w:bookmarkEnd w:id="324"/>
      <w:bookmarkEnd w:id="325"/>
      <w:bookmarkEnd w:id="326"/>
      <w:bookmarkEnd w:id="327"/>
      <w:bookmarkEnd w:id="328"/>
      <w:bookmarkEnd w:id="329"/>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330" w:name="_Hlt536352324"/>
      <w:bookmarkStart w:id="331" w:name="_Toc87280"/>
      <w:bookmarkStart w:id="332" w:name="_Toc149442068"/>
      <w:bookmarkStart w:id="333" w:name="_Toc152558613"/>
      <w:bookmarkStart w:id="334" w:name="_Toc201980282"/>
      <w:bookmarkEnd w:id="330"/>
      <w:r>
        <w:tab/>
        <w:t>[Section 42C inserted by No. 54 of 2006 s. 6.]</w:t>
      </w:r>
    </w:p>
    <w:p>
      <w:pPr>
        <w:pStyle w:val="Heading5"/>
      </w:pPr>
      <w:bookmarkStart w:id="335" w:name="_Toc276038686"/>
      <w:bookmarkStart w:id="336" w:name="_Toc210119932"/>
      <w:r>
        <w:rPr>
          <w:rStyle w:val="CharSectno"/>
        </w:rPr>
        <w:t>42D</w:t>
      </w:r>
      <w:r>
        <w:t>.</w:t>
      </w:r>
      <w:r>
        <w:tab/>
        <w:t>Driver’s licence not to be granted or renewed in certain circumstances</w:t>
      </w:r>
      <w:bookmarkEnd w:id="331"/>
      <w:bookmarkEnd w:id="332"/>
      <w:bookmarkEnd w:id="333"/>
      <w:bookmarkEnd w:id="334"/>
      <w:bookmarkEnd w:id="335"/>
      <w:bookmarkEnd w:id="336"/>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337" w:name="_Toc87281"/>
      <w:bookmarkStart w:id="338" w:name="_Toc149442069"/>
      <w:bookmarkStart w:id="339" w:name="_Toc152558614"/>
      <w:bookmarkStart w:id="340" w:name="_Toc201980283"/>
      <w:r>
        <w:tab/>
        <w:t>[Section 42D inserted by No. 54 of 2006 s. 6.]</w:t>
      </w:r>
    </w:p>
    <w:p>
      <w:pPr>
        <w:pStyle w:val="Heading5"/>
      </w:pPr>
      <w:bookmarkStart w:id="341" w:name="_Toc276038687"/>
      <w:bookmarkStart w:id="342" w:name="_Toc210119933"/>
      <w:r>
        <w:rPr>
          <w:rStyle w:val="CharSectno"/>
        </w:rPr>
        <w:t>42E</w:t>
      </w:r>
      <w:r>
        <w:t>.</w:t>
      </w:r>
      <w:r>
        <w:tab/>
        <w:t>Additional matters to do with identity</w:t>
      </w:r>
      <w:bookmarkEnd w:id="337"/>
      <w:bookmarkEnd w:id="338"/>
      <w:bookmarkEnd w:id="339"/>
      <w:bookmarkEnd w:id="340"/>
      <w:bookmarkEnd w:id="341"/>
      <w:bookmarkEnd w:id="342"/>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343" w:name="_Hlt533497380"/>
      <w:bookmarkEnd w:id="343"/>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344" w:name="_Toc87282"/>
      <w:bookmarkStart w:id="345" w:name="_Toc107717454"/>
      <w:bookmarkStart w:id="346" w:name="_Toc107717563"/>
      <w:bookmarkStart w:id="347" w:name="_Toc107717672"/>
      <w:bookmarkStart w:id="348" w:name="_Toc107717782"/>
      <w:bookmarkStart w:id="349" w:name="_Toc107717893"/>
      <w:bookmarkStart w:id="350" w:name="_Toc107718004"/>
      <w:bookmarkStart w:id="351" w:name="_Toc107718118"/>
      <w:bookmarkStart w:id="352" w:name="_Toc107718229"/>
      <w:bookmarkStart w:id="353" w:name="_Toc107718340"/>
      <w:bookmarkStart w:id="354" w:name="_Toc107718451"/>
      <w:bookmarkStart w:id="355" w:name="_Toc107718562"/>
      <w:bookmarkStart w:id="356" w:name="_Toc107718245"/>
      <w:bookmarkStart w:id="357" w:name="_Toc107718374"/>
      <w:bookmarkStart w:id="358" w:name="_Toc107718507"/>
      <w:bookmarkStart w:id="359" w:name="_Toc107718640"/>
      <w:bookmarkStart w:id="360" w:name="_Toc107719701"/>
      <w:bookmarkStart w:id="361" w:name="_Toc107724161"/>
      <w:bookmarkStart w:id="362" w:name="_Toc107728256"/>
      <w:bookmarkStart w:id="363" w:name="_Toc107732827"/>
      <w:bookmarkStart w:id="364" w:name="_Toc149442070"/>
      <w:bookmarkStart w:id="365" w:name="_Toc152558615"/>
      <w:bookmarkStart w:id="366" w:name="_Toc201980284"/>
      <w:r>
        <w:tab/>
        <w:t>[Section 42E inserted by No. 54 of 2006 s. 6.]</w:t>
      </w:r>
    </w:p>
    <w:p>
      <w:pPr>
        <w:pStyle w:val="Heading3"/>
        <w:keepLines/>
      </w:pPr>
      <w:bookmarkStart w:id="367" w:name="_Toc202335359"/>
      <w:bookmarkStart w:id="368" w:name="_Toc202770182"/>
      <w:bookmarkStart w:id="369" w:name="_Toc203541393"/>
      <w:bookmarkStart w:id="370" w:name="_Toc204067467"/>
      <w:bookmarkStart w:id="371" w:name="_Toc204072589"/>
      <w:bookmarkStart w:id="372" w:name="_Toc205284891"/>
      <w:bookmarkStart w:id="373" w:name="_Toc207510112"/>
      <w:bookmarkStart w:id="374" w:name="_Toc207675519"/>
      <w:bookmarkStart w:id="375" w:name="_Toc207685069"/>
      <w:bookmarkStart w:id="376" w:name="_Toc208978923"/>
      <w:bookmarkStart w:id="377" w:name="_Toc208979237"/>
      <w:bookmarkStart w:id="378" w:name="_Toc209246413"/>
      <w:bookmarkStart w:id="379" w:name="_Toc211654433"/>
      <w:bookmarkStart w:id="380" w:name="_Toc276038688"/>
      <w:bookmarkStart w:id="381" w:name="_Toc210119934"/>
      <w:r>
        <w:rPr>
          <w:rStyle w:val="CharDivNo"/>
        </w:rPr>
        <w:t>Division 3</w:t>
      </w:r>
      <w:r>
        <w:t xml:space="preserve"> — </w:t>
      </w:r>
      <w:r>
        <w:rPr>
          <w:rStyle w:val="CharDivText"/>
        </w:rPr>
        <w:t>Learner’s permit</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Footnoteheading"/>
        <w:keepNext/>
        <w:keepLines/>
      </w:pPr>
      <w:r>
        <w:tab/>
        <w:t>[Heading inserted by No. 54 of 2006 s. 6.]</w:t>
      </w:r>
    </w:p>
    <w:p>
      <w:pPr>
        <w:pStyle w:val="Heading5"/>
      </w:pPr>
      <w:bookmarkStart w:id="382" w:name="_Hlt536498192"/>
      <w:bookmarkStart w:id="383" w:name="_Toc87283"/>
      <w:bookmarkStart w:id="384" w:name="_Toc149442071"/>
      <w:bookmarkStart w:id="385" w:name="_Toc152558616"/>
      <w:bookmarkStart w:id="386" w:name="_Toc201980285"/>
      <w:bookmarkStart w:id="387" w:name="_Toc276038689"/>
      <w:bookmarkStart w:id="388" w:name="_Toc210119935"/>
      <w:bookmarkEnd w:id="382"/>
      <w:r>
        <w:rPr>
          <w:rStyle w:val="CharSectno"/>
        </w:rPr>
        <w:t>43</w:t>
      </w:r>
      <w:r>
        <w:t>.</w:t>
      </w:r>
      <w:r>
        <w:tab/>
        <w:t>Learner’s permit</w:t>
      </w:r>
      <w:bookmarkEnd w:id="383"/>
      <w:bookmarkEnd w:id="384"/>
      <w:bookmarkEnd w:id="385"/>
      <w:bookmarkEnd w:id="386"/>
      <w:bookmarkEnd w:id="387"/>
      <w:bookmarkEnd w:id="388"/>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389" w:name="_Hlt536498080"/>
      <w:bookmarkStart w:id="390" w:name="_Toc87284"/>
      <w:bookmarkStart w:id="391" w:name="_Toc107717456"/>
      <w:bookmarkStart w:id="392" w:name="_Toc107717565"/>
      <w:bookmarkStart w:id="393" w:name="_Toc107717674"/>
      <w:bookmarkStart w:id="394" w:name="_Toc107717784"/>
      <w:bookmarkStart w:id="395" w:name="_Toc107717895"/>
      <w:bookmarkStart w:id="396" w:name="_Toc107718006"/>
      <w:bookmarkStart w:id="397" w:name="_Toc107718120"/>
      <w:bookmarkStart w:id="398" w:name="_Toc107718231"/>
      <w:bookmarkStart w:id="399" w:name="_Toc107718342"/>
      <w:bookmarkStart w:id="400" w:name="_Toc107718453"/>
      <w:bookmarkStart w:id="401" w:name="_Toc107718564"/>
      <w:bookmarkStart w:id="402" w:name="_Toc107718247"/>
      <w:bookmarkStart w:id="403" w:name="_Toc107718376"/>
      <w:bookmarkStart w:id="404" w:name="_Toc107718509"/>
      <w:bookmarkStart w:id="405" w:name="_Toc107718643"/>
      <w:bookmarkStart w:id="406" w:name="_Toc107719703"/>
      <w:bookmarkStart w:id="407" w:name="_Toc107724163"/>
      <w:bookmarkStart w:id="408" w:name="_Toc107728258"/>
      <w:bookmarkStart w:id="409" w:name="_Toc107732829"/>
      <w:bookmarkStart w:id="410" w:name="_Toc149442072"/>
      <w:bookmarkStart w:id="411" w:name="_Toc152558617"/>
      <w:bookmarkStart w:id="412" w:name="_Toc201980286"/>
      <w:bookmarkEnd w:id="389"/>
      <w:r>
        <w:tab/>
        <w:t>[Section 43 inserted by No. 54 of 2006 s. 6.]</w:t>
      </w:r>
    </w:p>
    <w:p>
      <w:pPr>
        <w:pStyle w:val="Heading3"/>
        <w:keepLines/>
      </w:pPr>
      <w:bookmarkStart w:id="413" w:name="_Toc202335361"/>
      <w:bookmarkStart w:id="414" w:name="_Toc202770184"/>
      <w:bookmarkStart w:id="415" w:name="_Toc203541395"/>
      <w:bookmarkStart w:id="416" w:name="_Toc204067469"/>
      <w:bookmarkStart w:id="417" w:name="_Toc204072591"/>
      <w:bookmarkStart w:id="418" w:name="_Toc205284893"/>
      <w:bookmarkStart w:id="419" w:name="_Toc207510114"/>
      <w:bookmarkStart w:id="420" w:name="_Toc207675521"/>
      <w:bookmarkStart w:id="421" w:name="_Toc207685071"/>
      <w:bookmarkStart w:id="422" w:name="_Toc208978925"/>
      <w:bookmarkStart w:id="423" w:name="_Toc208979239"/>
      <w:bookmarkStart w:id="424" w:name="_Toc209246415"/>
      <w:bookmarkStart w:id="425" w:name="_Toc211654435"/>
      <w:bookmarkStart w:id="426" w:name="_Toc276038690"/>
      <w:bookmarkStart w:id="427" w:name="_Toc210119936"/>
      <w:r>
        <w:rPr>
          <w:rStyle w:val="CharDivNo"/>
        </w:rPr>
        <w:t>Division 4</w:t>
      </w:r>
      <w:r>
        <w:t xml:space="preserve"> — </w:t>
      </w:r>
      <w:r>
        <w:rPr>
          <w:rStyle w:val="CharDivText"/>
        </w:rPr>
        <w:t>Other matters about driver authorisations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Footnoteheading"/>
        <w:keepNext/>
        <w:keepLines/>
      </w:pPr>
      <w:bookmarkStart w:id="428" w:name="_Toc87285"/>
      <w:bookmarkStart w:id="429" w:name="_Toc149442073"/>
      <w:bookmarkStart w:id="430" w:name="_Toc152558618"/>
      <w:bookmarkStart w:id="431" w:name="_Toc201980287"/>
      <w:r>
        <w:tab/>
        <w:t>[Heading inserted by No. 54 of 2006 s. 6.]</w:t>
      </w:r>
    </w:p>
    <w:p>
      <w:pPr>
        <w:pStyle w:val="Heading5"/>
      </w:pPr>
      <w:bookmarkStart w:id="432" w:name="_Toc276038691"/>
      <w:bookmarkStart w:id="433" w:name="_Toc210119937"/>
      <w:r>
        <w:rPr>
          <w:rStyle w:val="CharSectno"/>
        </w:rPr>
        <w:t>44</w:t>
      </w:r>
      <w:r>
        <w:t>.</w:t>
      </w:r>
      <w:r>
        <w:tab/>
        <w:t>Authorisation to drive without a driver’s licence</w:t>
      </w:r>
      <w:bookmarkEnd w:id="428"/>
      <w:bookmarkEnd w:id="429"/>
      <w:bookmarkEnd w:id="430"/>
      <w:bookmarkEnd w:id="431"/>
      <w:bookmarkEnd w:id="432"/>
      <w:bookmarkEnd w:id="433"/>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434" w:name="_Toc87286"/>
      <w:bookmarkStart w:id="435" w:name="_Toc149442074"/>
      <w:bookmarkStart w:id="436" w:name="_Toc152558619"/>
      <w:bookmarkStart w:id="437" w:name="_Toc201980288"/>
      <w:r>
        <w:tab/>
        <w:t>[Section 44 inserted by No. 54 of 2006 s. 6.]</w:t>
      </w:r>
    </w:p>
    <w:p>
      <w:pPr>
        <w:pStyle w:val="Heading5"/>
      </w:pPr>
      <w:bookmarkStart w:id="438" w:name="_Toc276038692"/>
      <w:bookmarkStart w:id="439" w:name="_Toc210119938"/>
      <w:r>
        <w:rPr>
          <w:rStyle w:val="CharSectno"/>
        </w:rPr>
        <w:t>44A</w:t>
      </w:r>
      <w:r>
        <w:t>.</w:t>
      </w:r>
      <w:r>
        <w:tab/>
        <w:t>Driving while undergoing driving test</w:t>
      </w:r>
      <w:bookmarkEnd w:id="434"/>
      <w:bookmarkEnd w:id="435"/>
      <w:bookmarkEnd w:id="436"/>
      <w:bookmarkEnd w:id="437"/>
      <w:bookmarkEnd w:id="438"/>
      <w:bookmarkEnd w:id="439"/>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440" w:name="_Hlt536607932"/>
      <w:bookmarkStart w:id="441" w:name="_Toc87287"/>
      <w:bookmarkStart w:id="442" w:name="_Toc149442075"/>
      <w:bookmarkStart w:id="443" w:name="_Toc152558620"/>
      <w:bookmarkStart w:id="444" w:name="_Toc201980289"/>
      <w:bookmarkEnd w:id="440"/>
      <w:r>
        <w:tab/>
        <w:t>[Section 44A inserted by No. 54 of 2006 s. 6.]</w:t>
      </w:r>
    </w:p>
    <w:p>
      <w:pPr>
        <w:pStyle w:val="Heading5"/>
      </w:pPr>
      <w:bookmarkStart w:id="445" w:name="_Toc276038693"/>
      <w:bookmarkStart w:id="446" w:name="_Toc210119939"/>
      <w:r>
        <w:rPr>
          <w:rStyle w:val="CharSectno"/>
        </w:rPr>
        <w:t>44B</w:t>
      </w:r>
      <w:r>
        <w:t>.</w:t>
      </w:r>
      <w:r>
        <w:tab/>
        <w:t>Recognition of authorisation of another jurisdiction</w:t>
      </w:r>
      <w:bookmarkEnd w:id="441"/>
      <w:bookmarkEnd w:id="442"/>
      <w:bookmarkEnd w:id="443"/>
      <w:bookmarkEnd w:id="444"/>
      <w:bookmarkEnd w:id="445"/>
      <w:bookmarkEnd w:id="446"/>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447" w:name="_Toc87288"/>
      <w:bookmarkStart w:id="448" w:name="_Toc149442076"/>
      <w:bookmarkStart w:id="449" w:name="_Toc152558621"/>
      <w:bookmarkStart w:id="450" w:name="_Toc201980290"/>
      <w:r>
        <w:tab/>
        <w:t>[Section 44B inserted by No. 54 of 2006 s. 6.]</w:t>
      </w:r>
    </w:p>
    <w:p>
      <w:pPr>
        <w:pStyle w:val="Heading5"/>
      </w:pPr>
      <w:bookmarkStart w:id="451" w:name="_Toc276038694"/>
      <w:bookmarkStart w:id="452" w:name="_Toc210119940"/>
      <w:r>
        <w:rPr>
          <w:rStyle w:val="CharSectno"/>
        </w:rPr>
        <w:t>44C</w:t>
      </w:r>
      <w:r>
        <w:t>.</w:t>
      </w:r>
      <w:r>
        <w:tab/>
        <w:t>Things in other jurisdictions may affect authorisation to drive in WA</w:t>
      </w:r>
      <w:bookmarkEnd w:id="447"/>
      <w:bookmarkEnd w:id="448"/>
      <w:bookmarkEnd w:id="449"/>
      <w:bookmarkEnd w:id="450"/>
      <w:bookmarkEnd w:id="451"/>
      <w:bookmarkEnd w:id="452"/>
    </w:p>
    <w:p>
      <w:pPr>
        <w:pStyle w:val="Subsection"/>
        <w:outlineLvl w:val="0"/>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outlineLvl w:val="0"/>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453" w:name="_Toc87289"/>
      <w:bookmarkStart w:id="454" w:name="_Toc149442077"/>
      <w:bookmarkStart w:id="455" w:name="_Toc152558622"/>
      <w:bookmarkStart w:id="456" w:name="_Toc201980291"/>
      <w:r>
        <w:tab/>
        <w:t>[Section 44C inserted by No. 54 of 2006 s. 6.]</w:t>
      </w:r>
    </w:p>
    <w:p>
      <w:pPr>
        <w:pStyle w:val="Heading5"/>
      </w:pPr>
      <w:bookmarkStart w:id="457" w:name="_Toc276038695"/>
      <w:bookmarkStart w:id="458" w:name="_Toc210119941"/>
      <w:r>
        <w:rPr>
          <w:rStyle w:val="CharSectno"/>
        </w:rPr>
        <w:t>44D</w:t>
      </w:r>
      <w:r>
        <w:t>.</w:t>
      </w:r>
      <w:r>
        <w:tab/>
        <w:t xml:space="preserve">External </w:t>
      </w:r>
      <w:del w:id="459" w:author="svcMRProcess" w:date="2018-09-08T08:22:00Z">
        <w:r>
          <w:delText>territories</w:delText>
        </w:r>
      </w:del>
      <w:ins w:id="460" w:author="svcMRProcess" w:date="2018-09-08T08:22:00Z">
        <w:r>
          <w:t>Territories</w:t>
        </w:r>
      </w:ins>
      <w:r>
        <w:t xml:space="preserve"> and other countries</w:t>
      </w:r>
      <w:bookmarkEnd w:id="453"/>
      <w:bookmarkEnd w:id="454"/>
      <w:bookmarkEnd w:id="455"/>
      <w:bookmarkEnd w:id="456"/>
      <w:bookmarkEnd w:id="457"/>
      <w:bookmarkEnd w:id="458"/>
    </w:p>
    <w:p>
      <w:pPr>
        <w:pStyle w:val="Subsection"/>
        <w:outlineLvl w:val="0"/>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outlineLvl w:val="0"/>
      </w:pPr>
      <w:r>
        <w:tab/>
        <w:t>(2)</w:t>
      </w:r>
      <w:r>
        <w:tab/>
        <w:t xml:space="preserve">In subsection (1) — </w:t>
      </w:r>
    </w:p>
    <w:p>
      <w:pPr>
        <w:pStyle w:val="Defstart"/>
      </w:pPr>
      <w:r>
        <w:tab/>
      </w:r>
      <w:r>
        <w:rPr>
          <w:rStyle w:val="CharDefText"/>
        </w:rPr>
        <w:t>foreign law</w:t>
      </w:r>
      <w:r>
        <w:t xml:space="preserve"> means the law of an external </w:t>
      </w:r>
      <w:del w:id="461" w:author="svcMRProcess" w:date="2018-09-08T08:22:00Z">
        <w:r>
          <w:delText>territory</w:delText>
        </w:r>
      </w:del>
      <w:ins w:id="462" w:author="svcMRProcess" w:date="2018-09-08T08:22:00Z">
        <w:r>
          <w:t>Territory</w:t>
        </w:r>
      </w:ins>
      <w:r>
        <w:t xml:space="preserve">, as defined in the </w:t>
      </w:r>
      <w:r>
        <w:rPr>
          <w:i/>
        </w:rPr>
        <w:t>Acts Interpretation Act 1901</w:t>
      </w:r>
      <w:r>
        <w:t xml:space="preserve"> of the Commonwealth, or the law of another country.</w:t>
      </w:r>
    </w:p>
    <w:p>
      <w:pPr>
        <w:pStyle w:val="Footnotesection"/>
      </w:pPr>
      <w:bookmarkStart w:id="463" w:name="_Toc87290"/>
      <w:bookmarkStart w:id="464" w:name="_Toc149442078"/>
      <w:bookmarkStart w:id="465" w:name="_Toc152558623"/>
      <w:bookmarkStart w:id="466" w:name="_Toc201980292"/>
      <w:r>
        <w:tab/>
        <w:t>[Section 44D inserted by No. 54 of 2006 s. 6.]</w:t>
      </w:r>
    </w:p>
    <w:p>
      <w:pPr>
        <w:pStyle w:val="Heading5"/>
      </w:pPr>
      <w:bookmarkStart w:id="467" w:name="_Toc276038696"/>
      <w:bookmarkStart w:id="468" w:name="_Toc210119942"/>
      <w:r>
        <w:rPr>
          <w:rStyle w:val="CharSectno"/>
        </w:rPr>
        <w:t>45</w:t>
      </w:r>
      <w:r>
        <w:t>.</w:t>
      </w:r>
      <w:r>
        <w:tab/>
        <w:t>Exchange of information between jurisdictions</w:t>
      </w:r>
      <w:bookmarkEnd w:id="463"/>
      <w:bookmarkEnd w:id="464"/>
      <w:bookmarkEnd w:id="465"/>
      <w:bookmarkEnd w:id="466"/>
      <w:bookmarkEnd w:id="467"/>
      <w:bookmarkEnd w:id="468"/>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469" w:name="_Hlt533587126"/>
      <w:bookmarkEnd w:id="469"/>
      <w:r>
        <w:t>Director General is also to provide information of —</w:t>
      </w:r>
    </w:p>
    <w:p>
      <w:pPr>
        <w:pStyle w:val="Indenta"/>
      </w:pPr>
      <w:r>
        <w:tab/>
        <w:t>(a)</w:t>
      </w:r>
      <w:r>
        <w:tab/>
        <w:t>any quashing of the conviction;</w:t>
      </w:r>
    </w:p>
    <w:p>
      <w:pPr>
        <w:pStyle w:val="Indenta"/>
      </w:pPr>
      <w:r>
        <w:tab/>
        <w:t>(b)</w:t>
      </w:r>
      <w:r>
        <w:tab/>
        <w:t>any withdrawal of the infringement notice or the matter coming before a court for determination;</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rStyle w:val="CharDefText"/>
        </w:rPr>
        <w:t>infringement notice</w:t>
      </w:r>
      <w:r>
        <w:t xml:space="preserve"> has the same meaning as it has in Part VIA.</w:t>
      </w:r>
      <w:bookmarkStart w:id="470" w:name="_Hlt536593925"/>
      <w:bookmarkEnd w:id="470"/>
    </w:p>
    <w:p>
      <w:pPr>
        <w:pStyle w:val="Footnotesection"/>
      </w:pPr>
      <w:bookmarkStart w:id="471" w:name="_Toc87291"/>
      <w:bookmarkStart w:id="472" w:name="_Toc149442079"/>
      <w:bookmarkStart w:id="473" w:name="_Toc152558624"/>
      <w:bookmarkStart w:id="474" w:name="_Toc201980293"/>
      <w:r>
        <w:tab/>
        <w:t>[Section 45 inserted by No. 54 of 2006 s. 6.]</w:t>
      </w:r>
    </w:p>
    <w:p>
      <w:pPr>
        <w:pStyle w:val="Heading5"/>
      </w:pPr>
      <w:bookmarkStart w:id="475" w:name="_Toc276038697"/>
      <w:bookmarkStart w:id="476" w:name="_Toc210119943"/>
      <w:r>
        <w:rPr>
          <w:rStyle w:val="CharSectno"/>
        </w:rPr>
        <w:t>46</w:t>
      </w:r>
      <w:r>
        <w:t>.</w:t>
      </w:r>
      <w:r>
        <w:tab/>
        <w:t>Security of information in driver’s licence register</w:t>
      </w:r>
      <w:bookmarkEnd w:id="471"/>
      <w:bookmarkEnd w:id="472"/>
      <w:bookmarkEnd w:id="473"/>
      <w:bookmarkEnd w:id="474"/>
      <w:bookmarkEnd w:id="475"/>
      <w:bookmarkEnd w:id="476"/>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keepNext/>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477" w:name="_Toc87292"/>
      <w:bookmarkStart w:id="478" w:name="_Toc149442080"/>
      <w:bookmarkStart w:id="479" w:name="_Toc152558625"/>
      <w:bookmarkStart w:id="480" w:name="_Toc201980294"/>
      <w:r>
        <w:tab/>
        <w:t>[Section 46 inserted by No. 54 of 2006 s. 6.]</w:t>
      </w:r>
    </w:p>
    <w:p>
      <w:pPr>
        <w:pStyle w:val="Heading5"/>
      </w:pPr>
      <w:bookmarkStart w:id="481" w:name="_Toc276038698"/>
      <w:bookmarkStart w:id="482" w:name="_Toc210119944"/>
      <w:r>
        <w:rPr>
          <w:rStyle w:val="CharSectno"/>
        </w:rPr>
        <w:t>47</w:t>
      </w:r>
      <w:r>
        <w:t>.</w:t>
      </w:r>
      <w:r>
        <w:tab/>
        <w:t>Regulations may refer to published documents</w:t>
      </w:r>
      <w:bookmarkEnd w:id="477"/>
      <w:bookmarkEnd w:id="478"/>
      <w:bookmarkEnd w:id="479"/>
      <w:bookmarkEnd w:id="480"/>
      <w:bookmarkEnd w:id="481"/>
      <w:bookmarkEnd w:id="482"/>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483" w:name="_Toc87293"/>
      <w:bookmarkStart w:id="484" w:name="_Toc149442081"/>
      <w:bookmarkStart w:id="485" w:name="_Toc152558626"/>
      <w:bookmarkStart w:id="486" w:name="_Toc201980295"/>
      <w:r>
        <w:tab/>
        <w:t>[Section 47 inserted by No. 54 of 2006 s. 6.]</w:t>
      </w:r>
    </w:p>
    <w:p>
      <w:pPr>
        <w:pStyle w:val="Heading5"/>
      </w:pPr>
      <w:bookmarkStart w:id="487" w:name="_Toc276038699"/>
      <w:bookmarkStart w:id="488" w:name="_Toc210119945"/>
      <w:r>
        <w:rPr>
          <w:rStyle w:val="CharSectno"/>
        </w:rPr>
        <w:t>48</w:t>
      </w:r>
      <w:r>
        <w:t>.</w:t>
      </w:r>
      <w:r>
        <w:tab/>
        <w:t>Transitional regulations</w:t>
      </w:r>
      <w:bookmarkEnd w:id="483"/>
      <w:bookmarkEnd w:id="484"/>
      <w:bookmarkEnd w:id="485"/>
      <w:bookmarkEnd w:id="486"/>
      <w:bookmarkEnd w:id="487"/>
      <w:bookmarkEnd w:id="488"/>
    </w:p>
    <w:p>
      <w:pPr>
        <w:pStyle w:val="Subsection"/>
      </w:pPr>
      <w:r>
        <w:tab/>
      </w:r>
      <w:r>
        <w:tab/>
        <w:t>Regulations may contain provisions that are necessary or convenient for dealing with matters concerning the transition from the provisions applying before the commencement of section </w:t>
      </w:r>
      <w:bookmarkStart w:id="489" w:name="_Hlt86063"/>
      <w:r>
        <w:t>6</w:t>
      </w:r>
      <w:bookmarkEnd w:id="489"/>
      <w:r>
        <w:t xml:space="preserve"> of the </w:t>
      </w:r>
      <w:r>
        <w:rPr>
          <w:i/>
        </w:rPr>
        <w:t>Road Traffic Amendment Act 2006</w:t>
      </w:r>
      <w:ins w:id="490" w:author="svcMRProcess" w:date="2018-09-08T08:22:00Z">
        <w:r>
          <w:rPr>
            <w:vertAlign w:val="superscript"/>
          </w:rPr>
          <w:t> 1</w:t>
        </w:r>
      </w:ins>
      <w:r>
        <w:t xml:space="preserve"> to the provisions of this Part, or regulations made under this Part, applying after that commencement.</w:t>
      </w:r>
    </w:p>
    <w:p>
      <w:pPr>
        <w:pStyle w:val="Footnotesection"/>
      </w:pPr>
      <w:bookmarkStart w:id="491" w:name="_Toc87294"/>
      <w:bookmarkStart w:id="492" w:name="_Toc149442082"/>
      <w:bookmarkStart w:id="493" w:name="_Toc152558627"/>
      <w:bookmarkStart w:id="494" w:name="_Toc201980296"/>
      <w:r>
        <w:tab/>
        <w:t>[Section 48 inserted by No. 54 of 2006 s. 6.]</w:t>
      </w:r>
    </w:p>
    <w:p>
      <w:pPr>
        <w:pStyle w:val="Heading5"/>
      </w:pPr>
      <w:bookmarkStart w:id="495" w:name="_Toc276038700"/>
      <w:bookmarkStart w:id="496" w:name="_Toc210119946"/>
      <w:r>
        <w:rPr>
          <w:rStyle w:val="CharSectno"/>
        </w:rPr>
        <w:t>48A</w:t>
      </w:r>
      <w:r>
        <w:t>.</w:t>
      </w:r>
      <w:r>
        <w:tab/>
        <w:t>Review of Director General’s decisions under this Part</w:t>
      </w:r>
      <w:bookmarkEnd w:id="491"/>
      <w:bookmarkEnd w:id="492"/>
      <w:bookmarkEnd w:id="493"/>
      <w:bookmarkEnd w:id="494"/>
      <w:bookmarkEnd w:id="495"/>
      <w:bookmarkEnd w:id="496"/>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rPr>
          <w:ins w:id="497" w:author="svcMRProcess" w:date="2018-09-08T08:22:00Z"/>
        </w:rPr>
      </w:pPr>
      <w:bookmarkStart w:id="498" w:name="_Toc202335372"/>
      <w:bookmarkStart w:id="499" w:name="_Toc202770195"/>
      <w:bookmarkStart w:id="500" w:name="_Toc203541406"/>
      <w:bookmarkStart w:id="501" w:name="_Toc204067480"/>
      <w:bookmarkStart w:id="502" w:name="_Toc204072602"/>
      <w:bookmarkStart w:id="503" w:name="_Toc205284904"/>
      <w:bookmarkStart w:id="504" w:name="_Toc207510125"/>
      <w:ins w:id="505" w:author="svcMRProcess" w:date="2018-09-08T08:22:00Z">
        <w:r>
          <w:t>[</w:t>
        </w:r>
        <w:r>
          <w:rPr>
            <w:b/>
          </w:rPr>
          <w:t>48B-48F.</w:t>
        </w:r>
        <w:r>
          <w:tab/>
          <w:t>Repealed by No. 54 of 2006 s. 6.]</w:t>
        </w:r>
      </w:ins>
    </w:p>
    <w:p>
      <w:pPr>
        <w:pStyle w:val="Heading2"/>
      </w:pPr>
      <w:bookmarkStart w:id="506" w:name="_Toc207675532"/>
      <w:bookmarkStart w:id="507" w:name="_Toc207685082"/>
      <w:bookmarkStart w:id="508" w:name="_Toc208978936"/>
      <w:bookmarkStart w:id="509" w:name="_Toc208979250"/>
      <w:bookmarkStart w:id="510" w:name="_Toc209246426"/>
      <w:bookmarkStart w:id="511" w:name="_Toc211654446"/>
      <w:bookmarkStart w:id="512" w:name="_Toc276038701"/>
      <w:bookmarkStart w:id="513" w:name="_Toc210119947"/>
      <w:r>
        <w:rPr>
          <w:rStyle w:val="CharPartNo"/>
        </w:rPr>
        <w:t>Part V</w:t>
      </w:r>
      <w:r>
        <w:t> — </w:t>
      </w:r>
      <w:r>
        <w:rPr>
          <w:rStyle w:val="CharPartText"/>
        </w:rPr>
        <w:t>Regulation of traffic</w:t>
      </w:r>
      <w:bookmarkEnd w:id="214"/>
      <w:bookmarkEnd w:id="498"/>
      <w:bookmarkEnd w:id="499"/>
      <w:bookmarkEnd w:id="500"/>
      <w:bookmarkEnd w:id="501"/>
      <w:bookmarkEnd w:id="502"/>
      <w:bookmarkEnd w:id="503"/>
      <w:bookmarkEnd w:id="504"/>
      <w:bookmarkEnd w:id="506"/>
      <w:bookmarkEnd w:id="507"/>
      <w:bookmarkEnd w:id="508"/>
      <w:bookmarkEnd w:id="509"/>
      <w:bookmarkEnd w:id="510"/>
      <w:bookmarkEnd w:id="511"/>
      <w:bookmarkEnd w:id="512"/>
      <w:bookmarkEnd w:id="513"/>
    </w:p>
    <w:p>
      <w:pPr>
        <w:pStyle w:val="Footnoteheading"/>
      </w:pPr>
      <w:r>
        <w:tab/>
        <w:t>[Heading inserted by No. 76 of 1996 s. 11.]</w:t>
      </w:r>
    </w:p>
    <w:p>
      <w:pPr>
        <w:pStyle w:val="Heading3"/>
      </w:pPr>
      <w:bookmarkStart w:id="514" w:name="_Toc201457528"/>
      <w:bookmarkStart w:id="515" w:name="_Toc202335373"/>
      <w:bookmarkStart w:id="516" w:name="_Toc202770196"/>
      <w:bookmarkStart w:id="517" w:name="_Toc203541407"/>
      <w:bookmarkStart w:id="518" w:name="_Toc204067481"/>
      <w:bookmarkStart w:id="519" w:name="_Toc204072603"/>
      <w:bookmarkStart w:id="520" w:name="_Toc205284905"/>
      <w:bookmarkStart w:id="521" w:name="_Toc207510126"/>
      <w:bookmarkStart w:id="522" w:name="_Toc207675533"/>
      <w:bookmarkStart w:id="523" w:name="_Toc207685083"/>
      <w:bookmarkStart w:id="524" w:name="_Toc208978937"/>
      <w:bookmarkStart w:id="525" w:name="_Toc208979251"/>
      <w:bookmarkStart w:id="526" w:name="_Toc209246427"/>
      <w:bookmarkStart w:id="527" w:name="_Toc211654447"/>
      <w:bookmarkStart w:id="528" w:name="_Toc276038702"/>
      <w:bookmarkStart w:id="529" w:name="_Toc210119948"/>
      <w:r>
        <w:rPr>
          <w:rStyle w:val="CharDivNo"/>
        </w:rPr>
        <w:t>Division 1A</w:t>
      </w:r>
      <w:r>
        <w:t> — </w:t>
      </w:r>
      <w:r>
        <w:rPr>
          <w:rStyle w:val="CharDivText"/>
        </w:rPr>
        <w:t>Terms used in this Part</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Footnoteheading"/>
      </w:pPr>
      <w:r>
        <w:tab/>
        <w:t>[Heading inserted by No. 39 of 2007 s. 19.]</w:t>
      </w:r>
    </w:p>
    <w:p>
      <w:pPr>
        <w:pStyle w:val="Heading5"/>
        <w:rPr>
          <w:del w:id="530" w:author="svcMRProcess" w:date="2018-09-08T08:22:00Z"/>
        </w:rPr>
      </w:pPr>
      <w:bookmarkStart w:id="531" w:name="_Toc210119949"/>
      <w:bookmarkStart w:id="532" w:name="_Toc276038703"/>
      <w:del w:id="533" w:author="svcMRProcess" w:date="2018-09-08T08:22:00Z">
        <w:r>
          <w:rPr>
            <w:rStyle w:val="CharSectno"/>
          </w:rPr>
          <w:delText>49AA</w:delText>
        </w:r>
        <w:r>
          <w:delText>.</w:delText>
        </w:r>
        <w:r>
          <w:tab/>
          <w:delText>Meanings of “bodily harm” and “grievous bodily harm”</w:delText>
        </w:r>
        <w:bookmarkEnd w:id="531"/>
      </w:del>
    </w:p>
    <w:p>
      <w:pPr>
        <w:pStyle w:val="Heading5"/>
        <w:rPr>
          <w:ins w:id="534" w:author="svcMRProcess" w:date="2018-09-08T08:22:00Z"/>
        </w:rPr>
      </w:pPr>
      <w:ins w:id="535" w:author="svcMRProcess" w:date="2018-09-08T08:22:00Z">
        <w:r>
          <w:rPr>
            <w:rStyle w:val="CharSectno"/>
          </w:rPr>
          <w:t>49AA</w:t>
        </w:r>
        <w:r>
          <w:t>.</w:t>
        </w:r>
        <w:r>
          <w:tab/>
          <w:t>Terms used in this Part</w:t>
        </w:r>
        <w:bookmarkEnd w:id="532"/>
      </w:ins>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536" w:name="_Toc201457530"/>
      <w:bookmarkStart w:id="537" w:name="_Toc202335375"/>
      <w:bookmarkStart w:id="538" w:name="_Toc202770198"/>
      <w:bookmarkStart w:id="539" w:name="_Toc203541409"/>
      <w:bookmarkStart w:id="540" w:name="_Toc204067483"/>
      <w:bookmarkStart w:id="541" w:name="_Toc204072605"/>
      <w:bookmarkStart w:id="542" w:name="_Toc205284907"/>
      <w:bookmarkStart w:id="543" w:name="_Toc207510128"/>
      <w:bookmarkStart w:id="544" w:name="_Toc207675535"/>
      <w:bookmarkStart w:id="545" w:name="_Toc207685085"/>
      <w:bookmarkStart w:id="546" w:name="_Toc208978939"/>
      <w:bookmarkStart w:id="547" w:name="_Toc208979253"/>
      <w:bookmarkStart w:id="548" w:name="_Toc209246429"/>
      <w:bookmarkStart w:id="549" w:name="_Toc211654449"/>
      <w:bookmarkStart w:id="550" w:name="_Toc276038704"/>
      <w:bookmarkStart w:id="551" w:name="_Toc210119950"/>
      <w:r>
        <w:rPr>
          <w:rStyle w:val="CharDivNo"/>
        </w:rPr>
        <w:t>Division 1</w:t>
      </w:r>
      <w:r>
        <w:t> — </w:t>
      </w:r>
      <w:r>
        <w:rPr>
          <w:rStyle w:val="CharDivText"/>
        </w:rPr>
        <w:t>Driving of vehicles: general offences</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Footnoteheading"/>
      </w:pPr>
      <w:r>
        <w:tab/>
        <w:t>[Heading inserted by No. 10 of 2004 s. 6.]</w:t>
      </w:r>
    </w:p>
    <w:p>
      <w:pPr>
        <w:pStyle w:val="Heading5"/>
      </w:pPr>
      <w:bookmarkStart w:id="552" w:name="_Toc87296"/>
      <w:bookmarkStart w:id="553" w:name="_Toc149442084"/>
      <w:bookmarkStart w:id="554" w:name="_Toc152558629"/>
      <w:bookmarkStart w:id="555" w:name="_Toc201980298"/>
      <w:bookmarkStart w:id="556" w:name="_Toc276038705"/>
      <w:bookmarkStart w:id="557" w:name="_Toc210119951"/>
      <w:r>
        <w:rPr>
          <w:rStyle w:val="CharSectno"/>
        </w:rPr>
        <w:t>49</w:t>
      </w:r>
      <w:r>
        <w:t>.</w:t>
      </w:r>
      <w:r>
        <w:tab/>
        <w:t>Driving while unlicensed or disqualified</w:t>
      </w:r>
      <w:bookmarkEnd w:id="552"/>
      <w:bookmarkEnd w:id="553"/>
      <w:bookmarkEnd w:id="554"/>
      <w:bookmarkEnd w:id="555"/>
      <w:bookmarkEnd w:id="556"/>
      <w:bookmarkEnd w:id="557"/>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w:t>
      </w:r>
      <w:del w:id="558" w:author="svcMRProcess" w:date="2018-09-08T08:22:00Z">
        <w:r>
          <w:delText xml:space="preserve"> </w:delText>
        </w:r>
      </w:del>
      <w:ins w:id="559" w:author="svcMRProcess" w:date="2018-09-08T08:22:00Z">
        <w:r>
          <w:t> </w:t>
        </w:r>
      </w:ins>
      <w:r>
        <w:t>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ins w:id="560" w:author="svcMRProcess" w:date="2018-09-08T08:22:00Z">
        <w:r>
          <w:rPr>
            <w:vertAlign w:val="superscript"/>
          </w:rPr>
          <w:t> 1</w:t>
        </w:r>
      </w:ins>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ins w:id="561" w:author="svcMRProcess" w:date="2018-09-08T08:22:00Z">
        <w:r>
          <w:rPr>
            <w:vertAlign w:val="superscript"/>
          </w:rPr>
          <w:t> 1</w:t>
        </w:r>
      </w:ins>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562" w:name="_Toc149442086"/>
      <w:bookmarkStart w:id="563" w:name="_Toc152558631"/>
      <w:bookmarkStart w:id="564" w:name="_Toc201980300"/>
      <w:bookmarkStart w:id="565" w:name="_Toc276038706"/>
      <w:bookmarkStart w:id="566" w:name="_Toc210119952"/>
      <w:r>
        <w:rPr>
          <w:rStyle w:val="CharSectno"/>
        </w:rPr>
        <w:t>49A</w:t>
      </w:r>
      <w:r>
        <w:t>.</w:t>
      </w:r>
      <w:r>
        <w:tab/>
        <w:t>Offence when authorisation to drive lost because of penalty enforcement laws</w:t>
      </w:r>
      <w:bookmarkEnd w:id="562"/>
      <w:bookmarkEnd w:id="563"/>
      <w:bookmarkEnd w:id="564"/>
      <w:bookmarkEnd w:id="565"/>
      <w:bookmarkEnd w:id="566"/>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Heading5"/>
        <w:spacing w:before="260"/>
        <w:rPr>
          <w:snapToGrid w:val="0"/>
        </w:rPr>
      </w:pPr>
      <w:bookmarkStart w:id="567" w:name="_Toc276038707"/>
      <w:bookmarkStart w:id="568" w:name="_Toc210119953"/>
      <w:r>
        <w:rPr>
          <w:rStyle w:val="CharSectno"/>
        </w:rPr>
        <w:t>50</w:t>
      </w:r>
      <w:r>
        <w:rPr>
          <w:snapToGrid w:val="0"/>
        </w:rPr>
        <w:t>.</w:t>
      </w:r>
      <w:r>
        <w:rPr>
          <w:snapToGrid w:val="0"/>
        </w:rPr>
        <w:tab/>
        <w:t>Unauthorised driving by learner drivers</w:t>
      </w:r>
      <w:bookmarkEnd w:id="567"/>
      <w:bookmarkEnd w:id="568"/>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569" w:name="_Toc87300"/>
      <w:bookmarkStart w:id="570" w:name="_Toc149442089"/>
      <w:bookmarkStart w:id="571" w:name="_Toc152558634"/>
      <w:bookmarkStart w:id="572" w:name="_Toc201980303"/>
      <w:bookmarkStart w:id="573" w:name="_Toc276038708"/>
      <w:bookmarkStart w:id="574" w:name="_Toc210119954"/>
      <w:r>
        <w:rPr>
          <w:rStyle w:val="CharSectno"/>
        </w:rPr>
        <w:t>50A</w:t>
      </w:r>
      <w:r>
        <w:t>.</w:t>
      </w:r>
      <w:r>
        <w:tab/>
        <w:t>Authorisation other than Australian driver licence</w:t>
      </w:r>
      <w:bookmarkEnd w:id="569"/>
      <w:bookmarkEnd w:id="570"/>
      <w:bookmarkEnd w:id="571"/>
      <w:bookmarkEnd w:id="572"/>
      <w:bookmarkEnd w:id="573"/>
      <w:bookmarkEnd w:id="574"/>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575" w:name="_Toc276038709"/>
      <w:bookmarkStart w:id="576" w:name="_Toc210119955"/>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575"/>
      <w:bookmarkEnd w:id="576"/>
    </w:p>
    <w:p>
      <w:pPr>
        <w:pStyle w:val="Subsection"/>
        <w:spacing w:before="120"/>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del w:id="577" w:author="svcMRProcess" w:date="2018-09-08T08:22:00Z">
        <w:r>
          <w:delText>..</w:delText>
        </w:r>
      </w:del>
      <w:ins w:id="578" w:author="svcMRProcess" w:date="2018-09-08T08:22:00Z">
        <w:r>
          <w:t>.</w:t>
        </w:r>
      </w:ins>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Ednotesubsection"/>
        <w:rPr>
          <w:del w:id="579" w:author="svcMRProcess" w:date="2018-09-08T08:22:00Z"/>
        </w:rPr>
      </w:pPr>
      <w:del w:id="580" w:author="svcMRProcess" w:date="2018-09-08T08:22:00Z">
        <w:r>
          <w:tab/>
          <w:delText>[(5b)</w:delText>
        </w:r>
        <w:r>
          <w:tab/>
          <w:delText>repealed]</w:delText>
        </w:r>
      </w:del>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w:t>
      </w:r>
      <w:del w:id="581" w:author="svcMRProcess" w:date="2018-09-08T08:22:00Z">
        <w:r>
          <w:delText xml:space="preserve"> </w:delText>
        </w:r>
      </w:del>
      <w:ins w:id="582" w:author="svcMRProcess" w:date="2018-09-08T08:22:00Z">
        <w:r>
          <w:t> </w:t>
        </w:r>
      </w:ins>
      <w:r>
        <w:t>10 of 2004 s. 7; No. 44 of 2004 s. 4; No. 54 of 2006 s. 11; No. 6 of 2007 s. 4.]</w:t>
      </w:r>
    </w:p>
    <w:p>
      <w:pPr>
        <w:pStyle w:val="Ednotesection"/>
      </w:pPr>
      <w:r>
        <w:t>[</w:t>
      </w:r>
      <w:r>
        <w:rPr>
          <w:b/>
        </w:rPr>
        <w:t>52.</w:t>
      </w:r>
      <w:r>
        <w:tab/>
        <w:t>Repealed by No. 76 of 1996 s. 14.]</w:t>
      </w:r>
    </w:p>
    <w:p>
      <w:pPr>
        <w:pStyle w:val="Heading5"/>
        <w:rPr>
          <w:snapToGrid w:val="0"/>
        </w:rPr>
      </w:pPr>
      <w:bookmarkStart w:id="583" w:name="_Toc276038710"/>
      <w:bookmarkStart w:id="584" w:name="_Toc210119956"/>
      <w:r>
        <w:rPr>
          <w:rStyle w:val="CharSectno"/>
        </w:rPr>
        <w:t>53</w:t>
      </w:r>
      <w:r>
        <w:rPr>
          <w:snapToGrid w:val="0"/>
        </w:rPr>
        <w:t>.</w:t>
      </w:r>
      <w:r>
        <w:rPr>
          <w:snapToGrid w:val="0"/>
        </w:rPr>
        <w:tab/>
        <w:t>Driver failing to give name and address to member of the Police Force, failing to stop</w:t>
      </w:r>
      <w:del w:id="585" w:author="svcMRProcess" w:date="2018-09-08T08:22:00Z">
        <w:r>
          <w:rPr>
            <w:snapToGrid w:val="0"/>
          </w:rPr>
          <w:delText>,</w:delText>
        </w:r>
      </w:del>
      <w:r>
        <w:rPr>
          <w:snapToGrid w:val="0"/>
        </w:rPr>
        <w:t xml:space="preserve"> etc.</w:t>
      </w:r>
      <w:bookmarkEnd w:id="583"/>
      <w:bookmarkEnd w:id="584"/>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rPr>
          <w:snapToGrid w:val="0"/>
        </w:rPr>
      </w:pPr>
      <w:bookmarkStart w:id="586" w:name="_Toc276038711"/>
      <w:bookmarkStart w:id="587" w:name="_Toc210119957"/>
      <w:r>
        <w:rPr>
          <w:rStyle w:val="CharSectno"/>
        </w:rPr>
        <w:t>54</w:t>
      </w:r>
      <w:r>
        <w:rPr>
          <w:snapToGrid w:val="0"/>
        </w:rPr>
        <w:t>.</w:t>
      </w:r>
      <w:r>
        <w:rPr>
          <w:snapToGrid w:val="0"/>
        </w:rPr>
        <w:tab/>
        <w:t>Bodily harm: duty to stop and give information and assistance</w:t>
      </w:r>
      <w:bookmarkEnd w:id="586"/>
      <w:bookmarkEnd w:id="587"/>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w:t>
      </w:r>
      <w:del w:id="588" w:author="svcMRProcess" w:date="2018-09-08T08:22:00Z">
        <w:r>
          <w:rPr>
            <w:snapToGrid w:val="0"/>
          </w:rPr>
          <w:delText xml:space="preserve"> </w:delText>
        </w:r>
      </w:del>
      <w:ins w:id="589" w:author="svcMRProcess" w:date="2018-09-08T08:22:00Z">
        <w:r>
          <w:rPr>
            <w:snapToGrid w:val="0"/>
          </w:rPr>
          <w:t> </w:t>
        </w:r>
      </w:ins>
      <w:r>
        <w:rPr>
          <w:snapToGrid w:val="0"/>
        </w:rPr>
        <w:t>(6).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590" w:name="_Toc276038712"/>
      <w:bookmarkStart w:id="591" w:name="_Toc210119958"/>
      <w:r>
        <w:rPr>
          <w:rStyle w:val="CharSectno"/>
        </w:rPr>
        <w:t>55</w:t>
      </w:r>
      <w:r>
        <w:rPr>
          <w:snapToGrid w:val="0"/>
        </w:rPr>
        <w:t>.</w:t>
      </w:r>
      <w:r>
        <w:rPr>
          <w:snapToGrid w:val="0"/>
        </w:rPr>
        <w:tab/>
        <w:t>Damage to property: duty to stop and give information</w:t>
      </w:r>
      <w:bookmarkEnd w:id="590"/>
      <w:bookmarkEnd w:id="591"/>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592" w:name="_Toc276038713"/>
      <w:bookmarkStart w:id="593" w:name="_Toc210119959"/>
      <w:r>
        <w:rPr>
          <w:rStyle w:val="CharSectno"/>
        </w:rPr>
        <w:t>56</w:t>
      </w:r>
      <w:r>
        <w:t>.</w:t>
      </w:r>
      <w:r>
        <w:tab/>
        <w:t>Duty to report incidents involving bodily harm or damage to property</w:t>
      </w:r>
      <w:bookmarkEnd w:id="592"/>
      <w:bookmarkEnd w:id="593"/>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 xml:space="preserve">[Section </w:t>
      </w:r>
      <w:del w:id="594" w:author="svcMRProcess" w:date="2018-09-08T08:22:00Z">
        <w:r>
          <w:delText>55</w:delText>
        </w:r>
      </w:del>
      <w:ins w:id="595" w:author="svcMRProcess" w:date="2018-09-08T08:22:00Z">
        <w:r>
          <w:t>56</w:t>
        </w:r>
      </w:ins>
      <w:r>
        <w:t xml:space="preserve"> inserted by No. 39 of 2007 s. 20.]</w:t>
      </w:r>
    </w:p>
    <w:p>
      <w:pPr>
        <w:pStyle w:val="Heading5"/>
        <w:rPr>
          <w:snapToGrid w:val="0"/>
        </w:rPr>
      </w:pPr>
      <w:bookmarkStart w:id="596" w:name="_Toc276038714"/>
      <w:bookmarkStart w:id="597" w:name="_Toc210119960"/>
      <w:r>
        <w:rPr>
          <w:rStyle w:val="CharSectno"/>
        </w:rPr>
        <w:t>57</w:t>
      </w:r>
      <w:r>
        <w:rPr>
          <w:snapToGrid w:val="0"/>
        </w:rPr>
        <w:t>.</w:t>
      </w:r>
      <w:r>
        <w:rPr>
          <w:snapToGrid w:val="0"/>
        </w:rPr>
        <w:tab/>
        <w:t>Duty of owner to identify driver of vehicle involved in accident</w:t>
      </w:r>
      <w:bookmarkEnd w:id="596"/>
      <w:bookmarkEnd w:id="597"/>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598" w:name="_Toc276038715"/>
      <w:bookmarkStart w:id="599" w:name="_Toc210119961"/>
      <w:r>
        <w:rPr>
          <w:rStyle w:val="CharSectno"/>
        </w:rPr>
        <w:t>58</w:t>
      </w:r>
      <w:r>
        <w:t>.</w:t>
      </w:r>
      <w:r>
        <w:tab/>
        <w:t>Duty to identify offending driver or person in charge of vehicle</w:t>
      </w:r>
      <w:bookmarkEnd w:id="598"/>
      <w:bookmarkEnd w:id="599"/>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w:t>
      </w:r>
      <w:del w:id="600" w:author="svcMRProcess" w:date="2018-09-08T08:22:00Z">
        <w:r>
          <w:delText xml:space="preserve"> </w:delText>
        </w:r>
      </w:del>
      <w:ins w:id="601" w:author="svcMRProcess" w:date="2018-09-08T08:22:00Z">
        <w:r>
          <w:t> </w:t>
        </w:r>
      </w:ins>
      <w:r>
        <w:t>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w:t>
      </w:r>
      <w:del w:id="602" w:author="svcMRProcess" w:date="2018-09-08T08:22:00Z">
        <w:r>
          <w:delText xml:space="preserve"> </w:delText>
        </w:r>
      </w:del>
      <w:ins w:id="603" w:author="svcMRProcess" w:date="2018-09-08T08:22:00Z">
        <w:r>
          <w:t> </w:t>
        </w:r>
      </w:ins>
      <w:r>
        <w:t>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604" w:name="_Toc276038716"/>
      <w:bookmarkStart w:id="605" w:name="_Toc210119962"/>
      <w:r>
        <w:rPr>
          <w:rStyle w:val="CharSectno"/>
        </w:rPr>
        <w:t>58A</w:t>
      </w:r>
      <w:r>
        <w:t>.</w:t>
      </w:r>
      <w:r>
        <w:tab/>
        <w:t>Duty to take reasonable measures to be able to comply with a driver identity request</w:t>
      </w:r>
      <w:bookmarkEnd w:id="604"/>
      <w:bookmarkEnd w:id="605"/>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w:t>
      </w:r>
      <w:del w:id="606" w:author="svcMRProcess" w:date="2018-09-08T08:22:00Z">
        <w:r>
          <w:delText xml:space="preserve"> </w:delText>
        </w:r>
      </w:del>
      <w:ins w:id="607" w:author="svcMRProcess" w:date="2018-09-08T08:22:00Z">
        <w:r>
          <w:t> </w:t>
        </w:r>
      </w:ins>
      <w:r>
        <w:t>PU.</w:t>
      </w:r>
    </w:p>
    <w:p>
      <w:pPr>
        <w:pStyle w:val="Footnotesection"/>
      </w:pPr>
      <w:r>
        <w:tab/>
        <w:t>[Section 58A inserted by No. 39 of 2000 s. 32.]</w:t>
      </w:r>
    </w:p>
    <w:p>
      <w:pPr>
        <w:pStyle w:val="Heading5"/>
        <w:spacing w:before="260"/>
        <w:rPr>
          <w:snapToGrid w:val="0"/>
        </w:rPr>
      </w:pPr>
      <w:bookmarkStart w:id="608" w:name="_Toc276038717"/>
      <w:bookmarkStart w:id="609" w:name="_Toc210119963"/>
      <w:r>
        <w:rPr>
          <w:rStyle w:val="CharSectno"/>
        </w:rPr>
        <w:t>59</w:t>
      </w:r>
      <w:r>
        <w:rPr>
          <w:snapToGrid w:val="0"/>
        </w:rPr>
        <w:t>.</w:t>
      </w:r>
      <w:r>
        <w:rPr>
          <w:snapToGrid w:val="0"/>
        </w:rPr>
        <w:tab/>
        <w:t>Dangerous driving causing death, injury</w:t>
      </w:r>
      <w:del w:id="610" w:author="svcMRProcess" w:date="2018-09-08T08:22:00Z">
        <w:r>
          <w:rPr>
            <w:snapToGrid w:val="0"/>
          </w:rPr>
          <w:delText>,</w:delText>
        </w:r>
      </w:del>
      <w:r>
        <w:rPr>
          <w:snapToGrid w:val="0"/>
        </w:rPr>
        <w:t xml:space="preserve"> etc.</w:t>
      </w:r>
      <w:bookmarkEnd w:id="608"/>
      <w:bookmarkEnd w:id="609"/>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spacing w:before="18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Ednotepara"/>
        <w:rPr>
          <w:del w:id="611" w:author="svcMRProcess" w:date="2018-09-08T08:22:00Z"/>
          <w:snapToGrid w:val="0"/>
        </w:rPr>
      </w:pPr>
      <w:del w:id="612" w:author="svcMRProcess" w:date="2018-09-08T08:22:00Z">
        <w:r>
          <w:rPr>
            <w:snapToGrid w:val="0"/>
          </w:rPr>
          <w:tab/>
          <w:delText>[(d)</w:delText>
        </w:r>
        <w:r>
          <w:rPr>
            <w:snapToGrid w:val="0"/>
          </w:rPr>
          <w:tab/>
          <w:delText>deleted]</w:delText>
        </w:r>
      </w:del>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del w:id="613" w:author="svcMRProcess" w:date="2018-09-08T08:22:00Z">
        <w:r>
          <w:rPr>
            <w:snapToGrid w:val="0"/>
          </w:rPr>
          <w:delText xml:space="preserve"> or</w:delText>
        </w:r>
      </w:del>
    </w:p>
    <w:p>
      <w:pPr>
        <w:pStyle w:val="Indenta"/>
        <w:rPr>
          <w:ins w:id="614" w:author="svcMRProcess" w:date="2018-09-08T08:22:00Z"/>
        </w:rPr>
      </w:pPr>
      <w:ins w:id="615" w:author="svcMRProcess" w:date="2018-09-08T08:22:00Z">
        <w:r>
          <w:tab/>
        </w:r>
        <w:r>
          <w:tab/>
        </w:r>
        <w:r>
          <w:rPr>
            <w:snapToGrid w:val="0"/>
          </w:rPr>
          <w:t>or</w:t>
        </w:r>
      </w:ins>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616" w:name="_Toc276038718"/>
      <w:bookmarkStart w:id="617" w:name="_Toc210119964"/>
      <w:r>
        <w:rPr>
          <w:rStyle w:val="CharSectno"/>
        </w:rPr>
        <w:t>59A</w:t>
      </w:r>
      <w:r>
        <w:rPr>
          <w:snapToGrid w:val="0"/>
        </w:rPr>
        <w:t>.</w:t>
      </w:r>
      <w:r>
        <w:rPr>
          <w:snapToGrid w:val="0"/>
        </w:rPr>
        <w:tab/>
        <w:t>Dangerous driving causing bodily harm</w:t>
      </w:r>
      <w:bookmarkEnd w:id="616"/>
      <w:bookmarkEnd w:id="617"/>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Ednotepara"/>
        <w:rPr>
          <w:del w:id="618" w:author="svcMRProcess" w:date="2018-09-08T08:22:00Z"/>
          <w:snapToGrid w:val="0"/>
        </w:rPr>
      </w:pPr>
      <w:del w:id="619" w:author="svcMRProcess" w:date="2018-09-08T08:22:00Z">
        <w:r>
          <w:rPr>
            <w:snapToGrid w:val="0"/>
          </w:rPr>
          <w:tab/>
          <w:delText>[(c)</w:delText>
        </w:r>
        <w:r>
          <w:rPr>
            <w:snapToGrid w:val="0"/>
          </w:rPr>
          <w:tab/>
          <w:delText>deleted]</w:delText>
        </w:r>
      </w:del>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620" w:name="_Toc276038719"/>
      <w:bookmarkStart w:id="621" w:name="_Toc210119965"/>
      <w:r>
        <w:rPr>
          <w:rStyle w:val="CharSectno"/>
        </w:rPr>
        <w:t>59B</w:t>
      </w:r>
      <w:r>
        <w:t>.</w:t>
      </w:r>
      <w:r>
        <w:tab/>
        <w:t>Section 59 and 59A offences: ancillary matters and defence</w:t>
      </w:r>
      <w:bookmarkEnd w:id="620"/>
      <w:bookmarkEnd w:id="621"/>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200"/>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spacing w:before="200"/>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spacing w:before="200"/>
      </w:pPr>
      <w:r>
        <w:tab/>
        <w:t>(4)</w:t>
      </w:r>
      <w:r>
        <w:tab/>
        <w:t>For the purposes of subsection (3)(c) it does not matter whether the pursuit was still proceeding, or had been suspended or terminated, at the time of the alleged offence.</w:t>
      </w:r>
    </w:p>
    <w:p>
      <w:pPr>
        <w:pStyle w:val="Subsection"/>
        <w:spacing w:before="20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20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622" w:name="_Toc276038720"/>
      <w:bookmarkStart w:id="623" w:name="_Toc210119966"/>
      <w:r>
        <w:rPr>
          <w:rStyle w:val="CharSectno"/>
        </w:rPr>
        <w:t>60</w:t>
      </w:r>
      <w:r>
        <w:rPr>
          <w:snapToGrid w:val="0"/>
        </w:rPr>
        <w:t>.</w:t>
      </w:r>
      <w:r>
        <w:rPr>
          <w:snapToGrid w:val="0"/>
        </w:rPr>
        <w:tab/>
        <w:t>Reckless driving</w:t>
      </w:r>
      <w:bookmarkEnd w:id="622"/>
      <w:bookmarkEnd w:id="623"/>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Ednotesubsection"/>
        <w:rPr>
          <w:del w:id="624" w:author="svcMRProcess" w:date="2018-09-08T08:22:00Z"/>
        </w:rPr>
      </w:pPr>
      <w:del w:id="625" w:author="svcMRProcess" w:date="2018-09-08T08:22:00Z">
        <w:r>
          <w:tab/>
          <w:delText>[(4)</w:delText>
        </w:r>
        <w:r>
          <w:tab/>
          <w:delText>repealed]</w:delText>
        </w:r>
      </w:del>
    </w:p>
    <w:p>
      <w:pPr>
        <w:pStyle w:val="Footnotesection"/>
      </w:pPr>
      <w:r>
        <w:tab/>
        <w:t>[Section 60 amended by No. 11 of 1988 s. 24; No. 78 of 1995 s. 147; No. 50 of 1997 s. 13; No. 50 of 2003 s. 92(2); No. 10 of 2004 s. 8; No. 54 of 2006 s. 12; No. 24 of 2008 s. 4.]</w:t>
      </w:r>
    </w:p>
    <w:p>
      <w:pPr>
        <w:pStyle w:val="Heading5"/>
        <w:rPr>
          <w:snapToGrid w:val="0"/>
        </w:rPr>
      </w:pPr>
      <w:bookmarkStart w:id="626" w:name="_Toc276038721"/>
      <w:bookmarkStart w:id="627" w:name="_Toc210119967"/>
      <w:r>
        <w:rPr>
          <w:rStyle w:val="CharSectno"/>
        </w:rPr>
        <w:t>61</w:t>
      </w:r>
      <w:r>
        <w:rPr>
          <w:snapToGrid w:val="0"/>
        </w:rPr>
        <w:t>.</w:t>
      </w:r>
      <w:r>
        <w:rPr>
          <w:snapToGrid w:val="0"/>
        </w:rPr>
        <w:tab/>
        <w:t>Dangerous driving</w:t>
      </w:r>
      <w:bookmarkEnd w:id="626"/>
      <w:bookmarkEnd w:id="627"/>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keepNext/>
        <w:keepLines/>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12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 No. 54 of 2006 s. 13.]</w:t>
      </w:r>
    </w:p>
    <w:p>
      <w:pPr>
        <w:pStyle w:val="Heading5"/>
        <w:spacing w:before="180"/>
        <w:rPr>
          <w:snapToGrid w:val="0"/>
        </w:rPr>
      </w:pPr>
      <w:bookmarkStart w:id="628" w:name="_Toc276038722"/>
      <w:bookmarkStart w:id="629" w:name="_Toc210119968"/>
      <w:r>
        <w:rPr>
          <w:rStyle w:val="CharSectno"/>
        </w:rPr>
        <w:t>62</w:t>
      </w:r>
      <w:r>
        <w:rPr>
          <w:snapToGrid w:val="0"/>
        </w:rPr>
        <w:t>.</w:t>
      </w:r>
      <w:r>
        <w:rPr>
          <w:snapToGrid w:val="0"/>
        </w:rPr>
        <w:tab/>
        <w:t>Careless driving</w:t>
      </w:r>
      <w:bookmarkEnd w:id="628"/>
      <w:bookmarkEnd w:id="629"/>
    </w:p>
    <w:p>
      <w:pPr>
        <w:pStyle w:val="Subsection"/>
        <w:spacing w:before="120"/>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630" w:name="_Toc276038723"/>
      <w:bookmarkStart w:id="631" w:name="_Toc210119969"/>
      <w:r>
        <w:rPr>
          <w:rStyle w:val="CharSectno"/>
        </w:rPr>
        <w:t>62A</w:t>
      </w:r>
      <w:r>
        <w:t>.</w:t>
      </w:r>
      <w:r>
        <w:tab/>
        <w:t>Causing excessive noise, smoke</w:t>
      </w:r>
      <w:bookmarkEnd w:id="630"/>
      <w:bookmarkEnd w:id="631"/>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632" w:name="_Toc201457550"/>
      <w:bookmarkStart w:id="633" w:name="_Toc202335395"/>
      <w:bookmarkStart w:id="634" w:name="_Toc202770218"/>
      <w:bookmarkStart w:id="635" w:name="_Toc203541429"/>
      <w:bookmarkStart w:id="636" w:name="_Toc204067503"/>
      <w:bookmarkStart w:id="637" w:name="_Toc204072625"/>
      <w:bookmarkStart w:id="638" w:name="_Toc205284927"/>
      <w:bookmarkStart w:id="639" w:name="_Toc207510148"/>
      <w:bookmarkStart w:id="640" w:name="_Toc207675555"/>
      <w:bookmarkStart w:id="641" w:name="_Toc207685105"/>
      <w:bookmarkStart w:id="642" w:name="_Toc208978959"/>
      <w:bookmarkStart w:id="643" w:name="_Toc208979273"/>
      <w:bookmarkStart w:id="644" w:name="_Toc209246449"/>
      <w:bookmarkStart w:id="645" w:name="_Toc211654469"/>
      <w:bookmarkStart w:id="646" w:name="_Toc276038724"/>
      <w:bookmarkStart w:id="647" w:name="_Toc210119970"/>
      <w:r>
        <w:rPr>
          <w:rStyle w:val="CharDivNo"/>
        </w:rPr>
        <w:t>Division 2</w:t>
      </w:r>
      <w:r>
        <w:t> — </w:t>
      </w:r>
      <w:r>
        <w:rPr>
          <w:rStyle w:val="CharDivText"/>
        </w:rPr>
        <w:t>Driving of vehicles: alcohol and drug related offences</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Footnoteheading"/>
      </w:pPr>
      <w:r>
        <w:tab/>
        <w:t>[Heading inserted by No. 10 of 2004 s. 9.]</w:t>
      </w:r>
    </w:p>
    <w:p>
      <w:pPr>
        <w:pStyle w:val="Heading5"/>
        <w:spacing w:before="260"/>
        <w:rPr>
          <w:snapToGrid w:val="0"/>
        </w:rPr>
      </w:pPr>
      <w:bookmarkStart w:id="648" w:name="_Toc276038725"/>
      <w:bookmarkStart w:id="649" w:name="_Toc210119971"/>
      <w:r>
        <w:rPr>
          <w:rStyle w:val="CharSectno"/>
        </w:rPr>
        <w:t>63</w:t>
      </w:r>
      <w:r>
        <w:rPr>
          <w:snapToGrid w:val="0"/>
        </w:rPr>
        <w:t>.</w:t>
      </w:r>
      <w:r>
        <w:rPr>
          <w:snapToGrid w:val="0"/>
        </w:rPr>
        <w:tab/>
        <w:t>Driving under the influence of alcohol</w:t>
      </w:r>
      <w:del w:id="650" w:author="svcMRProcess" w:date="2018-09-08T08:22:00Z">
        <w:r>
          <w:rPr>
            <w:snapToGrid w:val="0"/>
          </w:rPr>
          <w:delText>,</w:delText>
        </w:r>
      </w:del>
      <w:r>
        <w:rPr>
          <w:snapToGrid w:val="0"/>
        </w:rPr>
        <w:t xml:space="preserve"> etc.</w:t>
      </w:r>
      <w:bookmarkEnd w:id="648"/>
      <w:bookmarkEnd w:id="649"/>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54 of 2006 s. 14 and 17(3) and (4); No. 6 of 2007 s. 5; No. 39 of 2007 s. 5 and 31.]</w:t>
      </w:r>
    </w:p>
    <w:p>
      <w:pPr>
        <w:pStyle w:val="Heading5"/>
        <w:keepNext w:val="0"/>
        <w:keepLines w:val="0"/>
        <w:spacing w:before="260"/>
        <w:rPr>
          <w:snapToGrid w:val="0"/>
        </w:rPr>
      </w:pPr>
      <w:bookmarkStart w:id="651" w:name="_Toc276038726"/>
      <w:bookmarkStart w:id="652" w:name="_Toc210119972"/>
      <w:r>
        <w:rPr>
          <w:rStyle w:val="CharSectno"/>
        </w:rPr>
        <w:t>64</w:t>
      </w:r>
      <w:r>
        <w:rPr>
          <w:snapToGrid w:val="0"/>
        </w:rPr>
        <w:t>.</w:t>
      </w:r>
      <w:r>
        <w:rPr>
          <w:snapToGrid w:val="0"/>
        </w:rPr>
        <w:tab/>
        <w:t>Driving with blood alcohol content of or above 0.08</w:t>
      </w:r>
      <w:bookmarkEnd w:id="651"/>
      <w:bookmarkEnd w:id="652"/>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spacing w:before="80"/>
              <w:rPr>
                <w:b/>
                <w:sz w:val="18"/>
              </w:rPr>
            </w:pPr>
          </w:p>
        </w:tc>
        <w:tc>
          <w:tcPr>
            <w:tcW w:w="1275" w:type="dxa"/>
            <w:tcBorders>
              <w:top w:val="double" w:sz="6" w:space="0" w:color="auto"/>
              <w:bottom w:val="double" w:sz="6" w:space="0" w:color="auto"/>
            </w:tcBorders>
          </w:tcPr>
          <w:p>
            <w:pPr>
              <w:pStyle w:val="Table"/>
              <w:spacing w:before="80"/>
              <w:rPr>
                <w:b/>
                <w:sz w:val="18"/>
              </w:rPr>
            </w:pPr>
            <w:r>
              <w:rPr>
                <w:b/>
                <w:sz w:val="18"/>
              </w:rPr>
              <w:t>1st offence</w:t>
            </w:r>
          </w:p>
        </w:tc>
        <w:tc>
          <w:tcPr>
            <w:tcW w:w="1261" w:type="dxa"/>
            <w:tcBorders>
              <w:top w:val="double" w:sz="6" w:space="0" w:color="auto"/>
              <w:bottom w:val="double" w:sz="6" w:space="0" w:color="auto"/>
            </w:tcBorders>
          </w:tcPr>
          <w:p>
            <w:pPr>
              <w:pStyle w:val="Table"/>
              <w:spacing w:before="80"/>
              <w:rPr>
                <w:b/>
                <w:sz w:val="18"/>
              </w:rPr>
            </w:pPr>
            <w:r>
              <w:rPr>
                <w:b/>
                <w:sz w:val="18"/>
              </w:rPr>
              <w:t>2nd offence</w:t>
            </w:r>
          </w:p>
        </w:tc>
        <w:tc>
          <w:tcPr>
            <w:tcW w:w="1291" w:type="dxa"/>
            <w:tcBorders>
              <w:top w:val="double" w:sz="6" w:space="0" w:color="auto"/>
              <w:bottom w:val="double" w:sz="6" w:space="0" w:color="auto"/>
            </w:tcBorders>
          </w:tcPr>
          <w:p>
            <w:pPr>
              <w:pStyle w:val="Table"/>
              <w:spacing w:before="80"/>
              <w:rPr>
                <w:b/>
                <w:sz w:val="18"/>
              </w:rPr>
            </w:pPr>
            <w:r>
              <w:rPr>
                <w:b/>
                <w:sz w:val="18"/>
              </w:rPr>
              <w:t>Subsequent offence</w:t>
            </w:r>
          </w:p>
        </w:tc>
      </w:tr>
      <w:tr>
        <w:tc>
          <w:tcPr>
            <w:tcW w:w="1417" w:type="dxa"/>
            <w:tcBorders>
              <w:top w:val="nil"/>
            </w:tcBorders>
          </w:tcPr>
          <w:p>
            <w:pPr>
              <w:pStyle w:val="Table"/>
              <w:spacing w:before="80"/>
              <w:rPr>
                <w:sz w:val="18"/>
              </w:rPr>
            </w:pPr>
            <w:r>
              <w:rPr>
                <w:sz w:val="18"/>
              </w:rPr>
              <w:t>≥ 0.08</w:t>
            </w:r>
            <w:r>
              <w:rPr>
                <w:sz w:val="18"/>
              </w:rPr>
              <w:br/>
              <w:t>but</w:t>
            </w:r>
            <w:r>
              <w:rPr>
                <w:sz w:val="18"/>
              </w:rPr>
              <w:br/>
              <w:t>&lt; 0.09</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8 PU</w:t>
            </w:r>
            <w:r>
              <w:rPr>
                <w:sz w:val="18"/>
              </w:rPr>
              <w:br/>
              <w:t>30 PU</w:t>
            </w:r>
            <w:r>
              <w:rPr>
                <w:sz w:val="18"/>
              </w:rPr>
              <w:br/>
              <w:t>3 months</w:t>
            </w:r>
          </w:p>
        </w:tc>
        <w:tc>
          <w:tcPr>
            <w:tcW w:w="1261" w:type="dxa"/>
            <w:tcBorders>
              <w:top w:val="nil"/>
            </w:tcBorders>
          </w:tcPr>
          <w:p>
            <w:pPr>
              <w:pStyle w:val="Table"/>
              <w:spacing w:before="80"/>
              <w:rPr>
                <w:sz w:val="18"/>
              </w:rPr>
            </w:pPr>
            <w:r>
              <w:rPr>
                <w:sz w:val="18"/>
              </w:rPr>
              <w:t>16 PU</w:t>
            </w:r>
            <w:r>
              <w:rPr>
                <w:sz w:val="18"/>
              </w:rPr>
              <w:br/>
              <w:t>30 PU</w:t>
            </w:r>
            <w:r>
              <w:rPr>
                <w:sz w:val="18"/>
              </w:rPr>
              <w:br/>
              <w:t>6 months</w:t>
            </w:r>
          </w:p>
        </w:tc>
        <w:tc>
          <w:tcPr>
            <w:tcW w:w="1291" w:type="dxa"/>
            <w:tcBorders>
              <w:top w:val="nil"/>
            </w:tcBorders>
          </w:tcPr>
          <w:p>
            <w:pPr>
              <w:pStyle w:val="Table"/>
              <w:spacing w:before="80"/>
              <w:rPr>
                <w:sz w:val="18"/>
              </w:rPr>
            </w:pPr>
            <w:r>
              <w:rPr>
                <w:sz w:val="18"/>
              </w:rPr>
              <w:t>16 PU</w:t>
            </w:r>
            <w:r>
              <w:rPr>
                <w:sz w:val="18"/>
              </w:rPr>
              <w:br/>
              <w:t>30 PU</w:t>
            </w:r>
            <w:r>
              <w:rPr>
                <w:sz w:val="18"/>
              </w:rPr>
              <w:br/>
              <w:t>6 months</w:t>
            </w:r>
          </w:p>
        </w:tc>
      </w:tr>
      <w:tr>
        <w:tc>
          <w:tcPr>
            <w:tcW w:w="1417" w:type="dxa"/>
          </w:tcPr>
          <w:p>
            <w:pPr>
              <w:pStyle w:val="Table"/>
              <w:keepNext/>
              <w:keepLines/>
              <w:spacing w:before="80"/>
              <w:rPr>
                <w:sz w:val="18"/>
              </w:rPr>
            </w:pPr>
            <w:r>
              <w:rPr>
                <w:sz w:val="18"/>
              </w:rPr>
              <w:t>≥ 0.09</w:t>
            </w:r>
            <w:r>
              <w:rPr>
                <w:sz w:val="18"/>
              </w:rPr>
              <w:br/>
              <w:t>but</w:t>
            </w:r>
            <w:r>
              <w:rPr>
                <w:sz w:val="18"/>
              </w:rPr>
              <w:br/>
              <w:t>&lt; 0.10</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10 PU</w:t>
            </w:r>
            <w:r>
              <w:rPr>
                <w:sz w:val="18"/>
              </w:rPr>
              <w:br/>
              <w:t>30 PU</w:t>
            </w:r>
            <w:r>
              <w:rPr>
                <w:sz w:val="18"/>
              </w:rPr>
              <w:br/>
              <w:t>3 months</w:t>
            </w:r>
          </w:p>
        </w:tc>
        <w:tc>
          <w:tcPr>
            <w:tcW w:w="1261" w:type="dxa"/>
          </w:tcPr>
          <w:p>
            <w:pPr>
              <w:pStyle w:val="Table"/>
              <w:keepNext/>
              <w:keepLines/>
              <w:spacing w:before="80"/>
              <w:rPr>
                <w:sz w:val="18"/>
              </w:rPr>
            </w:pPr>
            <w:r>
              <w:rPr>
                <w:sz w:val="18"/>
              </w:rPr>
              <w:t>16 PU</w:t>
            </w:r>
            <w:r>
              <w:rPr>
                <w:sz w:val="18"/>
              </w:rPr>
              <w:br/>
              <w:t>30 PU</w:t>
            </w:r>
            <w:r>
              <w:rPr>
                <w:sz w:val="18"/>
              </w:rPr>
              <w:br/>
              <w:t>6 months</w:t>
            </w:r>
          </w:p>
        </w:tc>
        <w:tc>
          <w:tcPr>
            <w:tcW w:w="1291" w:type="dxa"/>
          </w:tcPr>
          <w:p>
            <w:pPr>
              <w:pStyle w:val="Table"/>
              <w:keepNext/>
              <w:keepLines/>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keepNext/>
              <w:keepLines/>
              <w:spacing w:before="80"/>
              <w:rPr>
                <w:sz w:val="18"/>
              </w:rPr>
            </w:pPr>
            <w:r>
              <w:rPr>
                <w:sz w:val="18"/>
              </w:rPr>
              <w:t>≥ 0.13</w:t>
            </w:r>
            <w:r>
              <w:rPr>
                <w:sz w:val="18"/>
              </w:rPr>
              <w:br/>
              <w:t>but</w:t>
            </w:r>
            <w:r>
              <w:rPr>
                <w:sz w:val="18"/>
              </w:rPr>
              <w:br/>
              <w:t>&lt; 0.14</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14 PU</w:t>
            </w:r>
            <w:r>
              <w:rPr>
                <w:sz w:val="18"/>
              </w:rPr>
              <w:br/>
              <w:t>30 PU</w:t>
            </w:r>
            <w:r>
              <w:rPr>
                <w:sz w:val="18"/>
              </w:rPr>
              <w:br/>
              <w:t>5 months</w:t>
            </w:r>
          </w:p>
        </w:tc>
        <w:tc>
          <w:tcPr>
            <w:tcW w:w="1261" w:type="dxa"/>
          </w:tcPr>
          <w:p>
            <w:pPr>
              <w:pStyle w:val="Table"/>
              <w:keepNext/>
              <w:keepLines/>
              <w:spacing w:before="80"/>
              <w:rPr>
                <w:sz w:val="18"/>
              </w:rPr>
            </w:pPr>
            <w:r>
              <w:rPr>
                <w:sz w:val="18"/>
              </w:rPr>
              <w:t>24 PU</w:t>
            </w:r>
            <w:r>
              <w:rPr>
                <w:sz w:val="18"/>
              </w:rPr>
              <w:br/>
              <w:t>30 PU</w:t>
            </w:r>
            <w:r>
              <w:rPr>
                <w:sz w:val="18"/>
              </w:rPr>
              <w:br/>
              <w:t>10 months</w:t>
            </w:r>
          </w:p>
        </w:tc>
        <w:tc>
          <w:tcPr>
            <w:tcW w:w="1291" w:type="dxa"/>
          </w:tcPr>
          <w:p>
            <w:pPr>
              <w:pStyle w:val="Table"/>
              <w:keepNext/>
              <w:keepLines/>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ind w:left="890" w:hanging="890"/>
        <w:rPr>
          <w:spacing w:val="-4"/>
        </w:rPr>
      </w:pPr>
      <w:r>
        <w:tab/>
      </w:r>
      <w:r>
        <w:rPr>
          <w:spacing w:val="-4"/>
        </w:rPr>
        <w:t>[Section 64 amended by No. 71 of 1979 s. 9; No. 82 of 1982 s. 12; No. 11 of 1988 s. 24; No. 13 of 1992 s. 8; No. 50 of 1997 s. 6; No.</w:t>
      </w:r>
      <w:del w:id="653" w:author="svcMRProcess" w:date="2018-09-08T08:22:00Z">
        <w:r>
          <w:rPr>
            <w:spacing w:val="-4"/>
          </w:rPr>
          <w:delText xml:space="preserve"> </w:delText>
        </w:r>
      </w:del>
      <w:ins w:id="654" w:author="svcMRProcess" w:date="2018-09-08T08:22:00Z">
        <w:r>
          <w:rPr>
            <w:spacing w:val="-4"/>
          </w:rPr>
          <w:t> </w:t>
        </w:r>
      </w:ins>
      <w:r>
        <w:rPr>
          <w:spacing w:val="-4"/>
        </w:rPr>
        <w:t>54 of 2006 s. 15 and 17(3) and (4); No. 39 of 2007 s. 6 and</w:t>
      </w:r>
      <w:del w:id="655" w:author="svcMRProcess" w:date="2018-09-08T08:22:00Z">
        <w:r>
          <w:rPr>
            <w:spacing w:val="-4"/>
          </w:rPr>
          <w:delText xml:space="preserve"> </w:delText>
        </w:r>
      </w:del>
      <w:ins w:id="656" w:author="svcMRProcess" w:date="2018-09-08T08:22:00Z">
        <w:r>
          <w:rPr>
            <w:spacing w:val="-4"/>
          </w:rPr>
          <w:t> </w:t>
        </w:r>
      </w:ins>
      <w:r>
        <w:rPr>
          <w:spacing w:val="-4"/>
        </w:rPr>
        <w:t>32.]</w:t>
      </w:r>
    </w:p>
    <w:p>
      <w:pPr>
        <w:pStyle w:val="Heading5"/>
        <w:rPr>
          <w:snapToGrid w:val="0"/>
        </w:rPr>
      </w:pPr>
      <w:bookmarkStart w:id="657" w:name="_Toc276038727"/>
      <w:bookmarkStart w:id="658" w:name="_Toc210119973"/>
      <w:r>
        <w:rPr>
          <w:rStyle w:val="CharSectno"/>
        </w:rPr>
        <w:t>64AA</w:t>
      </w:r>
      <w:r>
        <w:rPr>
          <w:snapToGrid w:val="0"/>
        </w:rPr>
        <w:t>.</w:t>
      </w:r>
      <w:r>
        <w:rPr>
          <w:snapToGrid w:val="0"/>
        </w:rPr>
        <w:tab/>
        <w:t>Driving with blood alcohol content of or above 0.05</w:t>
      </w:r>
      <w:bookmarkEnd w:id="657"/>
      <w:bookmarkEnd w:id="658"/>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rPr>
          <w:tblHeader/>
        </w:trP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bottom w:val="single" w:sz="8"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bottom w:val="single" w:sz="8"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bottom w:val="single" w:sz="8"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8" w:space="0" w:color="auto"/>
              <w:left w:val="double" w:sz="6" w:space="0" w:color="auto"/>
              <w:bottom w:val="double" w:sz="6" w:space="0" w:color="auto"/>
              <w:right w:val="single" w:sz="8"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8" w:space="0" w:color="auto"/>
              <w:left w:val="single" w:sz="8" w:space="0" w:color="auto"/>
              <w:bottom w:val="double" w:sz="6" w:space="0" w:color="auto"/>
              <w:right w:val="single" w:sz="8" w:space="0" w:color="auto"/>
            </w:tcBorders>
          </w:tcPr>
          <w:p>
            <w:pPr>
              <w:pStyle w:val="Table"/>
              <w:rPr>
                <w:sz w:val="18"/>
              </w:rPr>
            </w:pPr>
            <w:r>
              <w:rPr>
                <w:sz w:val="18"/>
              </w:rPr>
              <w:t>Min:</w:t>
            </w:r>
            <w:r>
              <w:rPr>
                <w:sz w:val="18"/>
              </w:rPr>
              <w:br/>
              <w:t>Max:</w:t>
            </w:r>
            <w:r>
              <w:rPr>
                <w:sz w:val="18"/>
              </w:rPr>
              <w:br/>
              <w:t>Disq:</w:t>
            </w:r>
          </w:p>
        </w:tc>
        <w:tc>
          <w:tcPr>
            <w:tcW w:w="1275" w:type="dxa"/>
            <w:tcBorders>
              <w:top w:val="single" w:sz="8" w:space="0" w:color="auto"/>
              <w:left w:val="single" w:sz="8" w:space="0" w:color="auto"/>
              <w:bottom w:val="double" w:sz="6" w:space="0" w:color="auto"/>
              <w:right w:val="double" w:sz="6" w:space="0" w:color="auto"/>
            </w:tcBorders>
          </w:tcPr>
          <w:p>
            <w:pPr>
              <w:pStyle w:val="Table"/>
              <w:rPr>
                <w:sz w:val="18"/>
              </w:rPr>
            </w:pPr>
            <w:r>
              <w:rPr>
                <w:sz w:val="18"/>
              </w:rPr>
              <w:t>6 PU</w:t>
            </w:r>
            <w:r>
              <w:rPr>
                <w:sz w:val="18"/>
              </w:rPr>
              <w:br/>
              <w:t>10 PU</w:t>
            </w:r>
            <w:r>
              <w:rPr>
                <w:sz w:val="18"/>
              </w:rPr>
              <w:br/>
              <w:t>3 months</w:t>
            </w:r>
          </w:p>
        </w:tc>
      </w:tr>
      <w:tr>
        <w:tc>
          <w:tcPr>
            <w:tcW w:w="2551" w:type="dxa"/>
            <w:tcBorders>
              <w:top w:val="double" w:sz="6" w:space="0" w:color="auto"/>
              <w:left w:val="double" w:sz="7" w:space="0" w:color="auto"/>
              <w:bottom w:val="double" w:sz="7" w:space="0" w:color="auto"/>
            </w:tcBorders>
          </w:tcPr>
          <w:p>
            <w:pPr>
              <w:pStyle w:val="Table"/>
              <w:keepNext/>
              <w:keepLines/>
              <w:jc w:val="center"/>
              <w:rPr>
                <w:sz w:val="18"/>
              </w:rPr>
            </w:pPr>
            <w:r>
              <w:rPr>
                <w:sz w:val="18"/>
              </w:rPr>
              <w:t>≥ 0.07</w:t>
            </w:r>
            <w:r>
              <w:rPr>
                <w:sz w:val="18"/>
              </w:rPr>
              <w:br/>
            </w:r>
          </w:p>
        </w:tc>
        <w:tc>
          <w:tcPr>
            <w:tcW w:w="851" w:type="dxa"/>
            <w:tcBorders>
              <w:top w:val="double" w:sz="6" w:space="0" w:color="auto"/>
              <w:left w:val="single" w:sz="7" w:space="0" w:color="auto"/>
              <w:bottom w:val="double" w:sz="7" w:space="0" w:color="auto"/>
            </w:tcBorders>
          </w:tcPr>
          <w:p>
            <w:pPr>
              <w:pStyle w:val="Table"/>
              <w:keepNext/>
              <w:keepLines/>
              <w:rPr>
                <w:sz w:val="18"/>
              </w:rPr>
            </w:pPr>
            <w:r>
              <w:rPr>
                <w:sz w:val="18"/>
              </w:rPr>
              <w:t>Min:</w:t>
            </w:r>
            <w:r>
              <w:rPr>
                <w:sz w:val="18"/>
              </w:rPr>
              <w:br/>
              <w:t>Max:</w:t>
            </w:r>
            <w:r>
              <w:rPr>
                <w:sz w:val="18"/>
              </w:rPr>
              <w:br/>
              <w:t>Disq:</w:t>
            </w:r>
          </w:p>
        </w:tc>
        <w:tc>
          <w:tcPr>
            <w:tcW w:w="1275" w:type="dxa"/>
            <w:tcBorders>
              <w:top w:val="double" w:sz="6" w:space="0" w:color="auto"/>
              <w:left w:val="single" w:sz="7" w:space="0" w:color="auto"/>
              <w:bottom w:val="double" w:sz="7" w:space="0" w:color="auto"/>
              <w:right w:val="double" w:sz="7" w:space="0" w:color="auto"/>
            </w:tcBorders>
          </w:tcPr>
          <w:p>
            <w:pPr>
              <w:pStyle w:val="Table"/>
              <w:keepNext/>
              <w:keepLines/>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spacing w:before="200"/>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spacing w:before="200"/>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spacing w:before="200"/>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659" w:name="_Toc276038728"/>
      <w:bookmarkStart w:id="660" w:name="_Toc210119974"/>
      <w:r>
        <w:rPr>
          <w:rStyle w:val="CharSectno"/>
        </w:rPr>
        <w:t>64A</w:t>
      </w:r>
      <w:r>
        <w:rPr>
          <w:snapToGrid w:val="0"/>
        </w:rPr>
        <w:t>.</w:t>
      </w:r>
      <w:r>
        <w:rPr>
          <w:snapToGrid w:val="0"/>
        </w:rPr>
        <w:tab/>
        <w:t>Certain persons driving with blood alcohol content of or above 0.02</w:t>
      </w:r>
      <w:bookmarkEnd w:id="659"/>
      <w:bookmarkEnd w:id="660"/>
    </w:p>
    <w:p>
      <w:pPr>
        <w:pStyle w:val="Subsection"/>
        <w:spacing w:before="200"/>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spacing w:before="120"/>
      </w:pPr>
      <w:r>
        <w:tab/>
        <w:t>(2)</w:t>
      </w:r>
      <w:r>
        <w:tab/>
        <w:t xml:space="preserve">Subsection (1) applies to a person who — </w:t>
      </w:r>
    </w:p>
    <w:p>
      <w:pPr>
        <w:pStyle w:val="Indenta"/>
        <w:spacing w:before="60"/>
      </w:pPr>
      <w:r>
        <w:tab/>
        <w:t>(a)</w:t>
      </w:r>
      <w:r>
        <w:tab/>
        <w:t>holds a provisional licence;</w:t>
      </w:r>
    </w:p>
    <w:p>
      <w:pPr>
        <w:pStyle w:val="Indenta"/>
        <w:spacing w:before="60"/>
      </w:pPr>
      <w:r>
        <w:tab/>
        <w:t>(b)</w:t>
      </w:r>
      <w:r>
        <w:tab/>
        <w:t>if an Australian driver licence could be granted to the person, could only obtain a provisional licence;</w:t>
      </w:r>
    </w:p>
    <w:p>
      <w:pPr>
        <w:pStyle w:val="Indenta"/>
        <w:spacing w:before="6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spacing w:before="60"/>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spacing w:before="60"/>
      </w:pPr>
      <w:r>
        <w:tab/>
        <w:t>(e)</w:t>
      </w:r>
      <w:r>
        <w:tab/>
        <w:t>holds an extraordinary licence; or</w:t>
      </w:r>
    </w:p>
    <w:p>
      <w:pPr>
        <w:pStyle w:val="Indenta"/>
        <w:spacing w:before="60"/>
      </w:pPr>
      <w:r>
        <w:tab/>
        <w:t>(f)</w:t>
      </w:r>
      <w:r>
        <w:tab/>
        <w:t>is a recently disqualified driver.</w:t>
      </w:r>
    </w:p>
    <w:p>
      <w:pPr>
        <w:pStyle w:val="Subsection"/>
        <w:spacing w:before="120"/>
      </w:pPr>
      <w:r>
        <w:tab/>
        <w:t>(3)</w:t>
      </w:r>
      <w:r>
        <w:tab/>
        <w:t>For the purpose of subsection (2), a person is a recently disqualified driver if, within the last 3 years, the person —</w:t>
      </w:r>
    </w:p>
    <w:p>
      <w:pPr>
        <w:pStyle w:val="Indenta"/>
        <w:spacing w:before="60"/>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661" w:name="_Toc169940303"/>
      <w:bookmarkStart w:id="662" w:name="_Toc185675073"/>
      <w:bookmarkStart w:id="663" w:name="_Toc186515649"/>
      <w:bookmarkStart w:id="664" w:name="_Toc202435224"/>
      <w:bookmarkStart w:id="665" w:name="_Toc276038729"/>
      <w:bookmarkStart w:id="666" w:name="_Toc210119975"/>
      <w:r>
        <w:rPr>
          <w:rStyle w:val="CharSectno"/>
        </w:rPr>
        <w:t>64AAA</w:t>
      </w:r>
      <w:r>
        <w:t>.</w:t>
      </w:r>
      <w:r>
        <w:tab/>
        <w:t>Novice driver driving with any blood alcohol content</w:t>
      </w:r>
      <w:bookmarkEnd w:id="661"/>
      <w:bookmarkEnd w:id="662"/>
      <w:bookmarkEnd w:id="663"/>
      <w:bookmarkEnd w:id="664"/>
      <w:bookmarkEnd w:id="665"/>
      <w:bookmarkEnd w:id="666"/>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667" w:name="_Toc276038730"/>
      <w:bookmarkStart w:id="668" w:name="_Toc210119976"/>
      <w:r>
        <w:rPr>
          <w:rStyle w:val="CharSectno"/>
        </w:rPr>
        <w:t>64AB</w:t>
      </w:r>
      <w:r>
        <w:t>.</w:t>
      </w:r>
      <w:r>
        <w:tab/>
      </w:r>
      <w:r>
        <w:rPr>
          <w:snapToGrid w:val="0"/>
        </w:rPr>
        <w:t>Driving while impaired by drugs</w:t>
      </w:r>
      <w:bookmarkEnd w:id="667"/>
      <w:bookmarkEnd w:id="668"/>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ins w:id="669" w:author="svcMRProcess" w:date="2018-09-08T08:22:00Z">
        <w:r>
          <w:rPr>
            <w:vertAlign w:val="superscript"/>
          </w:rPr>
          <w:t> 1</w:t>
        </w:r>
      </w:ins>
      <w:r>
        <w:rPr>
          <w:i/>
          <w:iCs/>
        </w:rPr>
        <w:t xml:space="preserve"> </w:t>
      </w:r>
      <w:r>
        <w:t>shall be taken into account and be deemed to have been an offence against this section (but not to the exclusion of any other previous offence against this section) in determining whether that first</w:t>
      </w:r>
      <w:del w:id="670" w:author="svcMRProcess" w:date="2018-09-08T08:22:00Z">
        <w:r>
          <w:delText xml:space="preserve"> </w:delText>
        </w:r>
      </w:del>
      <w:ins w:id="671" w:author="svcMRProcess" w:date="2018-09-08T08:22:00Z">
        <w:r>
          <w:noBreakHyphen/>
        </w:r>
      </w:ins>
      <w:r>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ins w:id="672" w:author="svcMRProcess" w:date="2018-09-08T08:22:00Z">
        <w:r>
          <w:rPr>
            <w:snapToGrid w:val="0"/>
          </w:rPr>
          <w:t> </w:t>
        </w:r>
        <w:r>
          <w:rPr>
            <w:snapToGrid w:val="0"/>
            <w:vertAlign w:val="superscript"/>
          </w:rPr>
          <w:t>2</w:t>
        </w:r>
      </w:ins>
      <w:r>
        <w:t>, or registered dentist; or</w:t>
      </w:r>
    </w:p>
    <w:p>
      <w:pPr>
        <w:pStyle w:val="Indenti"/>
      </w:pPr>
      <w:r>
        <w:tab/>
        <w:t>(ii)</w:t>
      </w:r>
      <w:r>
        <w:tab/>
        <w:t xml:space="preserve">administered by a medical practitioner, nurse practitioner registered under the </w:t>
      </w:r>
      <w:r>
        <w:rPr>
          <w:i/>
          <w:iCs/>
        </w:rPr>
        <w:t>Nurses Act 1992</w:t>
      </w:r>
      <w:ins w:id="673" w:author="svcMRProcess" w:date="2018-09-08T08:22:00Z">
        <w:r>
          <w:rPr>
            <w:snapToGrid w:val="0"/>
          </w:rPr>
          <w:t> </w:t>
        </w:r>
        <w:r>
          <w:rPr>
            <w:snapToGrid w:val="0"/>
            <w:vertAlign w:val="superscript"/>
          </w:rPr>
          <w:t>2</w:t>
        </w:r>
      </w:ins>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674" w:name="_Toc276038731"/>
      <w:bookmarkStart w:id="675" w:name="_Toc210119977"/>
      <w:r>
        <w:rPr>
          <w:rStyle w:val="CharSectno"/>
        </w:rPr>
        <w:t>64AC</w:t>
      </w:r>
      <w:r>
        <w:t>.</w:t>
      </w:r>
      <w:r>
        <w:tab/>
      </w:r>
      <w:r>
        <w:rPr>
          <w:snapToGrid w:val="0"/>
        </w:rPr>
        <w:t>Driving with prescribed illicit drug in oral fluid or blood</w:t>
      </w:r>
      <w:bookmarkEnd w:id="674"/>
      <w:bookmarkEnd w:id="675"/>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del w:id="676" w:author="svcMRProcess" w:date="2018-09-08T08:22:00Z">
        <w:r>
          <w:rPr>
            <w:snapToGrid w:val="0"/>
          </w:rPr>
          <w:delText xml:space="preserve"> </w:delText>
        </w:r>
      </w:del>
      <w:ins w:id="677" w:author="svcMRProcess" w:date="2018-09-08T08:22:00Z">
        <w:r>
          <w:noBreakHyphen/>
        </w:r>
      </w:ins>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del w:id="678" w:author="svcMRProcess" w:date="2018-09-08T08:22:00Z"/>
          <w:snapToGrid w:val="0"/>
        </w:rPr>
      </w:pPr>
      <w:bookmarkStart w:id="679" w:name="_Toc210119978"/>
      <w:bookmarkStart w:id="680" w:name="_Toc276038732"/>
      <w:del w:id="681" w:author="svcMRProcess" w:date="2018-09-08T08:22:00Z">
        <w:r>
          <w:rPr>
            <w:rStyle w:val="CharSectno"/>
          </w:rPr>
          <w:delText>65</w:delText>
        </w:r>
        <w:r>
          <w:rPr>
            <w:snapToGrid w:val="0"/>
          </w:rPr>
          <w:delText>.</w:delText>
        </w:r>
        <w:r>
          <w:rPr>
            <w:snapToGrid w:val="0"/>
          </w:rPr>
          <w:tab/>
          <w:delText>Definitions</w:delText>
        </w:r>
        <w:bookmarkEnd w:id="679"/>
      </w:del>
    </w:p>
    <w:p>
      <w:pPr>
        <w:pStyle w:val="Heading5"/>
        <w:rPr>
          <w:ins w:id="682" w:author="svcMRProcess" w:date="2018-09-08T08:22:00Z"/>
          <w:snapToGrid w:val="0"/>
        </w:rPr>
      </w:pPr>
      <w:ins w:id="683" w:author="svcMRProcess" w:date="2018-09-08T08:22:00Z">
        <w:r>
          <w:rPr>
            <w:rStyle w:val="CharSectno"/>
          </w:rPr>
          <w:t>65</w:t>
        </w:r>
        <w:r>
          <w:rPr>
            <w:snapToGrid w:val="0"/>
          </w:rPr>
          <w:t>.</w:t>
        </w:r>
        <w:r>
          <w:rPr>
            <w:snapToGrid w:val="0"/>
          </w:rPr>
          <w:tab/>
          <w:t>Terms used in section 59B(5) and sections 63 to 73</w:t>
        </w:r>
        <w:bookmarkEnd w:id="680"/>
      </w:ins>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spacing w:before="60"/>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spacing w:before="60"/>
      </w:pPr>
      <w:r>
        <w:rPr>
          <w:b/>
        </w:rPr>
        <w:tab/>
      </w:r>
      <w:r>
        <w:rPr>
          <w:rStyle w:val="CharDefText"/>
        </w:rPr>
        <w:t>medical practitioner</w:t>
      </w:r>
      <w:r>
        <w:t xml:space="preserve"> has the same meaning as it has in, and for the purposes of the </w:t>
      </w:r>
      <w:r>
        <w:rPr>
          <w:i/>
        </w:rPr>
        <w:t>Medical Act 1894</w:t>
      </w:r>
      <w:r>
        <w:t>;</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spacing w:before="60"/>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rPr>
          <w:b/>
        </w:rPr>
        <w:tab/>
      </w:r>
      <w:r>
        <w:rPr>
          <w:rStyle w:val="CharDefText"/>
        </w:rPr>
        <w:t>registered nurse</w:t>
      </w:r>
      <w:r>
        <w:t xml:space="preserve"> has the meaning given to that term in section 3 of the </w:t>
      </w:r>
      <w:r>
        <w:rPr>
          <w:i/>
        </w:rPr>
        <w:t>Nurses and Midwives Act 2006</w:t>
      </w:r>
      <w:r>
        <w:rPr>
          <w:iCs/>
        </w:rPr>
        <w:t>;</w:t>
      </w:r>
    </w:p>
    <w:p>
      <w:pPr>
        <w:pStyle w:val="Defstart"/>
        <w:spacing w:before="60"/>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w:t>
      </w:r>
    </w:p>
    <w:p>
      <w:pPr>
        <w:pStyle w:val="Heading5"/>
      </w:pPr>
      <w:bookmarkStart w:id="684" w:name="_Toc276038733"/>
      <w:bookmarkStart w:id="685" w:name="_Toc210119979"/>
      <w:r>
        <w:rPr>
          <w:rStyle w:val="CharSectno"/>
        </w:rPr>
        <w:t>65A</w:t>
      </w:r>
      <w:r>
        <w:t>.</w:t>
      </w:r>
      <w:r>
        <w:tab/>
        <w:t>Using breath sample to find blood alcohol content</w:t>
      </w:r>
      <w:bookmarkEnd w:id="684"/>
      <w:bookmarkEnd w:id="685"/>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686" w:name="_Toc276038734"/>
      <w:bookmarkStart w:id="687" w:name="_Toc210119980"/>
      <w:r>
        <w:rPr>
          <w:rStyle w:val="CharSectno"/>
        </w:rPr>
        <w:t>66</w:t>
      </w:r>
      <w:r>
        <w:rPr>
          <w:snapToGrid w:val="0"/>
        </w:rPr>
        <w:t>.</w:t>
      </w:r>
      <w:r>
        <w:rPr>
          <w:snapToGrid w:val="0"/>
        </w:rPr>
        <w:tab/>
        <w:t>Requirement to submit sample of breath or blood for analysis</w:t>
      </w:r>
      <w:bookmarkEnd w:id="686"/>
      <w:bookmarkEnd w:id="687"/>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keepNext/>
        <w:keepLines/>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keepNext/>
        <w:keepLines/>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keepNext/>
        <w:keepLines/>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spacing w:before="120"/>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spacing w:before="120"/>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20"/>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Ednotesubsection"/>
        <w:rPr>
          <w:del w:id="688" w:author="svcMRProcess" w:date="2018-09-08T08:22:00Z"/>
        </w:rPr>
      </w:pPr>
      <w:del w:id="689" w:author="svcMRProcess" w:date="2018-09-08T08:22:00Z">
        <w:r>
          <w:tab/>
          <w:delText>[(16), (17)</w:delText>
        </w:r>
        <w:r>
          <w:tab/>
          <w:delText>repealed]</w:delText>
        </w:r>
      </w:del>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w:t>
      </w:r>
    </w:p>
    <w:p>
      <w:pPr>
        <w:pStyle w:val="Heading5"/>
      </w:pPr>
      <w:bookmarkStart w:id="690" w:name="_Toc276038735"/>
      <w:bookmarkStart w:id="691" w:name="_Toc210119981"/>
      <w:r>
        <w:rPr>
          <w:rStyle w:val="CharSectno"/>
        </w:rPr>
        <w:t>66A</w:t>
      </w:r>
      <w:r>
        <w:t>.</w:t>
      </w:r>
      <w:r>
        <w:tab/>
        <w:t>Requirement to undergo driver assessment</w:t>
      </w:r>
      <w:bookmarkEnd w:id="690"/>
      <w:bookmarkEnd w:id="691"/>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spacing w:before="200"/>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spacing w:before="200"/>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spacing w:before="200"/>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spacing w:before="200"/>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260"/>
      </w:pPr>
      <w:bookmarkStart w:id="692" w:name="_Toc276038736"/>
      <w:bookmarkStart w:id="693" w:name="_Toc210119982"/>
      <w:r>
        <w:rPr>
          <w:rStyle w:val="CharSectno"/>
        </w:rPr>
        <w:t>66B</w:t>
      </w:r>
      <w:r>
        <w:t>.</w:t>
      </w:r>
      <w:r>
        <w:tab/>
        <w:t>Requirement to provide blood or urine sample if driver assessment indicates drug impairment</w:t>
      </w:r>
      <w:bookmarkEnd w:id="692"/>
      <w:bookmarkEnd w:id="693"/>
      <w:r>
        <w:t xml:space="preserve"> </w:t>
      </w:r>
    </w:p>
    <w:p>
      <w:pPr>
        <w:pStyle w:val="Subsection"/>
        <w:spacing w:before="20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keepNext/>
        <w:keepLines/>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keepNext/>
        <w:keepLines/>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keepNext/>
        <w:keepLines/>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r>
        <w:tab/>
        <w:t>[Section 66B inserted by No. 6 of 2007 s. 9.]</w:t>
      </w:r>
    </w:p>
    <w:p>
      <w:pPr>
        <w:pStyle w:val="Heading5"/>
      </w:pPr>
      <w:bookmarkStart w:id="694" w:name="_Toc276038737"/>
      <w:bookmarkStart w:id="695" w:name="_Toc210119983"/>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694"/>
      <w:bookmarkEnd w:id="695"/>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pPr>
      <w:bookmarkStart w:id="696" w:name="_Toc276038738"/>
      <w:bookmarkStart w:id="697" w:name="_Toc210119984"/>
      <w:r>
        <w:rPr>
          <w:rStyle w:val="CharSectno"/>
        </w:rPr>
        <w:t>66D</w:t>
      </w:r>
      <w:r>
        <w:t>.</w:t>
      </w:r>
      <w:r>
        <w:tab/>
        <w:t xml:space="preserve">Requirement to </w:t>
      </w:r>
      <w:r>
        <w:rPr>
          <w:snapToGrid w:val="0"/>
        </w:rPr>
        <w:t>provide sample of oral fluid for testing</w:t>
      </w:r>
      <w:bookmarkEnd w:id="696"/>
      <w:bookmarkEnd w:id="697"/>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r>
        <w:tab/>
        <w:t>[Section 66D inserted by No. 6 of 2007 s. 9.]</w:t>
      </w:r>
    </w:p>
    <w:p>
      <w:pPr>
        <w:pStyle w:val="Heading5"/>
      </w:pPr>
      <w:bookmarkStart w:id="698" w:name="_Toc276038739"/>
      <w:bookmarkStart w:id="699" w:name="_Toc210119985"/>
      <w:r>
        <w:rPr>
          <w:rStyle w:val="CharSectno"/>
        </w:rPr>
        <w:t>66E</w:t>
      </w:r>
      <w:r>
        <w:t>.</w:t>
      </w:r>
      <w:r>
        <w:tab/>
        <w:t xml:space="preserve">Requirement or right to </w:t>
      </w:r>
      <w:r>
        <w:rPr>
          <w:snapToGrid w:val="0"/>
        </w:rPr>
        <w:t>provide sample of blood for analysis instead of providing sample of oral fluid</w:t>
      </w:r>
      <w:bookmarkEnd w:id="698"/>
      <w:bookmarkEnd w:id="699"/>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keepNext/>
        <w:keepLines/>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r>
        <w:tab/>
        <w:t>[Section 66E inserted by No. 6 of 2007 s. 9.]</w:t>
      </w:r>
    </w:p>
    <w:p>
      <w:pPr>
        <w:pStyle w:val="Heading5"/>
      </w:pPr>
      <w:bookmarkStart w:id="700" w:name="_Toc276038740"/>
      <w:bookmarkStart w:id="701" w:name="_Toc210119986"/>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700"/>
      <w:bookmarkEnd w:id="701"/>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702" w:name="_Toc276038741"/>
      <w:bookmarkStart w:id="703" w:name="_Toc210119987"/>
      <w:r>
        <w:rPr>
          <w:rStyle w:val="CharSectno"/>
        </w:rPr>
        <w:t>67</w:t>
      </w:r>
      <w:r>
        <w:rPr>
          <w:snapToGrid w:val="0"/>
        </w:rPr>
        <w:t>.</w:t>
      </w:r>
      <w:r>
        <w:rPr>
          <w:snapToGrid w:val="0"/>
        </w:rPr>
        <w:tab/>
        <w:t>Failure to comply with requirement as to provision of breath, blood or urine sample for analysis</w:t>
      </w:r>
      <w:bookmarkEnd w:id="702"/>
      <w:bookmarkEnd w:id="703"/>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w:t>
      </w:r>
    </w:p>
    <w:p>
      <w:pPr>
        <w:pStyle w:val="Heading5"/>
        <w:rPr>
          <w:snapToGrid w:val="0"/>
        </w:rPr>
      </w:pPr>
      <w:bookmarkStart w:id="704" w:name="_Toc276038742"/>
      <w:bookmarkStart w:id="705" w:name="_Toc210119988"/>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704"/>
      <w:bookmarkEnd w:id="705"/>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w:t>
      </w:r>
      <w:del w:id="706" w:author="svcMRProcess" w:date="2018-09-08T08:22:00Z">
        <w:r>
          <w:rPr>
            <w:snapToGrid w:val="0"/>
          </w:rPr>
          <w:delText xml:space="preserve"> </w:delText>
        </w:r>
      </w:del>
      <w:ins w:id="707" w:author="svcMRProcess" w:date="2018-09-08T08:22:00Z">
        <w:r>
          <w:rPr>
            <w:snapToGrid w:val="0"/>
          </w:rPr>
          <w:t> </w:t>
        </w:r>
      </w:ins>
      <w:r>
        <w:rPr>
          <w:snapToGrid w:val="0"/>
        </w:rPr>
        <w:t>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ins w:id="708" w:author="svcMRProcess" w:date="2018-09-08T08:22:00Z">
        <w:r>
          <w:rPr>
            <w:snapToGrid w:val="0"/>
          </w:rPr>
          <w:t xml:space="preserve"> </w:t>
        </w:r>
        <w:r>
          <w:rPr>
            <w:snapToGrid w:val="0"/>
            <w:vertAlign w:val="superscript"/>
          </w:rPr>
          <w:t>1</w:t>
        </w:r>
      </w:ins>
      <w:r>
        <w:t xml:space="preserve"> </w:t>
      </w:r>
      <w:r>
        <w:rPr>
          <w:snapToGrid w:val="0"/>
        </w:rPr>
        <w:t>shall be taken into account and be deemed to have been an offence against this section (but not to the exclusion of any other previous offence against this section) in determining whether that first</w:t>
      </w:r>
      <w:del w:id="709" w:author="svcMRProcess" w:date="2018-09-08T08:22:00Z">
        <w:r>
          <w:rPr>
            <w:snapToGrid w:val="0"/>
          </w:rPr>
          <w:delText xml:space="preserve"> </w:delText>
        </w:r>
      </w:del>
      <w:ins w:id="710" w:author="svcMRProcess" w:date="2018-09-08T08:22:00Z">
        <w:r>
          <w:noBreakHyphen/>
        </w:r>
      </w:ins>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711" w:name="_Toc276038743"/>
      <w:bookmarkStart w:id="712" w:name="_Toc210119989"/>
      <w:r>
        <w:rPr>
          <w:rStyle w:val="CharSectno"/>
        </w:rPr>
        <w:t>67AB</w:t>
      </w:r>
      <w:r>
        <w:rPr>
          <w:snapToGrid w:val="0"/>
        </w:rPr>
        <w:t>.</w:t>
      </w:r>
      <w:r>
        <w:rPr>
          <w:snapToGrid w:val="0"/>
        </w:rPr>
        <w:tab/>
        <w:t>Failure to comply with requirement as to provision of oral fluid or blood sample for testing or analysis under section 66D or 66E</w:t>
      </w:r>
      <w:bookmarkEnd w:id="711"/>
      <w:bookmarkEnd w:id="712"/>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ins w:id="713" w:author="svcMRProcess" w:date="2018-09-08T08:22:00Z">
        <w:r>
          <w:rPr>
            <w:snapToGrid w:val="0"/>
          </w:rPr>
          <w:t xml:space="preserve"> </w:t>
        </w:r>
        <w:r>
          <w:rPr>
            <w:snapToGrid w:val="0"/>
            <w:vertAlign w:val="superscript"/>
          </w:rPr>
          <w:t>1</w:t>
        </w:r>
      </w:ins>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del w:id="714" w:author="svcMRProcess" w:date="2018-09-08T08:22:00Z">
        <w:r>
          <w:rPr>
            <w:snapToGrid w:val="0"/>
          </w:rPr>
          <w:delText xml:space="preserve"> </w:delText>
        </w:r>
      </w:del>
      <w:ins w:id="715" w:author="svcMRProcess" w:date="2018-09-08T08:22:00Z">
        <w:r>
          <w:noBreakHyphen/>
        </w:r>
      </w:ins>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716" w:name="_Toc276038744"/>
      <w:bookmarkStart w:id="717" w:name="_Toc210119990"/>
      <w:r>
        <w:rPr>
          <w:rStyle w:val="CharSectno"/>
        </w:rPr>
        <w:t>67A</w:t>
      </w:r>
      <w:r>
        <w:rPr>
          <w:snapToGrid w:val="0"/>
        </w:rPr>
        <w:t>.</w:t>
      </w:r>
      <w:r>
        <w:rPr>
          <w:snapToGrid w:val="0"/>
        </w:rPr>
        <w:tab/>
        <w:t>Failure to comply with other requirements made by a member of Police Force</w:t>
      </w:r>
      <w:bookmarkEnd w:id="716"/>
      <w:bookmarkEnd w:id="717"/>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63, 64, 64AB</w:t>
      </w:r>
      <w:del w:id="718" w:author="svcMRProcess" w:date="2018-09-08T08:22:00Z">
        <w:r>
          <w:rPr>
            <w:snapToGrid w:val="0"/>
          </w:rPr>
          <w:delText>,,</w:delText>
        </w:r>
      </w:del>
      <w:ins w:id="719" w:author="svcMRProcess" w:date="2018-09-08T08:22:00Z">
        <w:r>
          <w:rPr>
            <w:snapToGrid w:val="0"/>
          </w:rPr>
          <w:t>,</w:t>
        </w:r>
      </w:ins>
      <w:r>
        <w:rPr>
          <w:snapToGrid w:val="0"/>
        </w:rPr>
        <w:t xml:space="preserve">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720" w:name="_Toc276038745"/>
      <w:bookmarkStart w:id="721" w:name="_Toc210119991"/>
      <w:r>
        <w:rPr>
          <w:rStyle w:val="CharSectno"/>
        </w:rPr>
        <w:t>68</w:t>
      </w:r>
      <w:r>
        <w:rPr>
          <w:snapToGrid w:val="0"/>
        </w:rPr>
        <w:t>.</w:t>
      </w:r>
      <w:r>
        <w:rPr>
          <w:snapToGrid w:val="0"/>
        </w:rPr>
        <w:tab/>
        <w:t>Analysis of alcohol in breath</w:t>
      </w:r>
      <w:bookmarkEnd w:id="720"/>
      <w:bookmarkEnd w:id="721"/>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spacing w:before="120"/>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2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2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2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keepNext/>
        <w:keepLines/>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722" w:name="_Toc276038746"/>
      <w:bookmarkStart w:id="723" w:name="_Toc210119992"/>
      <w:r>
        <w:rPr>
          <w:rStyle w:val="CharSectno"/>
        </w:rPr>
        <w:t>69</w:t>
      </w:r>
      <w:r>
        <w:rPr>
          <w:snapToGrid w:val="0"/>
        </w:rPr>
        <w:t>.</w:t>
      </w:r>
      <w:r>
        <w:rPr>
          <w:snapToGrid w:val="0"/>
        </w:rPr>
        <w:tab/>
        <w:t>Blood analysis</w:t>
      </w:r>
      <w:bookmarkEnd w:id="722"/>
      <w:bookmarkEnd w:id="723"/>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724" w:name="_Toc276038747"/>
      <w:bookmarkStart w:id="725" w:name="_Toc210119993"/>
      <w:r>
        <w:rPr>
          <w:rStyle w:val="CharSectno"/>
        </w:rPr>
        <w:t>69A</w:t>
      </w:r>
      <w:r>
        <w:rPr>
          <w:snapToGrid w:val="0"/>
        </w:rPr>
        <w:t>.</w:t>
      </w:r>
      <w:r>
        <w:rPr>
          <w:snapToGrid w:val="0"/>
        </w:rPr>
        <w:tab/>
        <w:t>Urine samples</w:t>
      </w:r>
      <w:bookmarkEnd w:id="724"/>
      <w:bookmarkEnd w:id="725"/>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726" w:name="_Toc276038748"/>
      <w:bookmarkStart w:id="727" w:name="_Toc210119994"/>
      <w:r>
        <w:rPr>
          <w:rStyle w:val="CharSectno"/>
        </w:rPr>
        <w:t>69B</w:t>
      </w:r>
      <w:r>
        <w:t>.</w:t>
      </w:r>
      <w:r>
        <w:tab/>
        <w:t>Oral fluid samples</w:t>
      </w:r>
      <w:bookmarkEnd w:id="726"/>
      <w:bookmarkEnd w:id="727"/>
    </w:p>
    <w:p>
      <w:pPr>
        <w:pStyle w:val="Subsection"/>
        <w:spacing w:before="1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728" w:name="_Toc276038749"/>
      <w:bookmarkStart w:id="729" w:name="_Toc210119995"/>
      <w:r>
        <w:rPr>
          <w:rStyle w:val="CharSectno"/>
        </w:rPr>
        <w:t>70</w:t>
      </w:r>
      <w:r>
        <w:rPr>
          <w:snapToGrid w:val="0"/>
        </w:rPr>
        <w:t>.</w:t>
      </w:r>
      <w:r>
        <w:rPr>
          <w:snapToGrid w:val="0"/>
        </w:rPr>
        <w:tab/>
        <w:t>Evidence</w:t>
      </w:r>
      <w:bookmarkEnd w:id="728"/>
      <w:bookmarkEnd w:id="729"/>
    </w:p>
    <w:p>
      <w:pPr>
        <w:pStyle w:val="Subsection"/>
        <w:spacing w:before="100"/>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spacing w:before="60"/>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spacing w:before="60"/>
        <w:rPr>
          <w:snapToGrid w:val="0"/>
        </w:rPr>
      </w:pPr>
      <w:r>
        <w:rPr>
          <w:snapToGrid w:val="0"/>
        </w:rPr>
        <w:tab/>
        <w:t>(v)</w:t>
      </w:r>
      <w:r>
        <w:rPr>
          <w:snapToGrid w:val="0"/>
        </w:rPr>
        <w:tab/>
        <w:t>setting out the analysis result obtained from the analysis; and</w:t>
      </w:r>
    </w:p>
    <w:p>
      <w:pPr>
        <w:pStyle w:val="Indenti"/>
        <w:spacing w:before="6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spacing w:before="60"/>
        <w:rPr>
          <w:snapToGrid w:val="0"/>
        </w:rPr>
      </w:pPr>
      <w:r>
        <w:rPr>
          <w:snapToGrid w:val="0"/>
        </w:rPr>
        <w:tab/>
        <w:t>(vii)</w:t>
      </w:r>
      <w:r>
        <w:rPr>
          <w:snapToGrid w:val="0"/>
        </w:rPr>
        <w:tab/>
        <w:t>certifying that he was at the material time an authorised person;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spacing w:before="120"/>
      </w:pPr>
      <w:r>
        <w:tab/>
        <w:t>(7)</w:t>
      </w:r>
      <w:r>
        <w:tab/>
        <w:t>In this section —</w:t>
      </w:r>
    </w:p>
    <w:p>
      <w:pPr>
        <w:pStyle w:val="Defstart"/>
        <w:spacing w:before="60"/>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spacing w:before="60"/>
      </w:pPr>
      <w:r>
        <w:tab/>
      </w:r>
      <w:r>
        <w:rPr>
          <w:rStyle w:val="CharDefText"/>
        </w:rPr>
        <w:t>technologist</w:t>
      </w:r>
      <w:r>
        <w:t xml:space="preserve"> means —</w:t>
      </w:r>
    </w:p>
    <w:p>
      <w:pPr>
        <w:pStyle w:val="Defpara"/>
        <w:spacing w:before="60"/>
      </w:pPr>
      <w:r>
        <w:tab/>
        <w:t>(a)</w:t>
      </w:r>
      <w:r>
        <w:tab/>
        <w:t xml:space="preserve">a person registered as an analyst under section 203 of the </w:t>
      </w:r>
      <w:r>
        <w:rPr>
          <w:i/>
        </w:rPr>
        <w:t>Health Act 1911</w:t>
      </w:r>
      <w:r>
        <w:t>; or</w:t>
      </w:r>
    </w:p>
    <w:p>
      <w:pPr>
        <w:pStyle w:val="Defpara"/>
        <w:spacing w:before="60"/>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spacing w:before="180"/>
        <w:rPr>
          <w:snapToGrid w:val="0"/>
        </w:rPr>
      </w:pPr>
      <w:bookmarkStart w:id="730" w:name="_Toc276038750"/>
      <w:bookmarkStart w:id="731" w:name="_Toc210119996"/>
      <w:r>
        <w:rPr>
          <w:rStyle w:val="CharSectno"/>
        </w:rPr>
        <w:t>71</w:t>
      </w:r>
      <w:r>
        <w:rPr>
          <w:snapToGrid w:val="0"/>
        </w:rPr>
        <w:t>.</w:t>
      </w:r>
      <w:r>
        <w:rPr>
          <w:snapToGrid w:val="0"/>
        </w:rPr>
        <w:tab/>
        <w:t>Determination of blood alcohol content at material time</w:t>
      </w:r>
      <w:bookmarkEnd w:id="730"/>
      <w:bookmarkEnd w:id="731"/>
    </w:p>
    <w:p>
      <w:pPr>
        <w:pStyle w:val="Subsection"/>
        <w:spacing w:before="120"/>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spacing w:before="60"/>
      </w:pPr>
      <w:r>
        <w:tab/>
        <w:t>(a)</w:t>
      </w:r>
      <w:r>
        <w:tab/>
        <w:t>the time of the person’s last drink containing alcohol taken at or before the material time; and</w:t>
      </w:r>
    </w:p>
    <w:p>
      <w:pPr>
        <w:pStyle w:val="Indenta"/>
        <w:spacing w:before="60"/>
      </w:pPr>
      <w:r>
        <w:tab/>
        <w:t>(b)</w:t>
      </w:r>
      <w:r>
        <w:tab/>
        <w:t>the material time; and</w:t>
      </w:r>
    </w:p>
    <w:p>
      <w:pPr>
        <w:pStyle w:val="Indenta"/>
        <w:spacing w:before="60"/>
      </w:pPr>
      <w:r>
        <w:tab/>
        <w:t>(c)</w:t>
      </w:r>
      <w:r>
        <w:tab/>
        <w:t xml:space="preserve">the time at which the sample of the person’s breath or blood was provided or taken for analysis (the </w:t>
      </w:r>
      <w:r>
        <w:rPr>
          <w:rStyle w:val="CharDefText"/>
        </w:rPr>
        <w:t>time of sampling</w:t>
      </w:r>
      <w:r>
        <w:t>); and</w:t>
      </w:r>
    </w:p>
    <w:p>
      <w:pPr>
        <w:pStyle w:val="Indenta"/>
        <w:spacing w:before="60"/>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732" w:name="_Toc276038751"/>
      <w:bookmarkStart w:id="733" w:name="_Toc210119997"/>
      <w:r>
        <w:rPr>
          <w:rStyle w:val="CharSectno"/>
        </w:rPr>
        <w:t>71A</w:t>
      </w:r>
      <w:r>
        <w:t>.</w:t>
      </w:r>
      <w:r>
        <w:tab/>
        <w:t>Samples not to be used to obtain DNA</w:t>
      </w:r>
      <w:bookmarkEnd w:id="732"/>
      <w:bookmarkEnd w:id="733"/>
    </w:p>
    <w:p>
      <w:pPr>
        <w:pStyle w:val="Subsection"/>
        <w:outlineLvl w:val="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w:t>
      </w:r>
      <w:del w:id="734" w:author="svcMRProcess" w:date="2018-09-08T08:22:00Z">
        <w:r>
          <w:delText xml:space="preserve"> </w:delText>
        </w:r>
      </w:del>
      <w:ins w:id="735" w:author="svcMRProcess" w:date="2018-09-08T08:22:00Z">
        <w:r>
          <w:t> </w:t>
        </w:r>
      </w:ins>
      <w:r>
        <w:t>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spacing w:before="180"/>
      </w:pPr>
      <w:bookmarkStart w:id="736" w:name="_Toc276038752"/>
      <w:bookmarkStart w:id="737" w:name="_Toc210119998"/>
      <w:r>
        <w:rPr>
          <w:rStyle w:val="CharSectno"/>
        </w:rPr>
        <w:t>71B</w:t>
      </w:r>
      <w:r>
        <w:t>.</w:t>
      </w:r>
      <w:r>
        <w:tab/>
        <w:t>Power to prevent use of vehicle by suspected offender</w:t>
      </w:r>
      <w:bookmarkEnd w:id="736"/>
      <w:bookmarkEnd w:id="737"/>
    </w:p>
    <w:p>
      <w:pPr>
        <w:pStyle w:val="Subsection"/>
        <w:spacing w:before="120"/>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spacing w:before="60"/>
        <w:rPr>
          <w:rFonts w:eastAsia="Arial Unicode MS"/>
        </w:rPr>
      </w:pPr>
      <w:r>
        <w:rPr>
          <w:rFonts w:eastAsia="Arial Unicode MS"/>
        </w:rPr>
        <w:tab/>
        <w:t>(a)</w:t>
      </w:r>
      <w:r>
        <w:rPr>
          <w:rFonts w:eastAsia="Arial Unicode MS"/>
        </w:rPr>
        <w:tab/>
        <w:t>to the member of the Police Force; or</w:t>
      </w:r>
    </w:p>
    <w:p>
      <w:pPr>
        <w:pStyle w:val="Indenta"/>
        <w:spacing w:before="60"/>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spacing w:before="60"/>
        <w:rPr>
          <w:rFonts w:eastAsia="Arial Unicode MS"/>
        </w:rPr>
      </w:pPr>
      <w:r>
        <w:rPr>
          <w:rFonts w:eastAsia="Arial Unicode MS"/>
        </w:rPr>
        <w:tab/>
        <w:t>(i)</w:t>
      </w:r>
      <w:r>
        <w:rPr>
          <w:rFonts w:eastAsia="Arial Unicode MS"/>
        </w:rPr>
        <w:tab/>
        <w:t>is authorised to drive the vehicle on a road; and</w:t>
      </w:r>
    </w:p>
    <w:p>
      <w:pPr>
        <w:pStyle w:val="Indenti"/>
        <w:spacing w:before="60"/>
        <w:rPr>
          <w:rFonts w:eastAsia="Arial Unicode MS"/>
        </w:rPr>
      </w:pPr>
      <w:r>
        <w:rPr>
          <w:rFonts w:eastAsia="Arial Unicode MS"/>
        </w:rPr>
        <w:tab/>
        <w:t>(ii)</w:t>
      </w:r>
      <w:r>
        <w:rPr>
          <w:rFonts w:eastAsia="Arial Unicode MS"/>
        </w:rPr>
        <w:tab/>
        <w:t>is responsible and is able to drive the vehicle properly.</w:t>
      </w:r>
    </w:p>
    <w:p>
      <w:pPr>
        <w:pStyle w:val="Subsection"/>
        <w:spacing w:before="120"/>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spacing w:before="120"/>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Subsection"/>
        <w:spacing w:before="120"/>
      </w:pPr>
      <w:r>
        <w:tab/>
        <w:t>(4)</w:t>
      </w:r>
      <w:r>
        <w:tab/>
        <w:t>Those steps may include moving the vehicle to a more suitable place.</w:t>
      </w:r>
    </w:p>
    <w:p>
      <w:pPr>
        <w:pStyle w:val="Subsection"/>
        <w:spacing w:before="120"/>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spacing w:before="60"/>
      </w:pPr>
      <w:r>
        <w:tab/>
        <w:t>(c)</w:t>
      </w:r>
      <w:r>
        <w:tab/>
        <w:t>is responsible and able to drive the vehicle properly.</w:t>
      </w:r>
    </w:p>
    <w:p>
      <w:pPr>
        <w:pStyle w:val="Subsection"/>
        <w:spacing w:before="120"/>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spacing w:before="12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spacing w:before="120"/>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spacing w:before="120"/>
      </w:pPr>
      <w:r>
        <w:tab/>
      </w:r>
      <w:r>
        <w:tab/>
        <w:t>commits an offence.</w:t>
      </w:r>
    </w:p>
    <w:p>
      <w:pPr>
        <w:pStyle w:val="Penstart"/>
        <w:spacing w:before="60"/>
      </w:pPr>
      <w:r>
        <w:tab/>
        <w:t>Penalty: 8 PU.</w:t>
      </w:r>
    </w:p>
    <w:p>
      <w:pPr>
        <w:pStyle w:val="Footnotesection"/>
      </w:pPr>
      <w:r>
        <w:tab/>
        <w:t>[Section 71B inserted by No. 6 of 2007 s. 16; amended by No. 39 of 2007 s. </w:t>
      </w:r>
      <w:del w:id="738" w:author="svcMRProcess" w:date="2018-09-08T08:22:00Z">
        <w:r>
          <w:delText>38.]</w:delText>
        </w:r>
      </w:del>
      <w:ins w:id="739" w:author="svcMRProcess" w:date="2018-09-08T08:22:00Z">
        <w:r>
          <w:t>38 (Correction to reprint in Gazette 19 Oct 2010 p. 5202).]</w:t>
        </w:r>
      </w:ins>
    </w:p>
    <w:p>
      <w:pPr>
        <w:pStyle w:val="Heading5"/>
        <w:spacing w:before="180"/>
        <w:rPr>
          <w:snapToGrid w:val="0"/>
        </w:rPr>
      </w:pPr>
      <w:bookmarkStart w:id="740" w:name="_Toc276038753"/>
      <w:bookmarkStart w:id="741" w:name="_Toc210119999"/>
      <w:r>
        <w:rPr>
          <w:rStyle w:val="CharSectno"/>
        </w:rPr>
        <w:t>72</w:t>
      </w:r>
      <w:r>
        <w:rPr>
          <w:snapToGrid w:val="0"/>
        </w:rPr>
        <w:t>.</w:t>
      </w:r>
      <w:r>
        <w:rPr>
          <w:snapToGrid w:val="0"/>
        </w:rPr>
        <w:tab/>
        <w:t>Regulations</w:t>
      </w:r>
      <w:del w:id="742" w:author="svcMRProcess" w:date="2018-09-08T08:22:00Z">
        <w:r>
          <w:rPr>
            <w:snapToGrid w:val="0"/>
          </w:rPr>
          <w:delText>,</w:delText>
        </w:r>
      </w:del>
      <w:r>
        <w:rPr>
          <w:snapToGrid w:val="0"/>
        </w:rPr>
        <w:t xml:space="preserve"> etc.</w:t>
      </w:r>
      <w:bookmarkEnd w:id="740"/>
      <w:bookmarkEnd w:id="741"/>
    </w:p>
    <w:p>
      <w:pPr>
        <w:pStyle w:val="Subsection"/>
        <w:spacing w:before="12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del w:id="743" w:author="svcMRProcess" w:date="2018-09-08T08:22:00Z">
        <w:r>
          <w:rPr>
            <w:snapToGrid w:val="0"/>
          </w:rPr>
          <w:delText xml:space="preserve">of </w:delText>
        </w:r>
      </w:del>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60"/>
      </w:pPr>
      <w:r>
        <w:tab/>
        <w:t>(a)</w:t>
      </w:r>
      <w:r>
        <w:tab/>
        <w:t>types of apparatus for the purpose of ascertaining a person’s blood alcohol content by analysis of a sample of the person’s breath; and</w:t>
      </w:r>
    </w:p>
    <w:p>
      <w:pPr>
        <w:pStyle w:val="Indenta"/>
        <w:spacing w:before="60"/>
        <w:rPr>
          <w:snapToGrid w:val="0"/>
        </w:rPr>
      </w:pPr>
      <w:r>
        <w:rPr>
          <w:snapToGrid w:val="0"/>
        </w:rPr>
        <w:tab/>
        <w:t>(b)</w:t>
      </w:r>
      <w:r>
        <w:rPr>
          <w:snapToGrid w:val="0"/>
        </w:rPr>
        <w:tab/>
        <w:t>types of apparatus for the purpose of conducting preliminary tests for the purposes of section 66; and</w:t>
      </w:r>
    </w:p>
    <w:p>
      <w:pPr>
        <w:pStyle w:val="Indenta"/>
        <w:spacing w:before="60"/>
      </w:pPr>
      <w:r>
        <w:tab/>
        <w:t>(c)</w:t>
      </w:r>
      <w:r>
        <w:tab/>
        <w:t>types of devices for the purpose of conducting drug testing of a sample of a person’s oral fluid for the purposes of section 66D; and</w:t>
      </w:r>
    </w:p>
    <w:p>
      <w:pPr>
        <w:pStyle w:val="Indenta"/>
        <w:spacing w:before="60"/>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spacing w:before="60"/>
        <w:rPr>
          <w:snapToGrid w:val="0"/>
        </w:rPr>
      </w:pPr>
      <w:r>
        <w:rPr>
          <w:snapToGrid w:val="0"/>
        </w:rPr>
        <w:tab/>
        <w:t>(b)</w:t>
      </w:r>
      <w:r>
        <w:rPr>
          <w:snapToGrid w:val="0"/>
        </w:rPr>
        <w:tab/>
        <w:t>certify a person as being competent to operate all types of breath analysing equipment,</w:t>
      </w:r>
    </w:p>
    <w:p>
      <w:pPr>
        <w:pStyle w:val="Subsection"/>
        <w:spacing w:before="100"/>
        <w:rPr>
          <w:snapToGrid w:val="0"/>
        </w:rPr>
      </w:pPr>
      <w:r>
        <w:rPr>
          <w:snapToGrid w:val="0"/>
        </w:rPr>
        <w:tab/>
      </w:r>
      <w:r>
        <w:rPr>
          <w:snapToGrid w:val="0"/>
        </w:rPr>
        <w:tab/>
        <w:t>and may rescind any certificate given under this subsection.</w:t>
      </w:r>
    </w:p>
    <w:p>
      <w:pPr>
        <w:pStyle w:val="Subsection"/>
        <w:spacing w:before="120"/>
      </w:pPr>
      <w:r>
        <w:tab/>
        <w:t>(4)</w:t>
      </w:r>
      <w:r>
        <w:tab/>
        <w:t>The Commissioner of Police may, from time to time, authorise a person to collect, and conduct drug testing of, samples of oral fluid for the purposes of section 66D.</w:t>
      </w:r>
    </w:p>
    <w:p>
      <w:pPr>
        <w:pStyle w:val="Subsection"/>
        <w:spacing w:before="120"/>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spacing w:before="180"/>
      </w:pPr>
      <w:bookmarkStart w:id="744" w:name="_Toc276038754"/>
      <w:bookmarkStart w:id="745" w:name="_Toc210120000"/>
      <w:r>
        <w:rPr>
          <w:rStyle w:val="CharSectno"/>
        </w:rPr>
        <w:t>72A</w:t>
      </w:r>
      <w:r>
        <w:t>.</w:t>
      </w:r>
      <w:r>
        <w:tab/>
        <w:t>Review of amendments relating to drugs</w:t>
      </w:r>
      <w:bookmarkEnd w:id="744"/>
      <w:bookmarkEnd w:id="745"/>
    </w:p>
    <w:p>
      <w:pPr>
        <w:pStyle w:val="Subsection"/>
        <w:spacing w:before="120"/>
      </w:pPr>
      <w:r>
        <w:tab/>
        <w:t>(1)</w:t>
      </w:r>
      <w:r>
        <w:tab/>
        <w:t xml:space="preserve">In this section — </w:t>
      </w:r>
    </w:p>
    <w:p>
      <w:pPr>
        <w:pStyle w:val="Defstart"/>
        <w:spacing w:before="60"/>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spacing w:before="60"/>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ins w:id="746" w:author="svcMRProcess" w:date="2018-09-08T08:22:00Z">
        <w:r>
          <w:rPr>
            <w:vertAlign w:val="superscript"/>
          </w:rPr>
          <w:t> 1</w:t>
        </w:r>
      </w:ins>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spacing w:before="60"/>
      </w:pPr>
      <w:r>
        <w:tab/>
        <w:t>(a)</w:t>
      </w:r>
      <w:r>
        <w:tab/>
        <w:t>the attainment of the objects of the amended provisions; and</w:t>
      </w:r>
    </w:p>
    <w:p>
      <w:pPr>
        <w:pStyle w:val="Indenta"/>
        <w:spacing w:before="60"/>
      </w:pPr>
      <w:r>
        <w:tab/>
        <w:t>(b)</w:t>
      </w:r>
      <w:r>
        <w:tab/>
        <w:t>the need for the amended provisions to continue in operation; and</w:t>
      </w:r>
    </w:p>
    <w:p>
      <w:pPr>
        <w:pStyle w:val="Indenta"/>
        <w:spacing w:before="60"/>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20"/>
      </w:pPr>
      <w:r>
        <w:tab/>
        <w:t>(5)</w:t>
      </w:r>
      <w:r>
        <w:tab/>
        <w:t>If a House of Parliament is not sitting, the Minister may transmit a copy of the report to the Clerk of that House.</w:t>
      </w:r>
    </w:p>
    <w:p>
      <w:pPr>
        <w:pStyle w:val="Subsection"/>
        <w:spacing w:before="120"/>
      </w:pPr>
      <w:r>
        <w:tab/>
        <w:t>(6)</w:t>
      </w:r>
      <w:r>
        <w:tab/>
        <w:t>A copy of the report transmitted to the Clerk of a House is to be regarded as having been laid before the House.</w:t>
      </w:r>
    </w:p>
    <w:p>
      <w:pPr>
        <w:pStyle w:val="Subsection"/>
        <w:spacing w:before="12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2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747" w:name="_Toc201457580"/>
      <w:bookmarkStart w:id="748" w:name="_Toc202335425"/>
      <w:bookmarkStart w:id="749" w:name="_Toc202770249"/>
      <w:bookmarkStart w:id="750" w:name="_Toc203541460"/>
      <w:bookmarkStart w:id="751" w:name="_Toc204067534"/>
      <w:bookmarkStart w:id="752" w:name="_Toc204072656"/>
      <w:bookmarkStart w:id="753" w:name="_Toc205284958"/>
      <w:bookmarkStart w:id="754" w:name="_Toc207510179"/>
      <w:bookmarkStart w:id="755" w:name="_Toc207675586"/>
      <w:bookmarkStart w:id="756" w:name="_Toc207685136"/>
      <w:bookmarkStart w:id="757" w:name="_Toc208978990"/>
      <w:bookmarkStart w:id="758" w:name="_Toc208979304"/>
      <w:bookmarkStart w:id="759" w:name="_Toc209246480"/>
      <w:bookmarkStart w:id="760" w:name="_Toc211654500"/>
      <w:bookmarkStart w:id="761" w:name="_Toc276038755"/>
      <w:bookmarkStart w:id="762" w:name="_Toc210120001"/>
      <w:r>
        <w:rPr>
          <w:rStyle w:val="CharDivNo"/>
        </w:rPr>
        <w:t>Division 3</w:t>
      </w:r>
      <w:r>
        <w:t> — </w:t>
      </w:r>
      <w:r>
        <w:rPr>
          <w:rStyle w:val="CharDivText"/>
        </w:rPr>
        <w:t>General matters as to driving offences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Footnoteheading"/>
      </w:pPr>
      <w:r>
        <w:tab/>
        <w:t>[Heading inserted by No. 10 of 2004 s. 10.]</w:t>
      </w:r>
    </w:p>
    <w:p>
      <w:pPr>
        <w:pStyle w:val="Heading5"/>
        <w:spacing w:before="180"/>
        <w:rPr>
          <w:snapToGrid w:val="0"/>
        </w:rPr>
      </w:pPr>
      <w:bookmarkStart w:id="763" w:name="_Toc276038756"/>
      <w:bookmarkStart w:id="764" w:name="_Toc210120002"/>
      <w:r>
        <w:rPr>
          <w:rStyle w:val="CharSectno"/>
        </w:rPr>
        <w:t>73</w:t>
      </w:r>
      <w:r>
        <w:rPr>
          <w:snapToGrid w:val="0"/>
        </w:rPr>
        <w:t>.</w:t>
      </w:r>
      <w:r>
        <w:rPr>
          <w:snapToGrid w:val="0"/>
        </w:rPr>
        <w:tab/>
        <w:t>Certain offences extend to driving or attempting to drive in public places</w:t>
      </w:r>
      <w:bookmarkEnd w:id="763"/>
      <w:bookmarkEnd w:id="764"/>
    </w:p>
    <w:p>
      <w:pPr>
        <w:pStyle w:val="Subsection"/>
        <w:spacing w:before="120"/>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765" w:name="_Toc276038757"/>
      <w:bookmarkStart w:id="766" w:name="_Toc210120003"/>
      <w:r>
        <w:rPr>
          <w:rStyle w:val="CharSectno"/>
        </w:rPr>
        <w:t>74</w:t>
      </w:r>
      <w:r>
        <w:t>.</w:t>
      </w:r>
      <w:r>
        <w:tab/>
        <w:t>Representation in proceedings under Part V</w:t>
      </w:r>
      <w:bookmarkEnd w:id="765"/>
      <w:bookmarkEnd w:id="766"/>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767" w:name="_Toc276038758"/>
      <w:bookmarkStart w:id="768" w:name="_Toc210120004"/>
      <w:r>
        <w:rPr>
          <w:rStyle w:val="CharSectno"/>
        </w:rPr>
        <w:t>75</w:t>
      </w:r>
      <w:r>
        <w:rPr>
          <w:snapToGrid w:val="0"/>
        </w:rPr>
        <w:t>.</w:t>
      </w:r>
      <w:r>
        <w:rPr>
          <w:snapToGrid w:val="0"/>
        </w:rPr>
        <w:tab/>
        <w:t>Notification and effect of disqualification</w:t>
      </w:r>
      <w:bookmarkEnd w:id="767"/>
      <w:bookmarkEnd w:id="768"/>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rStyle w:val="CharDefText"/>
        </w:rPr>
        <w:t>the 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rStyle w:val="CharDefText"/>
        </w:rPr>
        <w:t>the present offence</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rStyle w:val="CharDefText"/>
        </w:rPr>
        <w:t>the 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769" w:name="_Toc276038759"/>
      <w:bookmarkStart w:id="770" w:name="_Toc210120005"/>
      <w:r>
        <w:rPr>
          <w:rStyle w:val="CharSectno"/>
        </w:rPr>
        <w:t>76</w:t>
      </w:r>
      <w:r>
        <w:rPr>
          <w:snapToGrid w:val="0"/>
        </w:rPr>
        <w:t>.</w:t>
      </w:r>
      <w:r>
        <w:rPr>
          <w:snapToGrid w:val="0"/>
        </w:rPr>
        <w:tab/>
        <w:t>Extraordinary licences</w:t>
      </w:r>
      <w:bookmarkEnd w:id="769"/>
      <w:bookmarkEnd w:id="770"/>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pPr>
      <w:r>
        <w:tab/>
        <w:t>(iii)</w:t>
      </w:r>
      <w:r>
        <w:tab/>
        <w:t>is no longer capable of driving as authorised by the licence;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771" w:name="_Toc276038760"/>
      <w:bookmarkStart w:id="772" w:name="_Toc210120006"/>
      <w:r>
        <w:rPr>
          <w:rStyle w:val="CharSectno"/>
        </w:rPr>
        <w:t>77</w:t>
      </w:r>
      <w:r>
        <w:rPr>
          <w:snapToGrid w:val="0"/>
        </w:rPr>
        <w:t>.</w:t>
      </w:r>
      <w:r>
        <w:rPr>
          <w:snapToGrid w:val="0"/>
        </w:rPr>
        <w:tab/>
        <w:t>Penalty for contravening conditions of extraordinary licence</w:t>
      </w:r>
      <w:bookmarkEnd w:id="771"/>
      <w:bookmarkEnd w:id="772"/>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773" w:name="_Toc276038761"/>
      <w:bookmarkStart w:id="774" w:name="_Toc210120007"/>
      <w:r>
        <w:rPr>
          <w:rStyle w:val="CharSectno"/>
        </w:rPr>
        <w:t>78</w:t>
      </w:r>
      <w:r>
        <w:rPr>
          <w:snapToGrid w:val="0"/>
        </w:rPr>
        <w:t>.</w:t>
      </w:r>
      <w:r>
        <w:rPr>
          <w:snapToGrid w:val="0"/>
        </w:rPr>
        <w:tab/>
        <w:t>Removal of disqualification</w:t>
      </w:r>
      <w:bookmarkEnd w:id="773"/>
      <w:bookmarkEnd w:id="774"/>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spacing w:before="200"/>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spacing w:before="200"/>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w:t>
      </w:r>
    </w:p>
    <w:p>
      <w:pPr>
        <w:pStyle w:val="Indenta"/>
        <w:spacing w:before="100"/>
        <w:rPr>
          <w:snapToGrid w:val="0"/>
        </w:rPr>
      </w:pPr>
      <w:r>
        <w:rPr>
          <w:snapToGrid w:val="0"/>
        </w:rPr>
        <w:tab/>
        <w:t>(b)</w:t>
      </w:r>
      <w:r>
        <w:rPr>
          <w:snapToGrid w:val="0"/>
        </w:rPr>
        <w:tab/>
        <w:t>the character of the applicant;</w:t>
      </w:r>
    </w:p>
    <w:p>
      <w:pPr>
        <w:pStyle w:val="Indenta"/>
        <w:spacing w:before="100"/>
        <w:rPr>
          <w:snapToGrid w:val="0"/>
        </w:rPr>
      </w:pPr>
      <w:r>
        <w:rPr>
          <w:snapToGrid w:val="0"/>
        </w:rPr>
        <w:tab/>
        <w:t>(c)</w:t>
      </w:r>
      <w:r>
        <w:rPr>
          <w:snapToGrid w:val="0"/>
        </w:rPr>
        <w:tab/>
        <w:t>the circumstances of the case;</w:t>
      </w:r>
    </w:p>
    <w:p>
      <w:pPr>
        <w:pStyle w:val="Indenta"/>
        <w:spacing w:before="100"/>
        <w:rPr>
          <w:snapToGrid w:val="0"/>
        </w:rPr>
      </w:pPr>
      <w:r>
        <w:rPr>
          <w:snapToGrid w:val="0"/>
        </w:rPr>
        <w:tab/>
        <w:t>(d)</w:t>
      </w:r>
      <w:r>
        <w:rPr>
          <w:snapToGrid w:val="0"/>
        </w:rPr>
        <w:tab/>
        <w:t>the nature of the offence or offences giving rise to the disqualification; and</w:t>
      </w:r>
    </w:p>
    <w:p>
      <w:pPr>
        <w:pStyle w:val="Indenta"/>
        <w:spacing w:before="100"/>
        <w:rPr>
          <w:snapToGrid w:val="0"/>
        </w:rPr>
      </w:pPr>
      <w:r>
        <w:rPr>
          <w:snapToGrid w:val="0"/>
        </w:rPr>
        <w:tab/>
        <w:t>(e)</w:t>
      </w:r>
      <w:r>
        <w:rPr>
          <w:snapToGrid w:val="0"/>
        </w:rPr>
        <w:tab/>
        <w:t>the conduct of the applicant subsequent to the disqualification,</w:t>
      </w:r>
    </w:p>
    <w:p>
      <w:pPr>
        <w:pStyle w:val="Subsection"/>
        <w:spacing w:before="200"/>
        <w:rPr>
          <w:snapToGrid w:val="0"/>
        </w:rPr>
      </w:pPr>
      <w:r>
        <w:rPr>
          <w:snapToGrid w:val="0"/>
        </w:rPr>
        <w:tab/>
      </w:r>
      <w:r>
        <w:rPr>
          <w:snapToGrid w:val="0"/>
        </w:rPr>
        <w:tab/>
        <w:t>either make an order removing the disqualification as from such date as may be specified in the order or refuse the application.</w:t>
      </w:r>
    </w:p>
    <w:p>
      <w:pPr>
        <w:pStyle w:val="Subsection"/>
        <w:spacing w:before="200"/>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spacing w:before="200"/>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spacing w:before="200"/>
        <w:rPr>
          <w:snapToGrid w:val="0"/>
        </w:rPr>
      </w:pPr>
      <w:r>
        <w:rPr>
          <w:snapToGrid w:val="0"/>
        </w:rPr>
        <w:tab/>
        <w:t>(8)</w:t>
      </w:r>
      <w:r>
        <w:rPr>
          <w:snapToGrid w:val="0"/>
        </w:rPr>
        <w:tab/>
        <w:t>An application under this section shall be made in accordance with the rules of the court to which it is made.</w:t>
      </w:r>
    </w:p>
    <w:p>
      <w:pPr>
        <w:pStyle w:val="Subsection"/>
        <w:spacing w:before="200"/>
        <w:rPr>
          <w:snapToGrid w:val="0"/>
        </w:rPr>
      </w:pPr>
      <w:r>
        <w:rPr>
          <w:snapToGrid w:val="0"/>
        </w:rPr>
        <w:tab/>
        <w:t>(9)</w:t>
      </w:r>
      <w:r>
        <w:rPr>
          <w:snapToGrid w:val="0"/>
        </w:rPr>
        <w:tab/>
        <w:t>The court may order the applicant to pay the whole or any part of the costs of an application under this section.</w:t>
      </w:r>
    </w:p>
    <w:p>
      <w:pPr>
        <w:pStyle w:val="Subsection"/>
        <w:spacing w:before="200"/>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775" w:name="_Toc201457587"/>
      <w:bookmarkStart w:id="776" w:name="_Toc202335432"/>
      <w:bookmarkStart w:id="777" w:name="_Toc202770256"/>
      <w:bookmarkStart w:id="778" w:name="_Toc203541467"/>
      <w:bookmarkStart w:id="779" w:name="_Toc204067541"/>
      <w:bookmarkStart w:id="780" w:name="_Toc204072663"/>
      <w:bookmarkStart w:id="781" w:name="_Toc205284965"/>
      <w:bookmarkStart w:id="782" w:name="_Toc207510186"/>
      <w:bookmarkStart w:id="783" w:name="_Toc207675593"/>
      <w:bookmarkStart w:id="784" w:name="_Toc207685143"/>
      <w:bookmarkStart w:id="785" w:name="_Toc208978997"/>
      <w:bookmarkStart w:id="786" w:name="_Toc208979311"/>
      <w:bookmarkStart w:id="787" w:name="_Toc209246487"/>
      <w:bookmarkStart w:id="788" w:name="_Toc211654507"/>
      <w:bookmarkStart w:id="789" w:name="_Toc276038762"/>
      <w:bookmarkStart w:id="790" w:name="_Toc210120008"/>
      <w:r>
        <w:rPr>
          <w:rStyle w:val="CharDivNo"/>
        </w:rPr>
        <w:t>Division 4</w:t>
      </w:r>
      <w:r>
        <w:t> — </w:t>
      </w:r>
      <w:r>
        <w:rPr>
          <w:rStyle w:val="CharDivText"/>
        </w:rPr>
        <w:t>Impounding and confiscation of vehicles for certain offences</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Footnoteheading"/>
      </w:pPr>
      <w:r>
        <w:tab/>
        <w:t>[Heading inserted by No. 10 of 2004 s. 13; amended by No. 4 of 2007 s. 12.]</w:t>
      </w:r>
    </w:p>
    <w:p>
      <w:pPr>
        <w:pStyle w:val="Heading4"/>
      </w:pPr>
      <w:bookmarkStart w:id="791" w:name="_Toc201457588"/>
      <w:bookmarkStart w:id="792" w:name="_Toc202335433"/>
      <w:bookmarkStart w:id="793" w:name="_Toc202770257"/>
      <w:bookmarkStart w:id="794" w:name="_Toc203541468"/>
      <w:bookmarkStart w:id="795" w:name="_Toc204067542"/>
      <w:bookmarkStart w:id="796" w:name="_Toc204072664"/>
      <w:bookmarkStart w:id="797" w:name="_Toc205284966"/>
      <w:bookmarkStart w:id="798" w:name="_Toc207510187"/>
      <w:bookmarkStart w:id="799" w:name="_Toc207675594"/>
      <w:bookmarkStart w:id="800" w:name="_Toc207685144"/>
      <w:bookmarkStart w:id="801" w:name="_Toc208978998"/>
      <w:bookmarkStart w:id="802" w:name="_Toc208979312"/>
      <w:bookmarkStart w:id="803" w:name="_Toc209246488"/>
      <w:bookmarkStart w:id="804" w:name="_Toc211654508"/>
      <w:bookmarkStart w:id="805" w:name="_Toc276038763"/>
      <w:bookmarkStart w:id="806" w:name="_Toc210120009"/>
      <w:r>
        <w:t>Subdivision 1 — Preliminary</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Footnoteheading"/>
      </w:pPr>
      <w:r>
        <w:tab/>
        <w:t>[Heading inserted by No. 10 of 2004 s. 13.]</w:t>
      </w:r>
    </w:p>
    <w:p>
      <w:pPr>
        <w:pStyle w:val="Heading5"/>
      </w:pPr>
      <w:bookmarkStart w:id="807" w:name="_Toc276038764"/>
      <w:bookmarkStart w:id="808" w:name="_Toc210120010"/>
      <w:r>
        <w:rPr>
          <w:rStyle w:val="CharSectno"/>
        </w:rPr>
        <w:t>78A</w:t>
      </w:r>
      <w:r>
        <w:t>.</w:t>
      </w:r>
      <w:r>
        <w:tab/>
      </w:r>
      <w:del w:id="809" w:author="svcMRProcess" w:date="2018-09-08T08:22:00Z">
        <w:r>
          <w:delText>Interpretation of</w:delText>
        </w:r>
      </w:del>
      <w:ins w:id="810" w:author="svcMRProcess" w:date="2018-09-08T08:22:00Z">
        <w:r>
          <w:t>Terms used in this</w:t>
        </w:r>
      </w:ins>
      <w:r>
        <w:t xml:space="preserve"> Division</w:t>
      </w:r>
      <w:bookmarkEnd w:id="807"/>
      <w:del w:id="811" w:author="svcMRProcess" w:date="2018-09-08T08:22:00Z">
        <w:r>
          <w:delText> 4</w:delText>
        </w:r>
      </w:del>
      <w:bookmarkEnd w:id="808"/>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circumstances of aggravation</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r>
      <w:r>
        <w:rPr>
          <w:rStyle w:val="CharDefText"/>
        </w:rPr>
        <w:t>Commissioner</w:t>
      </w:r>
      <w:r>
        <w:t xml:space="preserve"> means the Commissioner of Police;</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r>
      <w:r>
        <w:rPr>
          <w:rStyle w:val="CharDefText"/>
        </w:rPr>
        <w:t>impounding offence (driver’s licence)</w:t>
      </w:r>
      <w:r>
        <w:t xml:space="preserve"> means an offence against section 49(1)(a) that is committed in circumstances in which —</w:t>
      </w:r>
    </w:p>
    <w:p>
      <w:pPr>
        <w:pStyle w:val="Defpara"/>
      </w:pPr>
      <w:del w:id="812" w:author="svcMRProcess" w:date="2018-09-08T08:22:00Z">
        <w:r>
          <w:delText xml:space="preserve"> </w:delText>
        </w:r>
      </w:del>
      <w:r>
        <w:tab/>
        <w:t>(a)</w:t>
      </w:r>
      <w:r>
        <w:tab/>
        <w:t xml:space="preserve">the driver had applied for the grant or renewal of a driver’s licence and had been refused on a ground involving — </w:t>
      </w:r>
    </w:p>
    <w:p>
      <w:pPr>
        <w:pStyle w:val="Defsubpara"/>
      </w:pPr>
      <w:r>
        <w:tab/>
        <w:t>(i)</w:t>
      </w:r>
      <w:r>
        <w:tab/>
        <w:t>the driver’s addiction to alcohol or drugs; or</w:t>
      </w:r>
    </w:p>
    <w:p>
      <w:pPr>
        <w:pStyle w:val="Defsubpara"/>
      </w:pPr>
      <w:r>
        <w:tab/>
        <w:t>(ii)</w:t>
      </w:r>
      <w:r>
        <w:tab/>
        <w:t>another factor that affects, or is likely to affect, the driver’s ability to control a motor vehicle;</w:t>
      </w:r>
    </w:p>
    <w:p>
      <w:pPr>
        <w:pStyle w:val="Defpara"/>
      </w:pPr>
      <w:r>
        <w:tab/>
        <w:t>(b)</w:t>
      </w:r>
      <w:r>
        <w:tab/>
        <w:t>the driver had held a driver’s licence that had been cancelled on a ground described in paragraph (a); or</w:t>
      </w:r>
    </w:p>
    <w:p>
      <w:pPr>
        <w:pStyle w:val="Defpara"/>
      </w:pPr>
      <w:r>
        <w:tab/>
        <w:t>(c)</w:t>
      </w:r>
      <w:r>
        <w:tab/>
        <w:t>the driver held a driver’s licence the operation of which was suspended on a ground described in paragraph (a);</w:t>
      </w:r>
    </w:p>
    <w:p>
      <w:pPr>
        <w:pStyle w:val="Defstart"/>
        <w:keepNext/>
        <w:keepLines/>
        <w:spacing w:before="60"/>
      </w:pPr>
      <w:r>
        <w:rPr>
          <w:b/>
        </w:rPr>
        <w:tab/>
      </w:r>
      <w:r>
        <w:rPr>
          <w:rStyle w:val="CharDefText"/>
        </w:rPr>
        <w:t>impounding offence (driving)</w:t>
      </w:r>
      <w:r>
        <w:t xml:space="preserve"> means any of the following —</w:t>
      </w:r>
    </w:p>
    <w:p>
      <w:pPr>
        <w:pStyle w:val="Defpara"/>
        <w:spacing w:before="60"/>
      </w:pPr>
      <w:r>
        <w:tab/>
        <w:t>(a)</w:t>
      </w:r>
      <w:r>
        <w:tab/>
        <w:t>an offence against section 59, 59A, 60(1) or 61 that is committed in circumstances of aggravation;</w:t>
      </w:r>
    </w:p>
    <w:p>
      <w:pPr>
        <w:pStyle w:val="Defpara"/>
        <w:spacing w:before="60"/>
      </w:pPr>
      <w:r>
        <w:tab/>
        <w:t>(b)</w:t>
      </w:r>
      <w:r>
        <w:tab/>
        <w:t>an offence against section 60(1a) or (1b) or section 62A;</w:t>
      </w:r>
    </w:p>
    <w:p>
      <w:pPr>
        <w:pStyle w:val="Defstart"/>
        <w:spacing w:before="60"/>
      </w:pPr>
      <w:r>
        <w:rPr>
          <w:b/>
        </w:rPr>
        <w:tab/>
      </w:r>
      <w:r>
        <w:rPr>
          <w:rStyle w:val="CharDefText"/>
        </w:rPr>
        <w:t>impounding or confiscation order</w:t>
      </w:r>
      <w:r>
        <w:t xml:space="preserve"> means a court order under section 80(1), 80A(1), 80B(1), 80C(1), 80CA(1), 80CB(1) or 80FA;</w:t>
      </w:r>
    </w:p>
    <w:p>
      <w:pPr>
        <w:pStyle w:val="Defstart"/>
        <w:spacing w:before="60"/>
      </w:pPr>
      <w:r>
        <w:rPr>
          <w:b/>
        </w:rPr>
        <w:tab/>
      </w:r>
      <w:r>
        <w:rPr>
          <w:rStyle w:val="CharDefText"/>
        </w:rPr>
        <w:t>impounding order</w:t>
      </w:r>
      <w:r>
        <w:t xml:space="preserve"> means a court order under section 80(1), 80B(1), 80CA(1) or 80FA;</w:t>
      </w:r>
    </w:p>
    <w:p>
      <w:pPr>
        <w:pStyle w:val="Defstart"/>
        <w:spacing w:before="60"/>
      </w:pPr>
      <w:r>
        <w:rPr>
          <w:b/>
        </w:rPr>
        <w:tab/>
      </w:r>
      <w:r>
        <w:rPr>
          <w:rStyle w:val="CharDefText"/>
        </w:rPr>
        <w:t>impounding period</w:t>
      </w:r>
      <w:r>
        <w:t xml:space="preserve"> means the period for which the vehicle is impounded;</w:t>
      </w:r>
    </w:p>
    <w:p>
      <w:pPr>
        <w:pStyle w:val="Defstart"/>
        <w:spacing w:before="60"/>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del w:id="813" w:author="svcMRProcess" w:date="2018-09-08T08:22:00Z">
        <w:r>
          <w:rPr>
            <w:i/>
          </w:rPr>
          <w:delText>-</w:delText>
        </w:r>
      </w:del>
      <w:ins w:id="814" w:author="svcMRProcess" w:date="2018-09-08T08:22:00Z">
        <w:r>
          <w:rPr>
            <w:i/>
          </w:rPr>
          <w:noBreakHyphen/>
        </w:r>
      </w:ins>
      <w:r>
        <w:rPr>
          <w:i/>
        </w:rPr>
        <w:t>Purchase Act 1959</w:t>
      </w:r>
      <w:r>
        <w:t xml:space="preserve"> or is subject to a goods mortgage in connection with a credit contract within the meaning of the Consumer Credit Code;</w:t>
      </w:r>
    </w:p>
    <w:p>
      <w:pPr>
        <w:pStyle w:val="Defstart"/>
        <w:spacing w:before="60"/>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spacing w:before="60"/>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pPr>
      <w:r>
        <w:tab/>
        <w:t>(i)</w:t>
      </w:r>
      <w:r>
        <w:tab/>
        <w:t>the offender is driving a vehicle on the road or in the place; and</w:t>
      </w:r>
    </w:p>
    <w:p>
      <w:pPr>
        <w:pStyle w:val="Defsubpara"/>
      </w:pPr>
      <w:r>
        <w:tab/>
        <w:t>(ii)</w:t>
      </w:r>
      <w:r>
        <w:tab/>
        <w:t>a victim of the offence is using the same road or place, whether as the driver of, or a passenger in, another vehicle or otherwise;</w:t>
      </w:r>
    </w:p>
    <w:p>
      <w:pPr>
        <w:pStyle w:val="Defstart"/>
        <w:spacing w:before="60"/>
      </w:pPr>
      <w:r>
        <w:rPr>
          <w:b/>
        </w:rPr>
        <w:tab/>
      </w:r>
      <w:r>
        <w:rPr>
          <w:rStyle w:val="CharDefText"/>
        </w:rPr>
        <w:t>road rage offence</w:t>
      </w:r>
      <w:r>
        <w:t xml:space="preserve"> means an offence the commission of which is accompanied by road rage circumstances, but only if it is — </w:t>
      </w:r>
    </w:p>
    <w:p>
      <w:pPr>
        <w:pStyle w:val="Defpara"/>
        <w:spacing w:before="60"/>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spacing w:before="60"/>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keepNext/>
        <w:keepLines/>
        <w:spacing w:before="60"/>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spacing w:before="60"/>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5(b)-(f).]</w:t>
      </w:r>
    </w:p>
    <w:p>
      <w:pPr>
        <w:pStyle w:val="Heading5"/>
      </w:pPr>
      <w:bookmarkStart w:id="815" w:name="_Toc276038765"/>
      <w:bookmarkStart w:id="816" w:name="_Toc210120011"/>
      <w:r>
        <w:rPr>
          <w:rStyle w:val="CharSectno"/>
        </w:rPr>
        <w:t>78B</w:t>
      </w:r>
      <w:r>
        <w:t>.</w:t>
      </w:r>
      <w:r>
        <w:tab/>
        <w:t>Penalties etc. not affected</w:t>
      </w:r>
      <w:bookmarkEnd w:id="815"/>
      <w:bookmarkEnd w:id="816"/>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spacing w:before="120"/>
      </w:pPr>
      <w:r>
        <w:tab/>
        <w:t>(2A)</w:t>
      </w:r>
      <w:r>
        <w:tab/>
        <w:t>The impounding of a vehicle under Subdivision 2 is not relevant to the exercise by a court of its discretion under Subdivision 3 to impound or confiscate a vehicle.</w:t>
      </w:r>
    </w:p>
    <w:p>
      <w:pPr>
        <w:pStyle w:val="Subsection"/>
        <w:spacing w:before="120"/>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817" w:name="_Toc276038766"/>
      <w:bookmarkStart w:id="818" w:name="_Toc210120012"/>
      <w:r>
        <w:rPr>
          <w:rStyle w:val="CharSectno"/>
        </w:rPr>
        <w:t>78C</w:t>
      </w:r>
      <w:r>
        <w:rPr>
          <w:snapToGrid w:val="0"/>
        </w:rPr>
        <w:t>.</w:t>
      </w:r>
      <w:r>
        <w:rPr>
          <w:snapToGrid w:val="0"/>
        </w:rPr>
        <w:tab/>
        <w:t>Powers for this Division</w:t>
      </w:r>
      <w:bookmarkEnd w:id="817"/>
      <w:bookmarkEnd w:id="818"/>
    </w:p>
    <w:p>
      <w:pPr>
        <w:pStyle w:val="Subsection"/>
      </w:pPr>
      <w:r>
        <w:tab/>
        <w:t>(1)</w:t>
      </w:r>
      <w:r>
        <w:tab/>
        <w:t>A member of the Police Force and any person assisting a member of the Police Force in the exercise of a power under section 79(1)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impounding or confiscation order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79(1) or 79A; or</w:t>
      </w:r>
    </w:p>
    <w:p>
      <w:pPr>
        <w:pStyle w:val="Indenta"/>
      </w:pPr>
      <w:r>
        <w:tab/>
        <w:t>(b)</w:t>
      </w:r>
      <w:r>
        <w:tab/>
        <w:t>the subject of an impounding or confiscation order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impounding or confiscation order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keepNext/>
        <w:spacing w:before="200"/>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w:t>
      </w:r>
    </w:p>
    <w:p>
      <w:pPr>
        <w:pStyle w:val="Heading5"/>
        <w:spacing w:before="260"/>
      </w:pPr>
      <w:bookmarkStart w:id="819" w:name="_Toc276038767"/>
      <w:bookmarkStart w:id="820" w:name="_Toc210120013"/>
      <w:r>
        <w:rPr>
          <w:rStyle w:val="CharSectno"/>
        </w:rPr>
        <w:t>78D</w:t>
      </w:r>
      <w:r>
        <w:t>.</w:t>
      </w:r>
      <w:r>
        <w:tab/>
        <w:t>Contracts for conveying, storing impounded or confiscated vehicles</w:t>
      </w:r>
      <w:bookmarkEnd w:id="819"/>
      <w:bookmarkEnd w:id="820"/>
    </w:p>
    <w:p>
      <w:pPr>
        <w:pStyle w:val="Subsection"/>
        <w:spacing w:before="200"/>
      </w:pPr>
      <w:r>
        <w:tab/>
      </w:r>
      <w:r>
        <w:tab/>
        <w:t>The Commissioner may, on behalf of the State, enter into a written contract under which the contractor provides services in respect of any of the following —</w:t>
      </w:r>
    </w:p>
    <w:p>
      <w:pPr>
        <w:pStyle w:val="Indenta"/>
        <w:spacing w:before="100"/>
      </w:pPr>
      <w:r>
        <w:tab/>
        <w:t>(a)</w:t>
      </w:r>
      <w:r>
        <w:tab/>
        <w:t>the driving, towing or otherwise conveying of vehicles impounded under section 79(1) or 79A or that are the subject of impounding or confiscation orders;</w:t>
      </w:r>
    </w:p>
    <w:p>
      <w:pPr>
        <w:pStyle w:val="Indenta"/>
        <w:spacing w:before="100"/>
      </w:pPr>
      <w:r>
        <w:tab/>
        <w:t>(b)</w:t>
      </w:r>
      <w:r>
        <w:tab/>
        <w:t>the storage of such vehicles;</w:t>
      </w:r>
    </w:p>
    <w:p>
      <w:pPr>
        <w:pStyle w:val="Indenta"/>
        <w:spacing w:before="100"/>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w:t>
      </w:r>
    </w:p>
    <w:p>
      <w:pPr>
        <w:pStyle w:val="Heading5"/>
        <w:spacing w:before="260"/>
      </w:pPr>
      <w:bookmarkStart w:id="821" w:name="_Toc276038768"/>
      <w:bookmarkStart w:id="822" w:name="_Toc210120014"/>
      <w:r>
        <w:rPr>
          <w:rStyle w:val="CharSectno"/>
        </w:rPr>
        <w:t>78E</w:t>
      </w:r>
      <w:r>
        <w:t>.</w:t>
      </w:r>
      <w:r>
        <w:tab/>
        <w:t>Recovery of impounding expenses</w:t>
      </w:r>
      <w:bookmarkEnd w:id="821"/>
      <w:bookmarkEnd w:id="822"/>
    </w:p>
    <w:p>
      <w:pPr>
        <w:pStyle w:val="Subsection"/>
        <w:spacing w:before="200"/>
      </w:pPr>
      <w:r>
        <w:tab/>
      </w:r>
      <w:r>
        <w:tab/>
        <w:t>The Commissioner may recover expenses for which a person is liable under section 79E, 80H or 80K from that person in a court of competent jurisdiction as a debt due to the Commissioner.</w:t>
      </w:r>
    </w:p>
    <w:p>
      <w:pPr>
        <w:pStyle w:val="Footnotesection"/>
        <w:spacing w:before="140"/>
        <w:ind w:left="890" w:hanging="890"/>
      </w:pPr>
      <w:r>
        <w:tab/>
        <w:t>[Section 78E inserted by No. 10 of 2004 s. 13.]</w:t>
      </w:r>
    </w:p>
    <w:p>
      <w:pPr>
        <w:pStyle w:val="Heading4"/>
        <w:keepLines/>
      </w:pPr>
      <w:bookmarkStart w:id="823" w:name="_Toc201457594"/>
      <w:bookmarkStart w:id="824" w:name="_Toc202335439"/>
      <w:bookmarkStart w:id="825" w:name="_Toc202770263"/>
      <w:bookmarkStart w:id="826" w:name="_Toc203541474"/>
      <w:bookmarkStart w:id="827" w:name="_Toc204067548"/>
      <w:bookmarkStart w:id="828" w:name="_Toc204072670"/>
      <w:bookmarkStart w:id="829" w:name="_Toc205284972"/>
      <w:bookmarkStart w:id="830" w:name="_Toc207510193"/>
      <w:bookmarkStart w:id="831" w:name="_Toc207675600"/>
      <w:bookmarkStart w:id="832" w:name="_Toc207685150"/>
      <w:bookmarkStart w:id="833" w:name="_Toc208979004"/>
      <w:bookmarkStart w:id="834" w:name="_Toc208979318"/>
      <w:bookmarkStart w:id="835" w:name="_Toc209246494"/>
      <w:bookmarkStart w:id="836" w:name="_Toc211654514"/>
      <w:bookmarkStart w:id="837" w:name="_Toc276038769"/>
      <w:bookmarkStart w:id="838" w:name="_Toc210120015"/>
      <w:r>
        <w:t>Subdivision 2 — Impounding of vehicles by police</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Footnoteheading"/>
        <w:keepNext/>
        <w:keepLines/>
      </w:pPr>
      <w:r>
        <w:tab/>
        <w:t>[Heading inserted by No. 10 of 2004 s. 13.]</w:t>
      </w:r>
    </w:p>
    <w:p>
      <w:pPr>
        <w:pStyle w:val="Heading5"/>
      </w:pPr>
      <w:bookmarkStart w:id="839" w:name="_Toc276038770"/>
      <w:bookmarkStart w:id="840" w:name="_Toc210120016"/>
      <w:r>
        <w:rPr>
          <w:rStyle w:val="CharSectno"/>
        </w:rPr>
        <w:t>79</w:t>
      </w:r>
      <w:r>
        <w:t>.</w:t>
      </w:r>
      <w:r>
        <w:tab/>
        <w:t>Impounding of vehicles for racing etc.</w:t>
      </w:r>
      <w:bookmarkEnd w:id="839"/>
      <w:bookmarkEnd w:id="840"/>
    </w:p>
    <w:p>
      <w:pPr>
        <w:pStyle w:val="Subsection"/>
        <w:spacing w:before="120"/>
        <w:rPr>
          <w:snapToGrid w:val="0"/>
        </w:rPr>
      </w:pPr>
      <w:r>
        <w:rPr>
          <w:snapToGrid w:val="0"/>
        </w:rPr>
        <w:tab/>
        <w:t>(1)</w:t>
      </w:r>
      <w:r>
        <w:rPr>
          <w:snapToGrid w:val="0"/>
        </w:rPr>
        <w:tab/>
        <w:t xml:space="preserve">A </w:t>
      </w:r>
      <w:r>
        <w:t>member of the Police Force</w:t>
      </w:r>
      <w:r>
        <w:rPr>
          <w:snapToGrid w:val="0"/>
        </w:rPr>
        <w:t xml:space="preserve"> may impound a vehicle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Subsection"/>
        <w:spacing w:before="120"/>
      </w:pPr>
      <w:r>
        <w:tab/>
        <w:t>(2)</w:t>
      </w:r>
      <w:r>
        <w:tab/>
        <w:t xml:space="preserve">The period for which the vehicle is impounded ends — </w:t>
      </w:r>
    </w:p>
    <w:p>
      <w:pPr>
        <w:pStyle w:val="Indenta"/>
        <w:spacing w:before="60"/>
      </w:pPr>
      <w:r>
        <w:tab/>
        <w:t>(a)</w:t>
      </w:r>
      <w:r>
        <w:tab/>
        <w:t>unless the member of the Police Force specifies a longer period under paragraph (b) or the Commissioner extends the period under subsection (3), on the 7</w:t>
      </w:r>
      <w:r>
        <w:rPr>
          <w:vertAlign w:val="superscript"/>
        </w:rPr>
        <w:t>th</w:t>
      </w:r>
      <w:r>
        <w:t xml:space="preserve"> day after the day on which the vehicle is impounded;</w:t>
      </w:r>
    </w:p>
    <w:p>
      <w:pPr>
        <w:pStyle w:val="Indenta"/>
        <w:spacing w:before="60"/>
      </w:pPr>
      <w:r>
        <w:tab/>
        <w:t>(b)</w:t>
      </w:r>
      <w:r>
        <w:tab/>
        <w:t>if at the time of the impounding the member of the Police Force, reasonably believing that the driver of the vehicle has previously been convicted of an impounding offence (driving), specifies that because of that belief the period is to end on the 28</w:t>
      </w:r>
      <w:r>
        <w:rPr>
          <w:vertAlign w:val="superscript"/>
        </w:rPr>
        <w:t>th</w:t>
      </w:r>
      <w:r>
        <w:t xml:space="preserve"> day after the day on which the vehicle is impounded, on the day specified;</w:t>
      </w:r>
    </w:p>
    <w:p>
      <w:pPr>
        <w:pStyle w:val="Indenta"/>
        <w:spacing w:before="60"/>
      </w:pPr>
      <w:r>
        <w:tab/>
        <w:t>(c)</w:t>
      </w:r>
      <w:r>
        <w:tab/>
        <w:t>if the Commissioner extends the period under subsection (3), on the 28</w:t>
      </w:r>
      <w:r>
        <w:rPr>
          <w:vertAlign w:val="superscript"/>
        </w:rPr>
        <w:t>th</w:t>
      </w:r>
      <w:r>
        <w:t xml:space="preserve"> day after the day on which the vehicle is impounded.</w:t>
      </w:r>
    </w:p>
    <w:p>
      <w:pPr>
        <w:pStyle w:val="Subsection"/>
        <w:spacing w:before="120"/>
      </w:pPr>
      <w:r>
        <w:tab/>
        <w:t>(3)</w:t>
      </w:r>
      <w:r>
        <w:tab/>
        <w:t>If the driver of the vehicle has previously been convicted of an impounding offence (driving) but the member of the Police Force does not specify a longer period under subsection (2)(b), the Commissioner may, because of the previous conviction, extend the period to end on the 28</w:t>
      </w:r>
      <w:r>
        <w:rPr>
          <w:vertAlign w:val="superscript"/>
        </w:rPr>
        <w:t>th</w:t>
      </w:r>
      <w:r>
        <w:t xml:space="preserv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w:t>
      </w:r>
    </w:p>
    <w:p>
      <w:pPr>
        <w:pStyle w:val="Heading5"/>
      </w:pPr>
      <w:bookmarkStart w:id="841" w:name="_Toc276038771"/>
      <w:bookmarkStart w:id="842" w:name="_Toc210120017"/>
      <w:r>
        <w:rPr>
          <w:rStyle w:val="CharSectno"/>
        </w:rPr>
        <w:t>79A</w:t>
      </w:r>
      <w:r>
        <w:t>.</w:t>
      </w:r>
      <w:r>
        <w:tab/>
        <w:t>Impounding of vehicles for driving without driver’s licence etc.</w:t>
      </w:r>
      <w:bookmarkEnd w:id="841"/>
      <w:bookmarkEnd w:id="842"/>
    </w:p>
    <w:p>
      <w:pPr>
        <w:pStyle w:val="Subsection"/>
        <w:spacing w:before="120"/>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843" w:name="_Toc276038772"/>
      <w:bookmarkStart w:id="844" w:name="_Toc210120018"/>
      <w:r>
        <w:rPr>
          <w:rStyle w:val="CharSectno"/>
        </w:rPr>
        <w:t>79B</w:t>
      </w:r>
      <w:r>
        <w:t>.</w:t>
      </w:r>
      <w:r>
        <w:tab/>
        <w:t>Notice of impounding</w:t>
      </w:r>
      <w:bookmarkEnd w:id="843"/>
      <w:bookmarkEnd w:id="844"/>
    </w:p>
    <w:p>
      <w:pPr>
        <w:pStyle w:val="Subsection"/>
      </w:pPr>
      <w:r>
        <w:tab/>
        <w:t>(1)</w:t>
      </w:r>
      <w:r>
        <w:tab/>
        <w:t>The Commissioner is to ensure that, as soon as practicable after a vehicle is impounded under section 79(1) or 79A, notice of the impounding is given to each responsible person and, if the driver is not a responsible person, the driver.</w:t>
      </w:r>
    </w:p>
    <w:p>
      <w:pPr>
        <w:pStyle w:val="Subsection"/>
      </w:pPr>
      <w:r>
        <w:tab/>
        <w:t>(2)</w:t>
      </w:r>
      <w:r>
        <w:tab/>
        <w:t>The notice of the impounding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a longer impounding period was specified under section 79(2)(b), the previous conviction because of which the longer period was specified; and</w:t>
      </w:r>
    </w:p>
    <w:p>
      <w:pPr>
        <w:pStyle w:val="Indenta"/>
      </w:pPr>
      <w:r>
        <w:tab/>
        <w:t>(c)</w:t>
      </w:r>
      <w:r>
        <w:tab/>
        <w:t>how, when and to whom the vehicle can be released; and</w:t>
      </w:r>
    </w:p>
    <w:p>
      <w:pPr>
        <w:pStyle w:val="Indenta"/>
      </w:pPr>
      <w:r>
        <w:tab/>
        <w:t>(d)</w:t>
      </w:r>
      <w:r>
        <w:tab/>
        <w:t>the powers of a court under sections 80,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previous conviction because of which the impounding period is extended; and</w:t>
      </w:r>
    </w:p>
    <w:p>
      <w:pPr>
        <w:pStyle w:val="Indenta"/>
      </w:pPr>
      <w:r>
        <w:tab/>
        <w:t>(d)</w:t>
      </w:r>
      <w:r>
        <w:tab/>
        <w:t>the powers of a court under sections 80, 80A, 80B, 80C and 80FA in relation to the impounding and confiscation of vehicles.</w:t>
      </w:r>
    </w:p>
    <w:p>
      <w:pPr>
        <w:pStyle w:val="Footnotesection"/>
      </w:pPr>
      <w:r>
        <w:tab/>
        <w:t>[Section 79B inserted by No. 10 of 2004 s. 13; amended by No. 4 of 2007 s. 31(1); No. 24 of 2008 s. 9 and 23.]</w:t>
      </w:r>
    </w:p>
    <w:p>
      <w:pPr>
        <w:pStyle w:val="Heading5"/>
      </w:pPr>
      <w:bookmarkStart w:id="845" w:name="_Toc276038773"/>
      <w:bookmarkStart w:id="846" w:name="_Toc210120019"/>
      <w:r>
        <w:rPr>
          <w:rStyle w:val="CharSectno"/>
        </w:rPr>
        <w:t>79C</w:t>
      </w:r>
      <w:r>
        <w:t>.</w:t>
      </w:r>
      <w:r>
        <w:tab/>
        <w:t>Senior officer to be informed if vehicle impounded</w:t>
      </w:r>
      <w:bookmarkEnd w:id="845"/>
      <w:bookmarkEnd w:id="846"/>
    </w:p>
    <w:p>
      <w:pPr>
        <w:pStyle w:val="Subsection"/>
      </w:pPr>
      <w:r>
        <w:tab/>
        <w:t>(1)</w:t>
      </w:r>
      <w:r>
        <w:tab/>
        <w:t xml:space="preserve">A member of the Police Force, other than a senior police officer, who impounds a vehicle under section 79(1) or 79A is to inform a senior police officer, as soon as practicable after the vehicle is impounded, of — </w:t>
      </w:r>
    </w:p>
    <w:p>
      <w:pPr>
        <w:pStyle w:val="Indenta"/>
      </w:pPr>
      <w:r>
        <w:tab/>
        <w:t>(a)</w:t>
      </w:r>
      <w:r>
        <w:tab/>
        <w:t>the grounds on which the member suspects the matters mentioned in section 79(1)(a) and (b) or 79A(a) and (b), as is relevant to the case; and</w:t>
      </w:r>
    </w:p>
    <w:p>
      <w:pPr>
        <w:pStyle w:val="Indenta"/>
      </w:pPr>
      <w:r>
        <w:tab/>
        <w:t>(b)</w:t>
      </w:r>
      <w:r>
        <w:tab/>
        <w:t>if the member specifies that, because of a belief that the driver of the vehicle has previously been convicted of an impounding offence (driving), the impounding period is to end on the 28</w:t>
      </w:r>
      <w:r>
        <w:rPr>
          <w:vertAlign w:val="superscript"/>
        </w:rPr>
        <w:t>th</w:t>
      </w:r>
      <w:r>
        <w:t xml:space="preserve"> day after the day on which the vehicle is impounded, the grounds of that belief.</w:t>
      </w:r>
    </w:p>
    <w:p>
      <w:pPr>
        <w:pStyle w:val="Subsection"/>
      </w:pPr>
      <w:r>
        <w:tab/>
        <w:t>(2)</w:t>
      </w:r>
      <w:r>
        <w:tab/>
        <w:t>A senior police officer who is informed by a member of the Police Force of a vehicle impoundment pursuant to subsection</w:t>
      </w:r>
      <w:del w:id="847" w:author="svcMRProcess" w:date="2018-09-08T08:22:00Z">
        <w:r>
          <w:delText xml:space="preserve"> </w:delText>
        </w:r>
      </w:del>
      <w:ins w:id="848" w:author="svcMRProcess" w:date="2018-09-08T08:22:00Z">
        <w:r>
          <w:t> </w:t>
        </w:r>
      </w:ins>
      <w:r>
        <w:t xml:space="preserve">(1) is to make enquiries so as to satisfy him or herself — </w:t>
      </w:r>
    </w:p>
    <w:p>
      <w:pPr>
        <w:pStyle w:val="Indenta"/>
      </w:pPr>
      <w:r>
        <w:tab/>
        <w:t>(a)</w:t>
      </w:r>
      <w:r>
        <w:tab/>
        <w:t>that there are reasonable grounds for the member to suspect the matters mentioned in section 79(1)(a) and (b) or 79A(a) and (b), as the case requires; and</w:t>
      </w:r>
    </w:p>
    <w:p>
      <w:pPr>
        <w:pStyle w:val="Indenta"/>
      </w:pPr>
      <w:r>
        <w:tab/>
        <w:t>(b)</w:t>
      </w:r>
      <w:r>
        <w:tab/>
        <w:t>in a case to which subsection (1)(b) applies, that there are reasonable grounds for believing that the driver of the vehicle has previously been convicted of an impounding offence (driving).</w:t>
      </w:r>
    </w:p>
    <w:p>
      <w:pPr>
        <w:pStyle w:val="Subsection"/>
      </w:pPr>
      <w:r>
        <w:tab/>
        <w:t>(3)</w:t>
      </w:r>
      <w:r>
        <w:tab/>
        <w:t>If a senior police officer is not satisfied as required by subsection (2)(a) the senior police officer and the member of the Police Force are to take measures to ensure that the vehicle is released from impoundment and returned to a responsible person, or if no responsible person is available, to the driver of the vehicle.</w:t>
      </w:r>
    </w:p>
    <w:p>
      <w:pPr>
        <w:pStyle w:val="Subsection"/>
      </w:pPr>
      <w:r>
        <w:tab/>
        <w:t>(4)</w:t>
      </w:r>
      <w:r>
        <w:tab/>
        <w:t>If a senior police officer is satisfied as required by subsection (2)(a) but is not satisfied as required by subsection (2)(b), the senior police officer is to alter the</w:t>
      </w:r>
      <w:del w:id="849" w:author="svcMRProcess" w:date="2018-09-08T08:22:00Z">
        <w:r>
          <w:delText> </w:delText>
        </w:r>
      </w:del>
      <w:ins w:id="850" w:author="svcMRProcess" w:date="2018-09-08T08:22:00Z">
        <w:r>
          <w:t xml:space="preserve"> </w:t>
        </w:r>
      </w:ins>
      <w:r>
        <w:t>impounding period to end on the 7</w:t>
      </w:r>
      <w:r>
        <w:rPr>
          <w:vertAlign w:val="superscript"/>
        </w:rPr>
        <w:t>th</w:t>
      </w:r>
      <w:r>
        <w:t xml:space="preserve"> day after the day on which the vehicle is impounded and the Commissioner is to give notice of the variation to each person who has been given notice under section 79B of the impounding.</w:t>
      </w:r>
    </w:p>
    <w:p>
      <w:pPr>
        <w:pStyle w:val="Footnotesection"/>
      </w:pPr>
      <w:r>
        <w:tab/>
        <w:t>[Section 79C inserted by No. 10 of 2004 s. 13; amended by No. 4 of 2007 s. 31; No. 24 of 2008 s. 10 and 23.]</w:t>
      </w:r>
    </w:p>
    <w:p>
      <w:pPr>
        <w:pStyle w:val="Heading5"/>
      </w:pPr>
      <w:bookmarkStart w:id="851" w:name="_Toc276038774"/>
      <w:bookmarkStart w:id="852" w:name="_Toc210120020"/>
      <w:r>
        <w:rPr>
          <w:rStyle w:val="CharSectno"/>
        </w:rPr>
        <w:t>79D</w:t>
      </w:r>
      <w:r>
        <w:t>.</w:t>
      </w:r>
      <w:r>
        <w:tab/>
        <w:t>Release of impounded vehicles</w:t>
      </w:r>
      <w:bookmarkEnd w:id="851"/>
      <w:bookmarkEnd w:id="852"/>
    </w:p>
    <w:p>
      <w:pPr>
        <w:pStyle w:val="Subsection"/>
        <w:outlineLvl w:val="0"/>
      </w:pPr>
      <w:r>
        <w:tab/>
        <w:t>(1)</w:t>
      </w:r>
      <w:r>
        <w:tab/>
        <w:t>In this section —</w:t>
      </w:r>
    </w:p>
    <w:p>
      <w:pPr>
        <w:pStyle w:val="Defstart"/>
      </w:pPr>
      <w:r>
        <w:rPr>
          <w:b/>
        </w:rPr>
        <w:tab/>
      </w:r>
      <w:r>
        <w:rPr>
          <w:rStyle w:val="CharDefText"/>
        </w:rPr>
        <w:t>impounded vehicle</w:t>
      </w:r>
      <w:r>
        <w:t xml:space="preserve"> means a vehicle impounded under section 79(1) or 79A.</w:t>
      </w:r>
    </w:p>
    <w:p>
      <w:pPr>
        <w:pStyle w:val="Subsection"/>
        <w:spacing w:before="120"/>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w:t>
      </w:r>
    </w:p>
    <w:p>
      <w:pPr>
        <w:pStyle w:val="Ednotesubsection"/>
        <w:rPr>
          <w:del w:id="853" w:author="svcMRProcess" w:date="2018-09-08T08:22:00Z"/>
        </w:rPr>
      </w:pPr>
      <w:del w:id="854" w:author="svcMRProcess" w:date="2018-09-08T08:22:00Z">
        <w:r>
          <w:tab/>
          <w:delText>[(3)</w:delText>
        </w:r>
        <w:r>
          <w:tab/>
        </w:r>
        <w:r>
          <w:tab/>
          <w:delText>repealed]</w:delText>
        </w:r>
      </w:del>
    </w:p>
    <w:p>
      <w:pPr>
        <w:pStyle w:val="Footnotesection"/>
      </w:pPr>
      <w:r>
        <w:tab/>
        <w:t>[Section 79D inserted by No. 10 of 2004 s. 13; amended by No. 4 of 2007 s. 6; No. 24 of 2008 s. 11 and 23.]</w:t>
      </w:r>
    </w:p>
    <w:p>
      <w:pPr>
        <w:pStyle w:val="Heading5"/>
        <w:spacing w:before="180"/>
      </w:pPr>
      <w:bookmarkStart w:id="855" w:name="_Toc276038775"/>
      <w:bookmarkStart w:id="856" w:name="_Toc210120021"/>
      <w:r>
        <w:rPr>
          <w:rStyle w:val="CharSectno"/>
        </w:rPr>
        <w:t>79E</w:t>
      </w:r>
      <w:r>
        <w:t>.</w:t>
      </w:r>
      <w:r>
        <w:tab/>
        <w:t>Liability for section 79(1) or 79A impounding expenses</w:t>
      </w:r>
      <w:bookmarkEnd w:id="855"/>
      <w:bookmarkEnd w:id="856"/>
    </w:p>
    <w:p>
      <w:pPr>
        <w:pStyle w:val="Subsection"/>
        <w:spacing w:before="120"/>
      </w:pPr>
      <w:r>
        <w:tab/>
      </w:r>
      <w:r>
        <w:tab/>
        <w:t>If a vehicle is impounded under section 79(1)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 amended by No. 24 of 2008 s. 23.]</w:t>
      </w:r>
    </w:p>
    <w:p>
      <w:pPr>
        <w:pStyle w:val="Heading4"/>
      </w:pPr>
      <w:bookmarkStart w:id="857" w:name="_Toc201457601"/>
      <w:bookmarkStart w:id="858" w:name="_Toc202335446"/>
      <w:bookmarkStart w:id="859" w:name="_Toc202770270"/>
      <w:bookmarkStart w:id="860" w:name="_Toc203541481"/>
      <w:bookmarkStart w:id="861" w:name="_Toc204067555"/>
      <w:bookmarkStart w:id="862" w:name="_Toc204072677"/>
      <w:bookmarkStart w:id="863" w:name="_Toc205284979"/>
      <w:bookmarkStart w:id="864" w:name="_Toc207510200"/>
      <w:bookmarkStart w:id="865" w:name="_Toc207675607"/>
      <w:bookmarkStart w:id="866" w:name="_Toc207685157"/>
      <w:bookmarkStart w:id="867" w:name="_Toc208979011"/>
      <w:bookmarkStart w:id="868" w:name="_Toc208979325"/>
      <w:bookmarkStart w:id="869" w:name="_Toc209246501"/>
      <w:bookmarkStart w:id="870" w:name="_Toc211654521"/>
      <w:bookmarkStart w:id="871" w:name="_Toc276038776"/>
      <w:bookmarkStart w:id="872" w:name="_Toc210120022"/>
      <w:r>
        <w:t>Subdivision 3 — Impounding and confiscation of vehicles by court order</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Footnoteheading"/>
      </w:pPr>
      <w:r>
        <w:tab/>
        <w:t>[Heading inserted by No. 10 of 2004 s. 13.]</w:t>
      </w:r>
    </w:p>
    <w:p>
      <w:pPr>
        <w:pStyle w:val="Heading5"/>
        <w:spacing w:before="180"/>
      </w:pPr>
      <w:bookmarkStart w:id="873" w:name="_Toc276038777"/>
      <w:bookmarkStart w:id="874" w:name="_Toc210120023"/>
      <w:r>
        <w:rPr>
          <w:rStyle w:val="CharSectno"/>
        </w:rPr>
        <w:t>80</w:t>
      </w:r>
      <w:r>
        <w:t>.</w:t>
      </w:r>
      <w:r>
        <w:tab/>
        <w:t>Impounding of vehicles for racing etc.</w:t>
      </w:r>
      <w:bookmarkEnd w:id="873"/>
      <w:bookmarkEnd w:id="874"/>
    </w:p>
    <w:p>
      <w:pPr>
        <w:pStyle w:val="Subsection"/>
        <w:spacing w:before="120"/>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875" w:name="_Toc276038778"/>
      <w:bookmarkStart w:id="876" w:name="_Toc210120024"/>
      <w:r>
        <w:rPr>
          <w:rStyle w:val="CharSectno"/>
        </w:rPr>
        <w:t>80A</w:t>
      </w:r>
      <w:r>
        <w:rPr>
          <w:snapToGrid w:val="0"/>
        </w:rPr>
        <w:t>.</w:t>
      </w:r>
      <w:r>
        <w:rPr>
          <w:snapToGrid w:val="0"/>
        </w:rPr>
        <w:tab/>
        <w:t>Confiscation of vehicles for racing etc.</w:t>
      </w:r>
      <w:bookmarkEnd w:id="875"/>
      <w:bookmarkEnd w:id="876"/>
    </w:p>
    <w:p>
      <w:pPr>
        <w:pStyle w:val="Subsection"/>
      </w:pPr>
      <w:r>
        <w:tab/>
        <w:t>(1)</w:t>
      </w:r>
      <w:r>
        <w:tab/>
        <w:t>A court that convicts a person of an impounding offence (driving) may, by order, confiscate the vehicle used in the offence.</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877" w:name="_Toc276038779"/>
      <w:bookmarkStart w:id="878" w:name="_Toc210120025"/>
      <w:r>
        <w:rPr>
          <w:rStyle w:val="CharSectno"/>
        </w:rPr>
        <w:t>80B</w:t>
      </w:r>
      <w:r>
        <w:t>.</w:t>
      </w:r>
      <w:r>
        <w:tab/>
      </w:r>
      <w:r>
        <w:rPr>
          <w:snapToGrid w:val="0"/>
        </w:rPr>
        <w:t>Impounding of vehicles for driving without driver’s licence etc.</w:t>
      </w:r>
      <w:bookmarkEnd w:id="877"/>
      <w:bookmarkEnd w:id="878"/>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120"/>
        <w:rPr>
          <w:snapToGrid w:val="0"/>
        </w:rPr>
      </w:pPr>
      <w:r>
        <w:tab/>
      </w:r>
      <w:r>
        <w:tab/>
        <w:t xml:space="preserve">and being such period, </w:t>
      </w:r>
      <w:r>
        <w:rPr>
          <w:snapToGrid w:val="0"/>
        </w:rPr>
        <w:t>not exceeding 3 months, as is specified in the order.</w:t>
      </w:r>
    </w:p>
    <w:p>
      <w:pPr>
        <w:pStyle w:val="Subsection"/>
        <w:spacing w:before="12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 amended by No. 24 of 2008 s. 12.]</w:t>
      </w:r>
    </w:p>
    <w:p>
      <w:pPr>
        <w:pStyle w:val="Heading5"/>
        <w:spacing w:before="180"/>
        <w:rPr>
          <w:snapToGrid w:val="0"/>
        </w:rPr>
      </w:pPr>
      <w:bookmarkStart w:id="879" w:name="_Toc276038780"/>
      <w:bookmarkStart w:id="880" w:name="_Toc210120026"/>
      <w:r>
        <w:rPr>
          <w:rStyle w:val="CharSectno"/>
        </w:rPr>
        <w:t>80C</w:t>
      </w:r>
      <w:r>
        <w:t>.</w:t>
      </w:r>
      <w:r>
        <w:tab/>
        <w:t>C</w:t>
      </w:r>
      <w:r>
        <w:rPr>
          <w:snapToGrid w:val="0"/>
        </w:rPr>
        <w:t>onfiscation of vehicles for driving without driver’s licence etc.</w:t>
      </w:r>
      <w:bookmarkEnd w:id="879"/>
      <w:bookmarkEnd w:id="880"/>
    </w:p>
    <w:p>
      <w:pPr>
        <w:pStyle w:val="Subsection"/>
        <w:spacing w:before="12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 amended by No. 24 of 2008 s. 13.]</w:t>
      </w:r>
    </w:p>
    <w:p>
      <w:pPr>
        <w:pStyle w:val="Heading5"/>
      </w:pPr>
      <w:bookmarkStart w:id="881" w:name="_Toc276038781"/>
      <w:bookmarkStart w:id="882" w:name="_Toc210120027"/>
      <w:r>
        <w:rPr>
          <w:rStyle w:val="CharSectno"/>
        </w:rPr>
        <w:t>80CA</w:t>
      </w:r>
      <w:r>
        <w:t>.</w:t>
      </w:r>
      <w:r>
        <w:tab/>
        <w:t>Impounding of vehicles for road rage offences</w:t>
      </w:r>
      <w:bookmarkEnd w:id="881"/>
      <w:bookmarkEnd w:id="882"/>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6 months, specified in the order.</w:t>
      </w:r>
    </w:p>
    <w:p>
      <w:pPr>
        <w:pStyle w:val="Ednotesubsection"/>
      </w:pPr>
      <w:r>
        <w:tab/>
        <w:t>[(2)</w:t>
      </w:r>
      <w:r>
        <w:tab/>
        <w:t>repealed]</w:t>
      </w:r>
    </w:p>
    <w:p>
      <w:pPr>
        <w:pStyle w:val="Footnotesection"/>
      </w:pPr>
      <w:r>
        <w:tab/>
        <w:t>[Section 80CA inserted by No. 4 of 2007 s. 16; amended by No. 24 of 2008 s. 14.]</w:t>
      </w:r>
    </w:p>
    <w:p>
      <w:pPr>
        <w:pStyle w:val="Heading5"/>
      </w:pPr>
      <w:bookmarkStart w:id="883" w:name="_Toc276038782"/>
      <w:bookmarkStart w:id="884" w:name="_Toc210120028"/>
      <w:r>
        <w:rPr>
          <w:rStyle w:val="CharSectno"/>
        </w:rPr>
        <w:t>80CB</w:t>
      </w:r>
      <w:r>
        <w:t>.</w:t>
      </w:r>
      <w:r>
        <w:tab/>
        <w:t>Confiscating of vehicles for road rage offences</w:t>
      </w:r>
      <w:bookmarkEnd w:id="883"/>
      <w:bookmarkEnd w:id="884"/>
    </w:p>
    <w:p>
      <w:pPr>
        <w:pStyle w:val="Subsection"/>
      </w:pPr>
      <w:r>
        <w:tab/>
        <w:t>(1)</w:t>
      </w:r>
      <w:r>
        <w:tab/>
        <w:t>A court that convicts a person of a road rage offence may, by order, confiscate a vehicle referred to in section 80GA.</w:t>
      </w:r>
    </w:p>
    <w:p>
      <w:pPr>
        <w:pStyle w:val="Ednotesubsection"/>
      </w:pPr>
      <w:r>
        <w:tab/>
        <w:t>[(2)</w:t>
      </w:r>
      <w:r>
        <w:tab/>
        <w:t>repealed]</w:t>
      </w:r>
    </w:p>
    <w:p>
      <w:pPr>
        <w:pStyle w:val="Footnotesection"/>
      </w:pPr>
      <w:r>
        <w:tab/>
        <w:t>[Section 80CB inserted by No. 4 of 2007 s. 16; amended by No. 24 of 2008 s. 15.]</w:t>
      </w:r>
    </w:p>
    <w:p>
      <w:pPr>
        <w:pStyle w:val="Heading5"/>
      </w:pPr>
      <w:bookmarkStart w:id="885" w:name="_Toc276038783"/>
      <w:bookmarkStart w:id="886" w:name="_Toc210120029"/>
      <w:r>
        <w:rPr>
          <w:rStyle w:val="CharSectno"/>
        </w:rPr>
        <w:t>80D</w:t>
      </w:r>
      <w:r>
        <w:t>.</w:t>
      </w:r>
      <w:r>
        <w:tab/>
        <w:t>Effect of confiscation</w:t>
      </w:r>
      <w:bookmarkEnd w:id="885"/>
      <w:bookmarkEnd w:id="886"/>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887" w:name="_Toc276038784"/>
      <w:bookmarkStart w:id="888" w:name="_Toc210120030"/>
      <w:r>
        <w:rPr>
          <w:rStyle w:val="CharSectno"/>
        </w:rPr>
        <w:t>80E</w:t>
      </w:r>
      <w:r>
        <w:t>.</w:t>
      </w:r>
      <w:r>
        <w:tab/>
        <w:t>Stolen or hired vehicles not to be impounded, confiscated</w:t>
      </w:r>
      <w:bookmarkEnd w:id="887"/>
      <w:bookmarkEnd w:id="888"/>
    </w:p>
    <w:p>
      <w:pPr>
        <w:pStyle w:val="Subsection"/>
      </w:pPr>
      <w:r>
        <w:tab/>
        <w:t>(1)</w:t>
      </w:r>
      <w:r>
        <w:tab/>
        <w:t>A court is not to make an order under section 80(1) or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w:t>
      </w:r>
    </w:p>
    <w:p>
      <w:pPr>
        <w:pStyle w:val="Heading5"/>
      </w:pPr>
      <w:bookmarkStart w:id="889" w:name="_Toc204059003"/>
      <w:bookmarkStart w:id="890" w:name="_Toc276038785"/>
      <w:bookmarkStart w:id="891" w:name="_Toc210120031"/>
      <w:r>
        <w:rPr>
          <w:rStyle w:val="CharSectno"/>
        </w:rPr>
        <w:t>80FA</w:t>
      </w:r>
      <w:r>
        <w:t>.</w:t>
      </w:r>
      <w:r>
        <w:tab/>
        <w:t>Court may order impounding instead of confiscation</w:t>
      </w:r>
      <w:bookmarkEnd w:id="889"/>
      <w:bookmarkEnd w:id="890"/>
      <w:bookmarkEnd w:id="891"/>
    </w:p>
    <w:p>
      <w:pPr>
        <w:pStyle w:val="Subsection"/>
      </w:pPr>
      <w:r>
        <w:tab/>
        <w:t>(1)</w:t>
      </w:r>
      <w:r>
        <w:tab/>
        <w:t>In circumstances in which a court could, by order under section 80A(1),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w:t>
      </w:r>
    </w:p>
    <w:p>
      <w:pPr>
        <w:pStyle w:val="Heading5"/>
      </w:pPr>
      <w:bookmarkStart w:id="892" w:name="_Toc276038786"/>
      <w:bookmarkStart w:id="893" w:name="_Toc210120032"/>
      <w:r>
        <w:rPr>
          <w:rStyle w:val="CharSectno"/>
        </w:rPr>
        <w:t>80F</w:t>
      </w:r>
      <w:r>
        <w:t>.</w:t>
      </w:r>
      <w:r>
        <w:tab/>
      </w:r>
      <w:del w:id="894" w:author="svcMRProcess" w:date="2018-09-08T08:22:00Z">
        <w:r>
          <w:delText>Licence holder</w:delText>
        </w:r>
      </w:del>
      <w:ins w:id="895" w:author="svcMRProcess" w:date="2018-09-08T08:22:00Z">
        <w:r>
          <w:t>Responsible person</w:t>
        </w:r>
      </w:ins>
      <w:r>
        <w:t xml:space="preserve"> to surrender impounded, confiscated vehicle at time and place ordered by court</w:t>
      </w:r>
      <w:bookmarkEnd w:id="892"/>
      <w:bookmarkEnd w:id="893"/>
    </w:p>
    <w:p>
      <w:pPr>
        <w:pStyle w:val="Subsection"/>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Heading5"/>
      </w:pPr>
      <w:bookmarkStart w:id="896" w:name="_Toc204059006"/>
      <w:bookmarkStart w:id="897" w:name="_Toc276038787"/>
      <w:bookmarkStart w:id="898" w:name="_Toc210120033"/>
      <w:r>
        <w:rPr>
          <w:rStyle w:val="CharSectno"/>
        </w:rPr>
        <w:t>80GA</w:t>
      </w:r>
      <w:r>
        <w:t>.</w:t>
      </w:r>
      <w:r>
        <w:tab/>
        <w:t>Vehicle about which certain orders may be made</w:t>
      </w:r>
      <w:bookmarkEnd w:id="896"/>
      <w:bookmarkEnd w:id="897"/>
      <w:bookmarkEnd w:id="898"/>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in the case of an order under section 80CA(1) or 80CB(1), the vehicle referred to in paragraph (b)(i) of the definition of “road rage circumstances” in section 78A or a substitute vehicle nominated by the Commissioner under subsection (2).</w:t>
      </w:r>
    </w:p>
    <w:p>
      <w:pPr>
        <w:pStyle w:val="Subsection"/>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pPr>
      <w:bookmarkStart w:id="899" w:name="_Toc276038788"/>
      <w:bookmarkStart w:id="900" w:name="_Toc210120034"/>
      <w:r>
        <w:rPr>
          <w:rStyle w:val="CharSectno"/>
        </w:rPr>
        <w:t>80G</w:t>
      </w:r>
      <w:r>
        <w:t>.</w:t>
      </w:r>
      <w:r>
        <w:tab/>
        <w:t>Applications for orders to impound or confiscate vehicles</w:t>
      </w:r>
      <w:bookmarkEnd w:id="899"/>
      <w:bookmarkEnd w:id="900"/>
    </w:p>
    <w:p>
      <w:pPr>
        <w:pStyle w:val="Subsection"/>
      </w:pPr>
      <w:r>
        <w:tab/>
        <w:t>(1)</w:t>
      </w:r>
      <w:r>
        <w:tab/>
        <w:t>In this section —</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brought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A court is not to make an order unless it has given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w:t>
      </w:r>
    </w:p>
    <w:p>
      <w:pPr>
        <w:pStyle w:val="Heading5"/>
      </w:pPr>
      <w:bookmarkStart w:id="901" w:name="_Toc276038789"/>
      <w:bookmarkStart w:id="902" w:name="_Toc210120035"/>
      <w:r>
        <w:rPr>
          <w:rStyle w:val="CharSectno"/>
        </w:rPr>
        <w:t>80H</w:t>
      </w:r>
      <w:r>
        <w:t>.</w:t>
      </w:r>
      <w:r>
        <w:tab/>
        <w:t>Expenses of court</w:t>
      </w:r>
      <w:r>
        <w:noBreakHyphen/>
        <w:t>ordered impounding payable by convicted driver</w:t>
      </w:r>
      <w:bookmarkEnd w:id="901"/>
      <w:bookmarkEnd w:id="902"/>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repealed]</w:t>
      </w:r>
    </w:p>
    <w:p>
      <w:pPr>
        <w:pStyle w:val="Footnotesection"/>
      </w:pPr>
      <w:r>
        <w:tab/>
        <w:t>[Section 80H inserted by No. 10 of 2004 s. 13; amended by No. 4 of 2007 s. 8 and 21; No. 24 of 2008 s. 25.]</w:t>
      </w:r>
    </w:p>
    <w:p>
      <w:pPr>
        <w:pStyle w:val="Heading4"/>
      </w:pPr>
      <w:bookmarkStart w:id="903" w:name="_Toc201457613"/>
      <w:bookmarkStart w:id="904" w:name="_Toc202335458"/>
      <w:bookmarkStart w:id="905" w:name="_Toc202770282"/>
      <w:bookmarkStart w:id="906" w:name="_Toc203541493"/>
      <w:bookmarkStart w:id="907" w:name="_Toc204067569"/>
      <w:bookmarkStart w:id="908" w:name="_Toc204072691"/>
      <w:bookmarkStart w:id="909" w:name="_Toc205284993"/>
      <w:bookmarkStart w:id="910" w:name="_Toc207510214"/>
      <w:bookmarkStart w:id="911" w:name="_Toc207675621"/>
      <w:bookmarkStart w:id="912" w:name="_Toc207685171"/>
      <w:bookmarkStart w:id="913" w:name="_Toc208979025"/>
      <w:bookmarkStart w:id="914" w:name="_Toc208979339"/>
      <w:bookmarkStart w:id="915" w:name="_Toc209246515"/>
      <w:bookmarkStart w:id="916" w:name="_Toc211654535"/>
      <w:bookmarkStart w:id="917" w:name="_Toc276038790"/>
      <w:bookmarkStart w:id="918" w:name="_Toc210120036"/>
      <w:r>
        <w:t>Subdivision 4 — Miscellaneous provisions about impounded or confiscated vehicles</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Footnoteheading"/>
      </w:pPr>
      <w:r>
        <w:tab/>
        <w:t>[Heading inserted by No. 10 of 2004 s. 13.]</w:t>
      </w:r>
    </w:p>
    <w:p>
      <w:pPr>
        <w:pStyle w:val="Heading5"/>
      </w:pPr>
      <w:bookmarkStart w:id="919" w:name="_Toc276038791"/>
      <w:bookmarkStart w:id="920" w:name="_Toc210120037"/>
      <w:r>
        <w:rPr>
          <w:rStyle w:val="CharSectno"/>
        </w:rPr>
        <w:t>80IA</w:t>
      </w:r>
      <w:r>
        <w:t>.</w:t>
      </w:r>
      <w:r>
        <w:tab/>
        <w:t>Release of vehicle that was impounded</w:t>
      </w:r>
      <w:bookmarkEnd w:id="919"/>
      <w:bookmarkEnd w:id="920"/>
    </w:p>
    <w:p>
      <w:pPr>
        <w:pStyle w:val="Subsection"/>
      </w:pPr>
      <w:r>
        <w:tab/>
        <w:t>(1)</w:t>
      </w:r>
      <w:r>
        <w:tab/>
        <w:t>When a vehicle has been impounded under section 79(1) or 79A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w:t>
      </w:r>
    </w:p>
    <w:p>
      <w:pPr>
        <w:pStyle w:val="Heading5"/>
        <w:spacing w:before="260"/>
      </w:pPr>
      <w:bookmarkStart w:id="921" w:name="_Toc276038792"/>
      <w:bookmarkStart w:id="922" w:name="_Toc210120038"/>
      <w:r>
        <w:rPr>
          <w:rStyle w:val="CharSectno"/>
        </w:rPr>
        <w:t>80IB</w:t>
      </w:r>
      <w:r>
        <w:t>.</w:t>
      </w:r>
      <w:r>
        <w:tab/>
        <w:t>Payment for impounding expenses before vehicle released</w:t>
      </w:r>
      <w:bookmarkEnd w:id="921"/>
      <w:bookmarkEnd w:id="922"/>
    </w:p>
    <w:p>
      <w:pPr>
        <w:pStyle w:val="Subsection"/>
        <w:spacing w:before="200"/>
      </w:pPr>
      <w:r>
        <w:tab/>
        <w:t>(1)</w:t>
      </w:r>
      <w:r>
        <w:tab/>
        <w:t>When a vehicle has been impounded under section 79(1) or 79A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spacing w:before="200"/>
      </w:pPr>
      <w:r>
        <w:tab/>
        <w:t>(2)</w:t>
      </w:r>
      <w:r>
        <w:tab/>
        <w:t>Subsection (1) applies even if the person seeking the release of the vehicle is not the person suspected of having committed, or found to have committed, the offence for which the vehicle was impounded.</w:t>
      </w:r>
    </w:p>
    <w:p>
      <w:pPr>
        <w:pStyle w:val="Subsection"/>
        <w:spacing w:before="200"/>
      </w:pPr>
      <w:r>
        <w:tab/>
        <w:t>(3)</w:t>
      </w:r>
      <w:r>
        <w:tab/>
        <w:t>The Commissioner may release the vehicle without requiring payment of the amount described in subsection (1) if the Commissioner considers it appropriate in the circumstances to do so.</w:t>
      </w:r>
    </w:p>
    <w:p>
      <w:pPr>
        <w:pStyle w:val="Subsection"/>
        <w:spacing w:before="200"/>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200"/>
      </w:pPr>
      <w:r>
        <w:tab/>
        <w:t>(5)</w:t>
      </w:r>
      <w:r>
        <w:tab/>
        <w:t xml:space="preserve">In the case of a vehicle impounded under section 79(1) or 79A the Commissioner has to refund, to the person who made the payment, an amount described in subsection (1) that was paid to the Commissioner for the release of the vehicle if — </w:t>
      </w:r>
    </w:p>
    <w:p>
      <w:pPr>
        <w:pStyle w:val="Indenta"/>
        <w:spacing w:before="140"/>
      </w:pPr>
      <w:r>
        <w:tab/>
        <w:t>(a)</w:t>
      </w:r>
      <w:r>
        <w:tab/>
        <w:t>no charge of committing the offence for which the vehicle was impounded is laid during the period of one year after the day on which the offence is suspected to have been committed; or</w:t>
      </w:r>
    </w:p>
    <w:p>
      <w:pPr>
        <w:pStyle w:val="Indenta"/>
        <w:spacing w:before="140"/>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 amended by No. 24 of 2008 s. 23 and 25.]</w:t>
      </w:r>
    </w:p>
    <w:p>
      <w:pPr>
        <w:pStyle w:val="Heading5"/>
        <w:rPr>
          <w:snapToGrid w:val="0"/>
        </w:rPr>
      </w:pPr>
      <w:bookmarkStart w:id="923" w:name="_Toc276038793"/>
      <w:bookmarkStart w:id="924" w:name="_Toc210120039"/>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923"/>
      <w:bookmarkEnd w:id="924"/>
    </w:p>
    <w:p>
      <w:pPr>
        <w:pStyle w:val="Subsection"/>
      </w:pPr>
      <w:r>
        <w:tab/>
        <w:t>(1)</w:t>
      </w:r>
      <w:r>
        <w:tab/>
        <w:t>The Commissioner may refuse to release a vehicle impounded under section 79(1) or 79A or on an impounding order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w:t>
      </w:r>
    </w:p>
    <w:p>
      <w:pPr>
        <w:pStyle w:val="Heading5"/>
      </w:pPr>
      <w:bookmarkStart w:id="925" w:name="_Toc276038794"/>
      <w:bookmarkStart w:id="926" w:name="_Toc210120040"/>
      <w:r>
        <w:rPr>
          <w:rStyle w:val="CharSectno"/>
        </w:rPr>
        <w:t>80J</w:t>
      </w:r>
      <w:r>
        <w:t>.</w:t>
      </w:r>
      <w:r>
        <w:tab/>
        <w:t>Disposing of confiscated, uncollected vehicles and items therein</w:t>
      </w:r>
      <w:bookmarkEnd w:id="925"/>
      <w:bookmarkEnd w:id="926"/>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section 79(1) or</w:t>
      </w:r>
      <w:del w:id="927" w:author="svcMRProcess" w:date="2018-09-08T08:22:00Z">
        <w:r>
          <w:delText xml:space="preserve"> </w:delText>
        </w:r>
      </w:del>
      <w:ins w:id="928" w:author="svcMRProcess" w:date="2018-09-08T08:22:00Z">
        <w:r>
          <w:t> </w:t>
        </w:r>
      </w:ins>
      <w:r>
        <w:t>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ins w:id="929" w:author="svcMRProcess" w:date="2018-09-08T08:22:00Z">
        <w:r>
          <w:tab/>
        </w:r>
      </w:ins>
      <w:r>
        <w:tab/>
        <w:t>as is relevant to the case;</w:t>
      </w:r>
    </w:p>
    <w:p>
      <w:pPr>
        <w:pStyle w:val="Defstart"/>
      </w:pPr>
      <w:r>
        <w:rPr>
          <w:b/>
        </w:rPr>
        <w:tab/>
      </w:r>
      <w:r>
        <w:rPr>
          <w:rStyle w:val="CharDefText"/>
        </w:rPr>
        <w:t>uncollected vehicle</w:t>
      </w:r>
      <w:r>
        <w:t xml:space="preserve"> means a vehicle that was impounded under section 79(1) or 79A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w:t>
      </w:r>
    </w:p>
    <w:p>
      <w:pPr>
        <w:pStyle w:val="Heading5"/>
        <w:spacing w:before="260"/>
      </w:pPr>
      <w:bookmarkStart w:id="930" w:name="_Toc276038795"/>
      <w:bookmarkStart w:id="931" w:name="_Toc210120041"/>
      <w:r>
        <w:rPr>
          <w:rStyle w:val="CharSectno"/>
        </w:rPr>
        <w:t>80K</w:t>
      </w:r>
      <w:r>
        <w:t>.</w:t>
      </w:r>
      <w:r>
        <w:tab/>
        <w:t>Expenses of confiscation not obtained on sale payable by convicted driver</w:t>
      </w:r>
      <w:bookmarkEnd w:id="930"/>
      <w:bookmarkEnd w:id="931"/>
    </w:p>
    <w:p>
      <w:pPr>
        <w:pStyle w:val="Subsection"/>
        <w:spacing w:before="200"/>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932" w:name="_Toc276038796"/>
      <w:bookmarkStart w:id="933" w:name="_Toc210120042"/>
      <w:r>
        <w:rPr>
          <w:rStyle w:val="CharSectno"/>
        </w:rPr>
        <w:t>80L</w:t>
      </w:r>
      <w:r>
        <w:t>.</w:t>
      </w:r>
      <w:r>
        <w:tab/>
        <w:t>Transfer of vehicle licence</w:t>
      </w:r>
      <w:bookmarkEnd w:id="932"/>
      <w:bookmarkEnd w:id="933"/>
    </w:p>
    <w:p>
      <w:pPr>
        <w:pStyle w:val="Subsection"/>
        <w:keepNext/>
        <w:keepLines/>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Repealed by No. 76 of 1996 s. 17.]</w:t>
      </w:r>
    </w:p>
    <w:p>
      <w:pPr>
        <w:pStyle w:val="Heading2"/>
      </w:pPr>
      <w:bookmarkStart w:id="934" w:name="_Toc201457620"/>
      <w:bookmarkStart w:id="935" w:name="_Toc202335465"/>
      <w:bookmarkStart w:id="936" w:name="_Toc202770289"/>
      <w:bookmarkStart w:id="937" w:name="_Toc203541500"/>
      <w:bookmarkStart w:id="938" w:name="_Toc204067576"/>
      <w:bookmarkStart w:id="939" w:name="_Toc204072698"/>
      <w:bookmarkStart w:id="940" w:name="_Toc205285000"/>
      <w:bookmarkStart w:id="941" w:name="_Toc207510221"/>
      <w:bookmarkStart w:id="942" w:name="_Toc207675628"/>
      <w:bookmarkStart w:id="943" w:name="_Toc207685178"/>
      <w:bookmarkStart w:id="944" w:name="_Toc208979032"/>
      <w:bookmarkStart w:id="945" w:name="_Toc208979346"/>
      <w:bookmarkStart w:id="946" w:name="_Toc209246522"/>
      <w:bookmarkStart w:id="947" w:name="_Toc211654542"/>
      <w:bookmarkStart w:id="948" w:name="_Toc276038797"/>
      <w:bookmarkStart w:id="949" w:name="_Toc210120043"/>
      <w:r>
        <w:rPr>
          <w:rStyle w:val="CharPartNo"/>
        </w:rPr>
        <w:t>Part VA</w:t>
      </w:r>
      <w:r>
        <w:rPr>
          <w:rStyle w:val="CharDivNo"/>
        </w:rPr>
        <w:t> </w:t>
      </w:r>
      <w:r>
        <w:t>—</w:t>
      </w:r>
      <w:r>
        <w:rPr>
          <w:rStyle w:val="CharDivText"/>
        </w:rPr>
        <w:t> </w:t>
      </w:r>
      <w:r>
        <w:rPr>
          <w:rStyle w:val="CharPartText"/>
        </w:rPr>
        <w:t>Events on roads</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p>
    <w:p>
      <w:pPr>
        <w:pStyle w:val="Footnoteheading"/>
        <w:tabs>
          <w:tab w:val="left" w:pos="840"/>
        </w:tabs>
      </w:pPr>
      <w:r>
        <w:tab/>
        <w:t>[Heading inserted by No. 64 of 1988 s. 4.]</w:t>
      </w:r>
    </w:p>
    <w:p>
      <w:pPr>
        <w:pStyle w:val="Heading5"/>
        <w:rPr>
          <w:snapToGrid w:val="0"/>
        </w:rPr>
      </w:pPr>
      <w:bookmarkStart w:id="950" w:name="_Toc210120044"/>
      <w:bookmarkStart w:id="951" w:name="_Toc276038798"/>
      <w:r>
        <w:rPr>
          <w:rStyle w:val="CharSectno"/>
        </w:rPr>
        <w:t>81A</w:t>
      </w:r>
      <w:r>
        <w:rPr>
          <w:snapToGrid w:val="0"/>
        </w:rPr>
        <w:t>.</w:t>
      </w:r>
      <w:r>
        <w:rPr>
          <w:snapToGrid w:val="0"/>
        </w:rPr>
        <w:tab/>
      </w:r>
      <w:del w:id="952" w:author="svcMRProcess" w:date="2018-09-08T08:22:00Z">
        <w:r>
          <w:rPr>
            <w:snapToGrid w:val="0"/>
          </w:rPr>
          <w:delText>Definitions</w:delText>
        </w:r>
      </w:del>
      <w:bookmarkEnd w:id="950"/>
      <w:ins w:id="953" w:author="svcMRProcess" w:date="2018-09-08T08:22:00Z">
        <w:r>
          <w:rPr>
            <w:snapToGrid w:val="0"/>
          </w:rPr>
          <w:t>Terms used in this Part</w:t>
        </w:r>
      </w:ins>
      <w:bookmarkEnd w:id="951"/>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954" w:name="_Toc276038799"/>
      <w:bookmarkStart w:id="955" w:name="_Toc210120045"/>
      <w:r>
        <w:rPr>
          <w:rStyle w:val="CharSectno"/>
        </w:rPr>
        <w:t>81B</w:t>
      </w:r>
      <w:r>
        <w:rPr>
          <w:snapToGrid w:val="0"/>
        </w:rPr>
        <w:t>.</w:t>
      </w:r>
      <w:r>
        <w:rPr>
          <w:snapToGrid w:val="0"/>
        </w:rPr>
        <w:tab/>
        <w:t>Application for order</w:t>
      </w:r>
      <w:bookmarkEnd w:id="954"/>
      <w:bookmarkEnd w:id="955"/>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956" w:name="_Toc276038800"/>
      <w:bookmarkStart w:id="957" w:name="_Toc210120046"/>
      <w:r>
        <w:rPr>
          <w:rStyle w:val="CharSectno"/>
        </w:rPr>
        <w:t>81C</w:t>
      </w:r>
      <w:r>
        <w:rPr>
          <w:snapToGrid w:val="0"/>
        </w:rPr>
        <w:t>.</w:t>
      </w:r>
      <w:r>
        <w:rPr>
          <w:snapToGrid w:val="0"/>
        </w:rPr>
        <w:tab/>
        <w:t>Order</w:t>
      </w:r>
      <w:bookmarkEnd w:id="956"/>
      <w:bookmarkEnd w:id="957"/>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958" w:name="_Toc276038801"/>
      <w:bookmarkStart w:id="959" w:name="_Toc210120047"/>
      <w:r>
        <w:rPr>
          <w:rStyle w:val="CharSectno"/>
        </w:rPr>
        <w:t>81D</w:t>
      </w:r>
      <w:r>
        <w:rPr>
          <w:snapToGrid w:val="0"/>
        </w:rPr>
        <w:t>.</w:t>
      </w:r>
      <w:r>
        <w:rPr>
          <w:snapToGrid w:val="0"/>
        </w:rPr>
        <w:tab/>
        <w:t>Road closure</w:t>
      </w:r>
      <w:bookmarkEnd w:id="958"/>
      <w:bookmarkEnd w:id="959"/>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960" w:name="_Toc276038802"/>
      <w:bookmarkStart w:id="961" w:name="_Toc210120048"/>
      <w:r>
        <w:rPr>
          <w:rStyle w:val="CharSectno"/>
        </w:rPr>
        <w:t>81E</w:t>
      </w:r>
      <w:r>
        <w:rPr>
          <w:snapToGrid w:val="0"/>
        </w:rPr>
        <w:t>.</w:t>
      </w:r>
      <w:r>
        <w:rPr>
          <w:snapToGrid w:val="0"/>
        </w:rPr>
        <w:tab/>
        <w:t>Effect of order</w:t>
      </w:r>
      <w:bookmarkEnd w:id="960"/>
      <w:bookmarkEnd w:id="961"/>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spacing w:before="240"/>
        <w:rPr>
          <w:snapToGrid w:val="0"/>
        </w:rPr>
      </w:pPr>
      <w:bookmarkStart w:id="962" w:name="_Toc276038803"/>
      <w:bookmarkStart w:id="963" w:name="_Toc210120049"/>
      <w:r>
        <w:rPr>
          <w:rStyle w:val="CharSectno"/>
        </w:rPr>
        <w:t>81F</w:t>
      </w:r>
      <w:r>
        <w:rPr>
          <w:snapToGrid w:val="0"/>
        </w:rPr>
        <w:t>.</w:t>
      </w:r>
      <w:r>
        <w:rPr>
          <w:snapToGrid w:val="0"/>
        </w:rPr>
        <w:tab/>
        <w:t>Offences</w:t>
      </w:r>
      <w:bookmarkEnd w:id="962"/>
      <w:bookmarkEnd w:id="963"/>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964" w:name="_Toc201457627"/>
      <w:bookmarkStart w:id="965" w:name="_Toc202335472"/>
      <w:bookmarkStart w:id="966" w:name="_Toc202770296"/>
      <w:bookmarkStart w:id="967" w:name="_Toc203541507"/>
      <w:bookmarkStart w:id="968" w:name="_Toc204067583"/>
      <w:bookmarkStart w:id="969" w:name="_Toc204072705"/>
      <w:bookmarkStart w:id="970" w:name="_Toc205285007"/>
      <w:bookmarkStart w:id="971" w:name="_Toc207510228"/>
      <w:bookmarkStart w:id="972" w:name="_Toc207675635"/>
      <w:bookmarkStart w:id="973" w:name="_Toc207685185"/>
      <w:bookmarkStart w:id="974" w:name="_Toc208979039"/>
      <w:bookmarkStart w:id="975" w:name="_Toc208979353"/>
      <w:bookmarkStart w:id="976" w:name="_Toc209246529"/>
      <w:bookmarkStart w:id="977" w:name="_Toc211654549"/>
      <w:bookmarkStart w:id="978" w:name="_Toc276038804"/>
      <w:bookmarkStart w:id="979" w:name="_Toc210120050"/>
      <w:r>
        <w:rPr>
          <w:rStyle w:val="CharPartNo"/>
        </w:rPr>
        <w:t>Part VI</w:t>
      </w:r>
      <w:r>
        <w:rPr>
          <w:rStyle w:val="CharDivNo"/>
        </w:rPr>
        <w:t> </w:t>
      </w:r>
      <w:r>
        <w:t>—</w:t>
      </w:r>
      <w:r>
        <w:rPr>
          <w:rStyle w:val="CharDivText"/>
        </w:rPr>
        <w:t> </w:t>
      </w:r>
      <w:r>
        <w:rPr>
          <w:rStyle w:val="CharPartText"/>
        </w:rPr>
        <w:t>Miscellaneous</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p>
    <w:p>
      <w:pPr>
        <w:pStyle w:val="Heading5"/>
        <w:rPr>
          <w:snapToGrid w:val="0"/>
        </w:rPr>
      </w:pPr>
      <w:bookmarkStart w:id="980" w:name="_Toc276038805"/>
      <w:bookmarkStart w:id="981" w:name="_Toc210120051"/>
      <w:r>
        <w:rPr>
          <w:rStyle w:val="CharSectno"/>
        </w:rPr>
        <w:t>82</w:t>
      </w:r>
      <w:r>
        <w:rPr>
          <w:snapToGrid w:val="0"/>
        </w:rPr>
        <w:t>.</w:t>
      </w:r>
      <w:r>
        <w:rPr>
          <w:snapToGrid w:val="0"/>
        </w:rPr>
        <w:tab/>
        <w:t>Substitution of vehicle in certain circumstances</w:t>
      </w:r>
      <w:bookmarkEnd w:id="980"/>
      <w:bookmarkEnd w:id="981"/>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982" w:name="_Toc276038806"/>
      <w:bookmarkStart w:id="983" w:name="_Toc210120052"/>
      <w:r>
        <w:rPr>
          <w:rStyle w:val="CharSectno"/>
        </w:rPr>
        <w:t>82A</w:t>
      </w:r>
      <w:r>
        <w:rPr>
          <w:snapToGrid w:val="0"/>
        </w:rPr>
        <w:t>.</w:t>
      </w:r>
      <w:r>
        <w:rPr>
          <w:snapToGrid w:val="0"/>
        </w:rPr>
        <w:tab/>
        <w:t>Motor vehicle pools and insurance</w:t>
      </w:r>
      <w:bookmarkEnd w:id="982"/>
      <w:bookmarkEnd w:id="983"/>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984" w:name="_Toc276038807"/>
      <w:bookmarkStart w:id="985" w:name="_Toc210120053"/>
      <w:r>
        <w:rPr>
          <w:rStyle w:val="CharSectno"/>
        </w:rPr>
        <w:t>83</w:t>
      </w:r>
      <w:r>
        <w:rPr>
          <w:snapToGrid w:val="0"/>
        </w:rPr>
        <w:t>.</w:t>
      </w:r>
      <w:r>
        <w:rPr>
          <w:snapToGrid w:val="0"/>
        </w:rPr>
        <w:tab/>
        <w:t>Temporary suspension of written law</w:t>
      </w:r>
      <w:bookmarkEnd w:id="984"/>
      <w:bookmarkEnd w:id="985"/>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986" w:name="_Toc276038808"/>
      <w:bookmarkStart w:id="987" w:name="_Toc210120054"/>
      <w:r>
        <w:rPr>
          <w:rStyle w:val="CharSectno"/>
        </w:rPr>
        <w:t>84</w:t>
      </w:r>
      <w:r>
        <w:rPr>
          <w:snapToGrid w:val="0"/>
        </w:rPr>
        <w:t>.</w:t>
      </w:r>
      <w:r>
        <w:rPr>
          <w:snapToGrid w:val="0"/>
        </w:rPr>
        <w:tab/>
        <w:t>Liability for damage to roads</w:t>
      </w:r>
      <w:del w:id="988" w:author="svcMRProcess" w:date="2018-09-08T08:22:00Z">
        <w:r>
          <w:rPr>
            <w:snapToGrid w:val="0"/>
          </w:rPr>
          <w:delText>,</w:delText>
        </w:r>
      </w:del>
      <w:r>
        <w:rPr>
          <w:snapToGrid w:val="0"/>
        </w:rPr>
        <w:t xml:space="preserve"> etc.</w:t>
      </w:r>
      <w:bookmarkEnd w:id="986"/>
      <w:bookmarkEnd w:id="987"/>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989" w:name="_Toc276038809"/>
      <w:bookmarkStart w:id="990" w:name="_Toc210120055"/>
      <w:r>
        <w:rPr>
          <w:rStyle w:val="CharSectno"/>
        </w:rPr>
        <w:t>85</w:t>
      </w:r>
      <w:r>
        <w:rPr>
          <w:snapToGrid w:val="0"/>
        </w:rPr>
        <w:t>.</w:t>
      </w:r>
      <w:r>
        <w:rPr>
          <w:snapToGrid w:val="0"/>
        </w:rPr>
        <w:tab/>
        <w:t>Power of local government to recover expenses of damage caused by heavy or extraordinary traffic</w:t>
      </w:r>
      <w:bookmarkEnd w:id="989"/>
      <w:bookmarkEnd w:id="990"/>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991" w:name="_Toc276038810"/>
      <w:bookmarkStart w:id="992" w:name="_Toc210120056"/>
      <w:r>
        <w:rPr>
          <w:rStyle w:val="CharSectno"/>
        </w:rPr>
        <w:t>86</w:t>
      </w:r>
      <w:r>
        <w:rPr>
          <w:snapToGrid w:val="0"/>
        </w:rPr>
        <w:t>.</w:t>
      </w:r>
      <w:r>
        <w:rPr>
          <w:snapToGrid w:val="0"/>
        </w:rPr>
        <w:tab/>
        <w:t>No unauthorised parking in certain areas</w:t>
      </w:r>
      <w:bookmarkEnd w:id="991"/>
      <w:bookmarkEnd w:id="992"/>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993" w:name="_Toc276038811"/>
      <w:bookmarkStart w:id="994" w:name="_Toc210120057"/>
      <w:r>
        <w:rPr>
          <w:rStyle w:val="CharSectno"/>
        </w:rPr>
        <w:t>86A</w:t>
      </w:r>
      <w:r>
        <w:rPr>
          <w:snapToGrid w:val="0"/>
        </w:rPr>
        <w:t>.</w:t>
      </w:r>
      <w:r>
        <w:rPr>
          <w:snapToGrid w:val="0"/>
        </w:rPr>
        <w:tab/>
        <w:t>Member of Police Force or warden may drive a vehicle used in an offence</w:t>
      </w:r>
      <w:bookmarkEnd w:id="993"/>
      <w:bookmarkEnd w:id="994"/>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995" w:name="_Toc276038812"/>
      <w:bookmarkStart w:id="996" w:name="_Toc210120058"/>
      <w:r>
        <w:rPr>
          <w:rStyle w:val="CharSectno"/>
        </w:rPr>
        <w:t>87</w:t>
      </w:r>
      <w:r>
        <w:rPr>
          <w:snapToGrid w:val="0"/>
        </w:rPr>
        <w:t>.</w:t>
      </w:r>
      <w:r>
        <w:rPr>
          <w:snapToGrid w:val="0"/>
        </w:rPr>
        <w:tab/>
        <w:t>Confusing lights affecting traffic on roads</w:t>
      </w:r>
      <w:bookmarkEnd w:id="995"/>
      <w:bookmarkEnd w:id="996"/>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r>
        <w:t>[</w:t>
      </w:r>
      <w:r>
        <w:rPr>
          <w:b/>
        </w:rPr>
        <w:t>89.</w:t>
      </w:r>
      <w:r>
        <w:tab/>
        <w:t>Repealed by No. 70 of 2004 s. 82.]</w:t>
      </w:r>
    </w:p>
    <w:p>
      <w:pPr>
        <w:pStyle w:val="Heading5"/>
        <w:rPr>
          <w:snapToGrid w:val="0"/>
        </w:rPr>
      </w:pPr>
      <w:bookmarkStart w:id="997" w:name="_Toc276038813"/>
      <w:bookmarkStart w:id="998" w:name="_Toc210120059"/>
      <w:r>
        <w:rPr>
          <w:rStyle w:val="CharSectno"/>
        </w:rPr>
        <w:t>90</w:t>
      </w:r>
      <w:r>
        <w:rPr>
          <w:snapToGrid w:val="0"/>
        </w:rPr>
        <w:t>.</w:t>
      </w:r>
      <w:r>
        <w:rPr>
          <w:snapToGrid w:val="0"/>
        </w:rPr>
        <w:tab/>
        <w:t>Unlawful interference with mechanism of motor vehicles</w:t>
      </w:r>
      <w:bookmarkEnd w:id="997"/>
      <w:bookmarkEnd w:id="998"/>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999" w:name="_Toc276038814"/>
      <w:bookmarkStart w:id="1000" w:name="_Toc210120060"/>
      <w:r>
        <w:rPr>
          <w:rStyle w:val="CharSectno"/>
        </w:rPr>
        <w:t>92</w:t>
      </w:r>
      <w:r>
        <w:rPr>
          <w:snapToGrid w:val="0"/>
        </w:rPr>
        <w:t>.</w:t>
      </w:r>
      <w:r>
        <w:rPr>
          <w:snapToGrid w:val="0"/>
        </w:rPr>
        <w:tab/>
        <w:t>Roads may be closed</w:t>
      </w:r>
      <w:bookmarkEnd w:id="999"/>
      <w:bookmarkEnd w:id="1000"/>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1001" w:name="_Toc276038815"/>
      <w:bookmarkStart w:id="1002" w:name="_Toc210120061"/>
      <w:r>
        <w:rPr>
          <w:rStyle w:val="CharSectno"/>
        </w:rPr>
        <w:t>93</w:t>
      </w:r>
      <w:r>
        <w:rPr>
          <w:snapToGrid w:val="0"/>
        </w:rPr>
        <w:t>.</w:t>
      </w:r>
      <w:r>
        <w:rPr>
          <w:snapToGrid w:val="0"/>
        </w:rPr>
        <w:tab/>
        <w:t>Production of licences at hearings</w:t>
      </w:r>
      <w:bookmarkEnd w:id="1001"/>
      <w:bookmarkEnd w:id="1002"/>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1003" w:name="_Toc276038816"/>
      <w:bookmarkStart w:id="1004" w:name="_Toc210120062"/>
      <w:r>
        <w:rPr>
          <w:rStyle w:val="CharSectno"/>
        </w:rPr>
        <w:t>97</w:t>
      </w:r>
      <w:r>
        <w:rPr>
          <w:snapToGrid w:val="0"/>
        </w:rPr>
        <w:t>.</w:t>
      </w:r>
      <w:r>
        <w:rPr>
          <w:snapToGrid w:val="0"/>
        </w:rPr>
        <w:tab/>
        <w:t>Offences</w:t>
      </w:r>
      <w:bookmarkEnd w:id="1003"/>
      <w:bookmarkEnd w:id="1004"/>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1005" w:name="_Toc276038817"/>
      <w:bookmarkStart w:id="1006" w:name="_Toc210120063"/>
      <w:r>
        <w:rPr>
          <w:rStyle w:val="CharSectno"/>
        </w:rPr>
        <w:t>98</w:t>
      </w:r>
      <w:r>
        <w:rPr>
          <w:snapToGrid w:val="0"/>
        </w:rPr>
        <w:t>.</w:t>
      </w:r>
      <w:r>
        <w:rPr>
          <w:snapToGrid w:val="0"/>
        </w:rPr>
        <w:tab/>
        <w:t>Proof of certain matters</w:t>
      </w:r>
      <w:bookmarkEnd w:id="1005"/>
      <w:bookmarkEnd w:id="1006"/>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spacing w:before="120"/>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spacing w:before="120"/>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spacing w:before="60"/>
        <w:rPr>
          <w:snapToGrid w:val="0"/>
        </w:rPr>
      </w:pPr>
      <w:r>
        <w:rPr>
          <w:snapToGrid w:val="0"/>
        </w:rPr>
        <w:tab/>
        <w:t>(a)</w:t>
      </w:r>
      <w:r>
        <w:rPr>
          <w:snapToGrid w:val="0"/>
        </w:rPr>
        <w:tab/>
        <w:t>that on any date or during any period —</w:t>
      </w:r>
    </w:p>
    <w:p>
      <w:pPr>
        <w:pStyle w:val="Indenti"/>
        <w:spacing w:before="60"/>
        <w:rPr>
          <w:snapToGrid w:val="0"/>
        </w:rPr>
      </w:pPr>
      <w:r>
        <w:rPr>
          <w:snapToGrid w:val="0"/>
        </w:rPr>
        <w:tab/>
        <w:t>(i)</w:t>
      </w:r>
      <w:r>
        <w:rPr>
          <w:snapToGrid w:val="0"/>
        </w:rPr>
        <w:tab/>
        <w:t>a vehicle was registered; or</w:t>
      </w:r>
    </w:p>
    <w:p>
      <w:pPr>
        <w:pStyle w:val="Indenti"/>
        <w:keepNext/>
        <w:keepLines/>
        <w:spacing w:before="60"/>
        <w:rPr>
          <w:snapToGrid w:val="0"/>
        </w:rPr>
      </w:pPr>
      <w:r>
        <w:rPr>
          <w:snapToGrid w:val="0"/>
        </w:rPr>
        <w:tab/>
        <w:t>(ii)</w:t>
      </w:r>
      <w:r>
        <w:rPr>
          <w:snapToGrid w:val="0"/>
        </w:rPr>
        <w:tab/>
        <w:t>a vehicle was not registered,</w:t>
      </w:r>
    </w:p>
    <w:p>
      <w:pPr>
        <w:pStyle w:val="Indenta"/>
        <w:spacing w:before="60"/>
        <w:rPr>
          <w:snapToGrid w:val="0"/>
        </w:rPr>
      </w:pPr>
      <w:r>
        <w:rPr>
          <w:snapToGrid w:val="0"/>
        </w:rPr>
        <w:tab/>
      </w:r>
      <w:r>
        <w:rPr>
          <w:snapToGrid w:val="0"/>
        </w:rPr>
        <w:tab/>
        <w:t>under this Act in the name of any person specified in the certificate; or</w:t>
      </w:r>
    </w:p>
    <w:p>
      <w:pPr>
        <w:pStyle w:val="Indenta"/>
        <w:spacing w:before="60"/>
        <w:rPr>
          <w:snapToGrid w:val="0"/>
        </w:rPr>
      </w:pPr>
      <w:r>
        <w:rPr>
          <w:snapToGrid w:val="0"/>
        </w:rPr>
        <w:tab/>
        <w:t>(b)</w:t>
      </w:r>
      <w:r>
        <w:rPr>
          <w:snapToGrid w:val="0"/>
        </w:rPr>
        <w:tab/>
        <w:t>that as at any date or during any period a person specified in the certificate was —</w:t>
      </w:r>
    </w:p>
    <w:p>
      <w:pPr>
        <w:pStyle w:val="Indenti"/>
        <w:spacing w:before="60"/>
        <w:rPr>
          <w:snapToGrid w:val="0"/>
        </w:rPr>
      </w:pPr>
      <w:r>
        <w:rPr>
          <w:snapToGrid w:val="0"/>
        </w:rPr>
        <w:tab/>
        <w:t>(i)</w:t>
      </w:r>
      <w:r>
        <w:rPr>
          <w:snapToGrid w:val="0"/>
        </w:rPr>
        <w:tab/>
        <w:t>registered as the holder of a vehicle licence under this Act in respect of; or</w:t>
      </w:r>
    </w:p>
    <w:p>
      <w:pPr>
        <w:pStyle w:val="Indenti"/>
        <w:spacing w:before="60"/>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1007" w:name="_Toc276038818"/>
      <w:bookmarkStart w:id="1008" w:name="_Toc210120064"/>
      <w:r>
        <w:rPr>
          <w:rStyle w:val="CharSectno"/>
        </w:rPr>
        <w:t>98A</w:t>
      </w:r>
      <w:r>
        <w:rPr>
          <w:snapToGrid w:val="0"/>
        </w:rPr>
        <w:t>.</w:t>
      </w:r>
      <w:r>
        <w:rPr>
          <w:snapToGrid w:val="0"/>
        </w:rPr>
        <w:tab/>
        <w:t>Certain measuring equipment</w:t>
      </w:r>
      <w:bookmarkEnd w:id="1007"/>
      <w:bookmarkEnd w:id="1008"/>
    </w:p>
    <w:p>
      <w:pPr>
        <w:pStyle w:val="Subsection"/>
        <w:rPr>
          <w:snapToGrid w:val="0"/>
        </w:rPr>
      </w:pPr>
      <w:r>
        <w:rPr>
          <w:snapToGrid w:val="0"/>
        </w:rPr>
        <w:tab/>
        <w:t>(1)</w:t>
      </w:r>
      <w:r>
        <w:rPr>
          <w:snapToGrid w:val="0"/>
        </w:rPr>
        <w:tab/>
        <w:t>In this section —</w:t>
      </w:r>
    </w:p>
    <w:p>
      <w:pPr>
        <w:pStyle w:val="Defstart"/>
        <w:spacing w:before="100"/>
      </w:pPr>
      <w:r>
        <w:rPr>
          <w:b/>
        </w:rPr>
        <w:tab/>
      </w:r>
      <w:r>
        <w:rPr>
          <w:rStyle w:val="CharDefText"/>
        </w:rPr>
        <w:t>authorised person</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r>
      <w:r>
        <w:rPr>
          <w:rStyle w:val="CharDefText"/>
        </w:rPr>
        <w:t>distance measuring equipment</w:t>
      </w:r>
      <w:r>
        <w:t xml:space="preserve"> means apparatus of a type approved by the Minister pursuant to subsection (2a);</w:t>
      </w:r>
    </w:p>
    <w:p>
      <w:pPr>
        <w:pStyle w:val="Defstart"/>
        <w:spacing w:before="100"/>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1009" w:name="_Toc276038819"/>
      <w:bookmarkStart w:id="1010" w:name="_Toc210120065"/>
      <w:r>
        <w:rPr>
          <w:rStyle w:val="CharSectno"/>
        </w:rPr>
        <w:t>99</w:t>
      </w:r>
      <w:r>
        <w:rPr>
          <w:snapToGrid w:val="0"/>
        </w:rPr>
        <w:t>.</w:t>
      </w:r>
      <w:r>
        <w:rPr>
          <w:snapToGrid w:val="0"/>
        </w:rPr>
        <w:tab/>
        <w:t>Savings</w:t>
      </w:r>
      <w:bookmarkEnd w:id="1009"/>
      <w:bookmarkEnd w:id="1010"/>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011" w:name="_Toc276038820"/>
      <w:bookmarkStart w:id="1012" w:name="_Toc210120066"/>
      <w:r>
        <w:rPr>
          <w:rStyle w:val="CharSectno"/>
        </w:rPr>
        <w:t>100</w:t>
      </w:r>
      <w:r>
        <w:rPr>
          <w:snapToGrid w:val="0"/>
        </w:rPr>
        <w:t>.</w:t>
      </w:r>
      <w:r>
        <w:rPr>
          <w:snapToGrid w:val="0"/>
        </w:rPr>
        <w:tab/>
        <w:t>Application of Act to Crown and local governments</w:t>
      </w:r>
      <w:bookmarkEnd w:id="1011"/>
      <w:bookmarkEnd w:id="1012"/>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spacing w:before="120"/>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w:t>
      </w:r>
    </w:p>
    <w:p>
      <w:pPr>
        <w:pStyle w:val="Heading5"/>
        <w:spacing w:before="180"/>
        <w:rPr>
          <w:snapToGrid w:val="0"/>
        </w:rPr>
      </w:pPr>
      <w:bookmarkStart w:id="1013" w:name="_Toc276038821"/>
      <w:bookmarkStart w:id="1014" w:name="_Toc210120067"/>
      <w:r>
        <w:rPr>
          <w:rStyle w:val="CharSectno"/>
        </w:rPr>
        <w:t>101</w:t>
      </w:r>
      <w:r>
        <w:rPr>
          <w:snapToGrid w:val="0"/>
        </w:rPr>
        <w:t>.</w:t>
      </w:r>
      <w:r>
        <w:rPr>
          <w:snapToGrid w:val="0"/>
        </w:rPr>
        <w:tab/>
        <w:t>Protection of Minister, the Director General and officers</w:t>
      </w:r>
      <w:bookmarkEnd w:id="1013"/>
      <w:bookmarkEnd w:id="1014"/>
    </w:p>
    <w:p>
      <w:pPr>
        <w:pStyle w:val="Subsection"/>
        <w:spacing w:before="120"/>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spacing w:before="120"/>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spacing w:before="120"/>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015" w:name="_Toc276038822"/>
      <w:bookmarkStart w:id="1016" w:name="_Toc210120068"/>
      <w:r>
        <w:rPr>
          <w:rStyle w:val="CharSectno"/>
        </w:rPr>
        <w:t>101A</w:t>
      </w:r>
      <w:r>
        <w:t>.</w:t>
      </w:r>
      <w:r>
        <w:tab/>
        <w:t>Protection of people testing or examining or giving certain information</w:t>
      </w:r>
      <w:bookmarkEnd w:id="1015"/>
      <w:bookmarkEnd w:id="1016"/>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1017" w:name="_Toc276038823"/>
      <w:bookmarkStart w:id="1018" w:name="_Toc210120069"/>
      <w:r>
        <w:rPr>
          <w:rStyle w:val="CharSectno"/>
        </w:rPr>
        <w:t>102</w:t>
      </w:r>
      <w:r>
        <w:rPr>
          <w:snapToGrid w:val="0"/>
        </w:rPr>
        <w:t>.</w:t>
      </w:r>
      <w:r>
        <w:rPr>
          <w:snapToGrid w:val="0"/>
        </w:rPr>
        <w:tab/>
        <w:t>Traffic infringement notices</w:t>
      </w:r>
      <w:bookmarkEnd w:id="1017"/>
      <w:bookmarkEnd w:id="1018"/>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rStyle w:val="CharDefText"/>
          <w:spacing w:val="-4"/>
        </w:rPr>
        <w:t>alleged offender</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 52.]</w:t>
      </w:r>
    </w:p>
    <w:p>
      <w:pPr>
        <w:pStyle w:val="Heading5"/>
      </w:pPr>
      <w:bookmarkStart w:id="1019" w:name="_Toc276038824"/>
      <w:bookmarkStart w:id="1020" w:name="_Toc210120070"/>
      <w:r>
        <w:rPr>
          <w:rStyle w:val="CharSectno"/>
        </w:rPr>
        <w:t>102A</w:t>
      </w:r>
      <w:r>
        <w:t>.</w:t>
      </w:r>
      <w:r>
        <w:tab/>
        <w:t>Traffic infringement notices left on vehicles</w:t>
      </w:r>
      <w:bookmarkEnd w:id="1019"/>
      <w:bookmarkEnd w:id="1020"/>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1021" w:name="_Toc276038825"/>
      <w:bookmarkStart w:id="1022" w:name="_Toc210120071"/>
      <w:r>
        <w:rPr>
          <w:rStyle w:val="CharSectno"/>
        </w:rPr>
        <w:t>102B</w:t>
      </w:r>
      <w:r>
        <w:t>.</w:t>
      </w:r>
      <w:r>
        <w:tab/>
        <w:t>Traffic infringement notices issued on photographic evidence</w:t>
      </w:r>
      <w:bookmarkEnd w:id="1021"/>
      <w:bookmarkEnd w:id="102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spacing w:before="200"/>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1023" w:name="_Toc276038826"/>
      <w:bookmarkStart w:id="1024" w:name="_Toc210120072"/>
      <w:r>
        <w:rPr>
          <w:rStyle w:val="CharSectno"/>
        </w:rPr>
        <w:t>102C</w:t>
      </w:r>
      <w:r>
        <w:t>.</w:t>
      </w:r>
      <w:r>
        <w:tab/>
        <w:t>Notices requesting information</w:t>
      </w:r>
      <w:bookmarkEnd w:id="1023"/>
      <w:bookmarkEnd w:id="1024"/>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w:t>
      </w:r>
      <w:del w:id="1025" w:author="svcMRProcess" w:date="2018-09-08T08:22:00Z">
        <w:r>
          <w:delText xml:space="preserve"> </w:delText>
        </w:r>
      </w:del>
      <w:ins w:id="1026" w:author="svcMRProcess" w:date="2018-09-08T08:22:00Z">
        <w:r>
          <w:t> </w:t>
        </w:r>
      </w:ins>
      <w:r>
        <w:t>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w:t>
      </w:r>
      <w:del w:id="1027" w:author="svcMRProcess" w:date="2018-09-08T08:22:00Z">
        <w:r>
          <w:rPr>
            <w:snapToGrid w:val="0"/>
          </w:rPr>
          <w:delText xml:space="preserve"> </w:delText>
        </w:r>
      </w:del>
      <w:ins w:id="1028" w:author="svcMRProcess" w:date="2018-09-08T08:22:00Z">
        <w:r>
          <w:rPr>
            <w:snapToGrid w:val="0"/>
          </w:rPr>
          <w:t> </w:t>
        </w:r>
      </w:ins>
      <w:r>
        <w:rPr>
          <w:snapToGrid w:val="0"/>
        </w:rPr>
        <w:t>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1029" w:name="_Toc276038827"/>
      <w:bookmarkStart w:id="1030" w:name="_Toc210120073"/>
      <w:r>
        <w:rPr>
          <w:rStyle w:val="CharSectno"/>
        </w:rPr>
        <w:t>102D</w:t>
      </w:r>
      <w:r>
        <w:t>.</w:t>
      </w:r>
      <w:r>
        <w:tab/>
        <w:t>Notice under section 102C may become a traffic infringement notice</w:t>
      </w:r>
      <w:bookmarkEnd w:id="1029"/>
      <w:bookmarkEnd w:id="1030"/>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xml:space="preserve">) is an amount of double the penalty prescribed under section 102(1) for the offence described in the notice under </w:t>
      </w:r>
      <w:del w:id="1031" w:author="svcMRProcess" w:date="2018-09-08T08:22:00Z">
        <w:r>
          <w:delText>subsection</w:delText>
        </w:r>
      </w:del>
      <w:ins w:id="1032" w:author="svcMRProcess" w:date="2018-09-08T08:22:00Z">
        <w:r>
          <w:t>section</w:t>
        </w:r>
      </w:ins>
      <w:r>
        <w:t xml:space="preserve">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Repealed by No. 54 of 2006 s. 29.]</w:t>
      </w:r>
    </w:p>
    <w:p>
      <w:pPr>
        <w:pStyle w:val="Ednotesection"/>
      </w:pPr>
      <w:r>
        <w:t>[</w:t>
      </w:r>
      <w:r>
        <w:rPr>
          <w:b/>
          <w:bCs/>
        </w:rPr>
        <w:t>103A, 103B.</w:t>
      </w:r>
      <w:r>
        <w:rPr>
          <w:b/>
          <w:bCs/>
        </w:rPr>
        <w:tab/>
      </w:r>
      <w:r>
        <w:t>Repealed by No. 54 of 2006 s. 30.]</w:t>
      </w:r>
    </w:p>
    <w:p>
      <w:pPr>
        <w:pStyle w:val="Heading2"/>
      </w:pPr>
      <w:bookmarkStart w:id="1033" w:name="_Toc87322"/>
      <w:bookmarkStart w:id="1034" w:name="_Toc107717824"/>
      <w:bookmarkStart w:id="1035" w:name="_Toc107717935"/>
      <w:bookmarkStart w:id="1036" w:name="_Toc107718046"/>
      <w:bookmarkStart w:id="1037" w:name="_Toc107718160"/>
      <w:bookmarkStart w:id="1038" w:name="_Toc107718271"/>
      <w:bookmarkStart w:id="1039" w:name="_Toc107718382"/>
      <w:bookmarkStart w:id="1040" w:name="_Toc107718493"/>
      <w:bookmarkStart w:id="1041" w:name="_Toc107718604"/>
      <w:bookmarkStart w:id="1042" w:name="_Toc107718292"/>
      <w:bookmarkStart w:id="1043" w:name="_Toc107718426"/>
      <w:bookmarkStart w:id="1044" w:name="_Toc107718561"/>
      <w:bookmarkStart w:id="1045" w:name="_Toc107718685"/>
      <w:bookmarkStart w:id="1046" w:name="_Toc107719743"/>
      <w:bookmarkStart w:id="1047" w:name="_Toc107724203"/>
      <w:bookmarkStart w:id="1048" w:name="_Toc107728298"/>
      <w:bookmarkStart w:id="1049" w:name="_Toc107732869"/>
      <w:bookmarkStart w:id="1050" w:name="_Toc149442112"/>
      <w:bookmarkStart w:id="1051" w:name="_Toc152558657"/>
      <w:bookmarkStart w:id="1052" w:name="_Toc201980326"/>
      <w:bookmarkStart w:id="1053" w:name="_Toc202335496"/>
      <w:bookmarkStart w:id="1054" w:name="_Toc202770320"/>
      <w:bookmarkStart w:id="1055" w:name="_Toc203541531"/>
      <w:bookmarkStart w:id="1056" w:name="_Toc204067607"/>
      <w:bookmarkStart w:id="1057" w:name="_Toc204072729"/>
      <w:bookmarkStart w:id="1058" w:name="_Toc205285031"/>
      <w:bookmarkStart w:id="1059" w:name="_Toc207510252"/>
      <w:bookmarkStart w:id="1060" w:name="_Toc207675659"/>
      <w:bookmarkStart w:id="1061" w:name="_Toc207685209"/>
      <w:bookmarkStart w:id="1062" w:name="_Toc208979063"/>
      <w:bookmarkStart w:id="1063" w:name="_Toc208979377"/>
      <w:bookmarkStart w:id="1064" w:name="_Toc209246553"/>
      <w:bookmarkStart w:id="1065" w:name="_Toc211654573"/>
      <w:bookmarkStart w:id="1066" w:name="_Toc276038828"/>
      <w:bookmarkStart w:id="1067" w:name="_Toc210120074"/>
      <w:bookmarkStart w:id="1068" w:name="_Toc201457654"/>
      <w:r>
        <w:rPr>
          <w:rStyle w:val="CharPartNo"/>
        </w:rPr>
        <w:t>Part VIA</w:t>
      </w:r>
      <w:r>
        <w:t xml:space="preserve"> — </w:t>
      </w:r>
      <w:r>
        <w:rPr>
          <w:rStyle w:val="CharPartText"/>
        </w:rPr>
        <w:t>Demerit points</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Footnoteheading"/>
      </w:pPr>
      <w:bookmarkStart w:id="1069" w:name="_Toc87323"/>
      <w:bookmarkStart w:id="1070" w:name="_Toc107717496"/>
      <w:bookmarkStart w:id="1071" w:name="_Toc107717605"/>
      <w:bookmarkStart w:id="1072" w:name="_Toc107717714"/>
      <w:bookmarkStart w:id="1073" w:name="_Toc107717825"/>
      <w:bookmarkStart w:id="1074" w:name="_Toc107717936"/>
      <w:bookmarkStart w:id="1075" w:name="_Toc107718047"/>
      <w:bookmarkStart w:id="1076" w:name="_Toc107718161"/>
      <w:bookmarkStart w:id="1077" w:name="_Toc107718272"/>
      <w:bookmarkStart w:id="1078" w:name="_Toc107718383"/>
      <w:bookmarkStart w:id="1079" w:name="_Toc107718494"/>
      <w:bookmarkStart w:id="1080" w:name="_Toc107718605"/>
      <w:bookmarkStart w:id="1081" w:name="_Toc107718293"/>
      <w:bookmarkStart w:id="1082" w:name="_Toc107718428"/>
      <w:bookmarkStart w:id="1083" w:name="_Toc107718563"/>
      <w:bookmarkStart w:id="1084" w:name="_Toc107718686"/>
      <w:bookmarkStart w:id="1085" w:name="_Toc107719744"/>
      <w:bookmarkStart w:id="1086" w:name="_Toc107724204"/>
      <w:bookmarkStart w:id="1087" w:name="_Toc107728299"/>
      <w:bookmarkStart w:id="1088" w:name="_Toc107732870"/>
      <w:bookmarkStart w:id="1089" w:name="_Toc149442113"/>
      <w:bookmarkStart w:id="1090" w:name="_Toc152558658"/>
      <w:bookmarkStart w:id="1091" w:name="_Toc201980327"/>
      <w:r>
        <w:tab/>
        <w:t>[Heading inserted by No. 54 of 2006 s. 31.]</w:t>
      </w:r>
    </w:p>
    <w:p>
      <w:pPr>
        <w:pStyle w:val="Heading3"/>
      </w:pPr>
      <w:bookmarkStart w:id="1092" w:name="_Toc202335497"/>
      <w:bookmarkStart w:id="1093" w:name="_Toc202770321"/>
      <w:bookmarkStart w:id="1094" w:name="_Toc203541532"/>
      <w:bookmarkStart w:id="1095" w:name="_Toc204067608"/>
      <w:bookmarkStart w:id="1096" w:name="_Toc204072730"/>
      <w:bookmarkStart w:id="1097" w:name="_Toc205285032"/>
      <w:bookmarkStart w:id="1098" w:name="_Toc207510253"/>
      <w:bookmarkStart w:id="1099" w:name="_Toc207675660"/>
      <w:bookmarkStart w:id="1100" w:name="_Toc207685210"/>
      <w:bookmarkStart w:id="1101" w:name="_Toc208979064"/>
      <w:bookmarkStart w:id="1102" w:name="_Toc208979378"/>
      <w:bookmarkStart w:id="1103" w:name="_Toc209246554"/>
      <w:bookmarkStart w:id="1104" w:name="_Toc211654574"/>
      <w:bookmarkStart w:id="1105" w:name="_Toc276038829"/>
      <w:bookmarkStart w:id="1106" w:name="_Toc210120075"/>
      <w:r>
        <w:rPr>
          <w:rStyle w:val="CharDivNo"/>
        </w:rPr>
        <w:t>Division 1</w:t>
      </w:r>
      <w:r>
        <w:t xml:space="preserve"> — </w:t>
      </w:r>
      <w:r>
        <w:rPr>
          <w:rStyle w:val="CharDivText"/>
        </w:rPr>
        <w:t>Preliminary</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pPr>
        <w:pStyle w:val="Footnoteheading"/>
      </w:pPr>
      <w:bookmarkStart w:id="1107" w:name="_Toc87324"/>
      <w:bookmarkStart w:id="1108" w:name="_Toc149442114"/>
      <w:bookmarkStart w:id="1109" w:name="_Toc152558659"/>
      <w:bookmarkStart w:id="1110" w:name="_Toc201980328"/>
      <w:r>
        <w:tab/>
        <w:t>[Heading inserted by No. 54 of 2006 s. 31.]</w:t>
      </w:r>
    </w:p>
    <w:p>
      <w:pPr>
        <w:pStyle w:val="Heading5"/>
      </w:pPr>
      <w:bookmarkStart w:id="1111" w:name="_Toc210120076"/>
      <w:bookmarkStart w:id="1112" w:name="_Toc276038830"/>
      <w:r>
        <w:rPr>
          <w:rStyle w:val="CharSectno"/>
        </w:rPr>
        <w:t>104</w:t>
      </w:r>
      <w:r>
        <w:t>.</w:t>
      </w:r>
      <w:r>
        <w:tab/>
      </w:r>
      <w:bookmarkEnd w:id="1107"/>
      <w:bookmarkEnd w:id="1108"/>
      <w:bookmarkEnd w:id="1109"/>
      <w:bookmarkEnd w:id="1110"/>
      <w:del w:id="1113" w:author="svcMRProcess" w:date="2018-09-08T08:22:00Z">
        <w:r>
          <w:delText>Definitions</w:delText>
        </w:r>
      </w:del>
      <w:bookmarkEnd w:id="1111"/>
      <w:ins w:id="1114" w:author="svcMRProcess" w:date="2018-09-08T08:22:00Z">
        <w:r>
          <w:t>Terms used in this Part</w:t>
        </w:r>
      </w:ins>
      <w:bookmarkEnd w:id="1112"/>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115" w:name="_Toc87325"/>
      <w:bookmarkStart w:id="1116" w:name="_Toc149442115"/>
      <w:bookmarkStart w:id="1117" w:name="_Toc152558660"/>
      <w:bookmarkStart w:id="1118" w:name="_Toc201980329"/>
      <w:bookmarkStart w:id="1119" w:name="_Toc276038831"/>
      <w:bookmarkStart w:id="1120" w:name="_Toc210120077"/>
      <w:r>
        <w:rPr>
          <w:rStyle w:val="CharSectno"/>
        </w:rPr>
        <w:t>104A</w:t>
      </w:r>
      <w:r>
        <w:t>.</w:t>
      </w:r>
      <w:r>
        <w:tab/>
        <w:t>Demerit point offences in WA</w:t>
      </w:r>
      <w:bookmarkEnd w:id="1115"/>
      <w:bookmarkEnd w:id="1116"/>
      <w:bookmarkEnd w:id="1117"/>
      <w:bookmarkEnd w:id="1118"/>
      <w:bookmarkEnd w:id="1119"/>
      <w:bookmarkEnd w:id="1120"/>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121" w:name="_Toc87326"/>
      <w:bookmarkStart w:id="1122" w:name="_Toc149442116"/>
      <w:bookmarkStart w:id="1123" w:name="_Toc152558661"/>
      <w:bookmarkStart w:id="1124" w:name="_Toc201980330"/>
      <w:r>
        <w:tab/>
        <w:t>[Section 104A inserted by No. 54 of 2006 s. 31.]</w:t>
      </w:r>
    </w:p>
    <w:p>
      <w:pPr>
        <w:pStyle w:val="Heading5"/>
      </w:pPr>
      <w:bookmarkStart w:id="1125" w:name="_Toc276038832"/>
      <w:bookmarkStart w:id="1126" w:name="_Toc210120078"/>
      <w:r>
        <w:rPr>
          <w:rStyle w:val="CharSectno"/>
        </w:rPr>
        <w:t>104B</w:t>
      </w:r>
      <w:r>
        <w:t>.</w:t>
      </w:r>
      <w:r>
        <w:tab/>
        <w:t>National demerit point offence schedule</w:t>
      </w:r>
      <w:bookmarkEnd w:id="1121"/>
      <w:bookmarkEnd w:id="1122"/>
      <w:bookmarkEnd w:id="1123"/>
      <w:bookmarkEnd w:id="1124"/>
      <w:bookmarkEnd w:id="1125"/>
      <w:bookmarkEnd w:id="1126"/>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127" w:name="_Hlt536269265"/>
      <w:bookmarkEnd w:id="1127"/>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128" w:name="_Toc87327"/>
      <w:bookmarkStart w:id="1129" w:name="_Toc149442117"/>
      <w:bookmarkStart w:id="1130" w:name="_Toc152558662"/>
      <w:bookmarkStart w:id="1131" w:name="_Toc201980331"/>
      <w:r>
        <w:tab/>
        <w:t>[Section 104B inserted by No. 54 of 2006 s. 31.]</w:t>
      </w:r>
    </w:p>
    <w:p>
      <w:pPr>
        <w:pStyle w:val="Heading5"/>
      </w:pPr>
      <w:bookmarkStart w:id="1132" w:name="_Toc276038833"/>
      <w:bookmarkStart w:id="1133" w:name="_Toc210120079"/>
      <w:r>
        <w:rPr>
          <w:rStyle w:val="CharSectno"/>
        </w:rPr>
        <w:t>104C</w:t>
      </w:r>
      <w:r>
        <w:t>.</w:t>
      </w:r>
      <w:r>
        <w:tab/>
        <w:t>Demerit point registry jurisdiction</w:t>
      </w:r>
      <w:bookmarkEnd w:id="1128"/>
      <w:bookmarkEnd w:id="1129"/>
      <w:bookmarkEnd w:id="1130"/>
      <w:bookmarkEnd w:id="1131"/>
      <w:bookmarkEnd w:id="1132"/>
      <w:bookmarkEnd w:id="1133"/>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134" w:name="_Hlt536352554"/>
      <w:bookmarkStart w:id="1135" w:name="_Toc87328"/>
      <w:bookmarkStart w:id="1136" w:name="_Toc107717501"/>
      <w:bookmarkStart w:id="1137" w:name="_Toc107717610"/>
      <w:bookmarkStart w:id="1138" w:name="_Toc107717719"/>
      <w:bookmarkStart w:id="1139" w:name="_Toc107717830"/>
      <w:bookmarkStart w:id="1140" w:name="_Toc107717941"/>
      <w:bookmarkStart w:id="1141" w:name="_Toc107718052"/>
      <w:bookmarkStart w:id="1142" w:name="_Toc107718166"/>
      <w:bookmarkStart w:id="1143" w:name="_Toc107718277"/>
      <w:bookmarkStart w:id="1144" w:name="_Toc107718388"/>
      <w:bookmarkStart w:id="1145" w:name="_Toc107718499"/>
      <w:bookmarkStart w:id="1146" w:name="_Toc107718610"/>
      <w:bookmarkStart w:id="1147" w:name="_Toc107718298"/>
      <w:bookmarkStart w:id="1148" w:name="_Toc107718434"/>
      <w:bookmarkStart w:id="1149" w:name="_Toc107718569"/>
      <w:bookmarkStart w:id="1150" w:name="_Toc107718691"/>
      <w:bookmarkStart w:id="1151" w:name="_Toc107719749"/>
      <w:bookmarkStart w:id="1152" w:name="_Toc107724209"/>
      <w:bookmarkStart w:id="1153" w:name="_Toc107728304"/>
      <w:bookmarkStart w:id="1154" w:name="_Toc107732875"/>
      <w:bookmarkStart w:id="1155" w:name="_Toc149442118"/>
      <w:bookmarkStart w:id="1156" w:name="_Toc152558663"/>
      <w:bookmarkStart w:id="1157" w:name="_Toc201980332"/>
      <w:bookmarkEnd w:id="1134"/>
      <w:r>
        <w:tab/>
        <w:t>[Section 104C inserted by No. 54 of 2006 s. 31.]</w:t>
      </w:r>
    </w:p>
    <w:p>
      <w:pPr>
        <w:pStyle w:val="Heading3"/>
      </w:pPr>
      <w:bookmarkStart w:id="1158" w:name="_Toc202335502"/>
      <w:bookmarkStart w:id="1159" w:name="_Toc202770326"/>
      <w:bookmarkStart w:id="1160" w:name="_Toc203541537"/>
      <w:bookmarkStart w:id="1161" w:name="_Toc204067613"/>
      <w:bookmarkStart w:id="1162" w:name="_Toc204072735"/>
      <w:bookmarkStart w:id="1163" w:name="_Toc205285037"/>
      <w:bookmarkStart w:id="1164" w:name="_Toc207510258"/>
      <w:bookmarkStart w:id="1165" w:name="_Toc207675665"/>
      <w:bookmarkStart w:id="1166" w:name="_Toc207685215"/>
      <w:bookmarkStart w:id="1167" w:name="_Toc208979069"/>
      <w:bookmarkStart w:id="1168" w:name="_Toc208979383"/>
      <w:bookmarkStart w:id="1169" w:name="_Toc209246559"/>
      <w:bookmarkStart w:id="1170" w:name="_Toc211654579"/>
      <w:bookmarkStart w:id="1171" w:name="_Toc276038834"/>
      <w:bookmarkStart w:id="1172" w:name="_Toc210120080"/>
      <w:r>
        <w:rPr>
          <w:rStyle w:val="CharDivNo"/>
        </w:rPr>
        <w:t>Division 2</w:t>
      </w:r>
      <w:r>
        <w:t xml:space="preserve"> — </w:t>
      </w:r>
      <w:r>
        <w:rPr>
          <w:rStyle w:val="CharDivText"/>
        </w:rPr>
        <w:t>Incurring demerit points</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Footnoteheading"/>
        <w:keepNext/>
      </w:pPr>
      <w:bookmarkStart w:id="1173" w:name="_Toc87329"/>
      <w:bookmarkStart w:id="1174" w:name="_Toc149442119"/>
      <w:bookmarkStart w:id="1175" w:name="_Toc152558664"/>
      <w:bookmarkStart w:id="1176" w:name="_Toc201980333"/>
      <w:r>
        <w:tab/>
        <w:t>[Heading inserted by No. 54 of 2006 s. 31.]</w:t>
      </w:r>
    </w:p>
    <w:p>
      <w:pPr>
        <w:pStyle w:val="Heading5"/>
      </w:pPr>
      <w:bookmarkStart w:id="1177" w:name="_Toc276038835"/>
      <w:bookmarkStart w:id="1178" w:name="_Toc210120081"/>
      <w:r>
        <w:rPr>
          <w:rStyle w:val="CharSectno"/>
        </w:rPr>
        <w:t>104D</w:t>
      </w:r>
      <w:r>
        <w:t>.</w:t>
      </w:r>
      <w:r>
        <w:tab/>
        <w:t>Demerit point action after conviction</w:t>
      </w:r>
      <w:bookmarkEnd w:id="1173"/>
      <w:bookmarkEnd w:id="1174"/>
      <w:bookmarkEnd w:id="1175"/>
      <w:bookmarkEnd w:id="1176"/>
      <w:bookmarkEnd w:id="1177"/>
      <w:bookmarkEnd w:id="1178"/>
    </w:p>
    <w:p>
      <w:pPr>
        <w:pStyle w:val="Subsection"/>
        <w:spacing w:before="120"/>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spacing w:before="120"/>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spacing w:before="120"/>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outlineLvl w:val="0"/>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spacing w:before="60"/>
        <w:outlineLvl w:val="0"/>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179" w:name="_Toc87330"/>
      <w:bookmarkStart w:id="1180" w:name="_Toc149442120"/>
      <w:bookmarkStart w:id="1181" w:name="_Toc152558665"/>
      <w:bookmarkStart w:id="1182" w:name="_Toc201980334"/>
      <w:r>
        <w:tab/>
        <w:t>[Section 104D inserted by No. 54 of 2006 s. 31.]</w:t>
      </w:r>
    </w:p>
    <w:p>
      <w:pPr>
        <w:pStyle w:val="Heading5"/>
        <w:spacing w:before="180"/>
      </w:pPr>
      <w:bookmarkStart w:id="1183" w:name="_Toc276038836"/>
      <w:bookmarkStart w:id="1184" w:name="_Toc210120082"/>
      <w:r>
        <w:rPr>
          <w:rStyle w:val="CharSectno"/>
        </w:rPr>
        <w:t>104E</w:t>
      </w:r>
      <w:r>
        <w:t>.</w:t>
      </w:r>
      <w:r>
        <w:tab/>
        <w:t>Demerit point action after infringement notice</w:t>
      </w:r>
      <w:bookmarkEnd w:id="1179"/>
      <w:bookmarkEnd w:id="1180"/>
      <w:bookmarkEnd w:id="1181"/>
      <w:bookmarkEnd w:id="1182"/>
      <w:bookmarkEnd w:id="1183"/>
      <w:bookmarkEnd w:id="1184"/>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185" w:name="_Hlt480691406"/>
      <w:bookmarkEnd w:id="1185"/>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186" w:name="_Toc87331"/>
      <w:bookmarkStart w:id="1187" w:name="_Toc149442121"/>
      <w:bookmarkStart w:id="1188" w:name="_Toc152558666"/>
      <w:bookmarkStart w:id="1189" w:name="_Toc201980335"/>
      <w:r>
        <w:tab/>
        <w:t>[Section 104E inserted by No. 54 of 2006 s. 31.]</w:t>
      </w:r>
    </w:p>
    <w:p>
      <w:pPr>
        <w:pStyle w:val="Heading5"/>
        <w:spacing w:before="180"/>
      </w:pPr>
      <w:bookmarkStart w:id="1190" w:name="_Toc276038837"/>
      <w:bookmarkStart w:id="1191" w:name="_Toc210120083"/>
      <w:r>
        <w:rPr>
          <w:rStyle w:val="CharSectno"/>
        </w:rPr>
        <w:t>104F</w:t>
      </w:r>
      <w:r>
        <w:t>.</w:t>
      </w:r>
      <w:r>
        <w:tab/>
        <w:t>No demerit point action against body corporate</w:t>
      </w:r>
      <w:bookmarkEnd w:id="1186"/>
      <w:bookmarkEnd w:id="1187"/>
      <w:bookmarkEnd w:id="1188"/>
      <w:bookmarkEnd w:id="1189"/>
      <w:bookmarkEnd w:id="1190"/>
      <w:bookmarkEnd w:id="1191"/>
    </w:p>
    <w:p>
      <w:pPr>
        <w:pStyle w:val="Subsection"/>
        <w:spacing w:before="120"/>
      </w:pPr>
      <w:r>
        <w:tab/>
      </w:r>
      <w:r>
        <w:tab/>
        <w:t>Demerit point action can be taken only against an individual.</w:t>
      </w:r>
    </w:p>
    <w:p>
      <w:pPr>
        <w:pStyle w:val="Footnotesection"/>
        <w:spacing w:before="100"/>
        <w:ind w:left="890" w:hanging="890"/>
      </w:pPr>
      <w:bookmarkStart w:id="1192" w:name="_Toc87332"/>
      <w:bookmarkStart w:id="1193" w:name="_Toc149442122"/>
      <w:bookmarkStart w:id="1194" w:name="_Toc152558667"/>
      <w:bookmarkStart w:id="1195" w:name="_Toc201980336"/>
      <w:r>
        <w:tab/>
        <w:t>[Section 104F inserted by No. 54 of 2006 s. 31.]</w:t>
      </w:r>
    </w:p>
    <w:p>
      <w:pPr>
        <w:pStyle w:val="Heading5"/>
        <w:spacing w:before="180"/>
      </w:pPr>
      <w:bookmarkStart w:id="1196" w:name="_Toc276038838"/>
      <w:bookmarkStart w:id="1197" w:name="_Toc210120084"/>
      <w:r>
        <w:rPr>
          <w:rStyle w:val="CharSectno"/>
        </w:rPr>
        <w:t>104G</w:t>
      </w:r>
      <w:r>
        <w:t>.</w:t>
      </w:r>
      <w:r>
        <w:tab/>
        <w:t>What demerit point action is to be taken</w:t>
      </w:r>
      <w:bookmarkEnd w:id="1192"/>
      <w:bookmarkEnd w:id="1193"/>
      <w:bookmarkEnd w:id="1194"/>
      <w:bookmarkEnd w:id="1195"/>
      <w:bookmarkEnd w:id="1196"/>
      <w:bookmarkEnd w:id="1197"/>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1198" w:name="_Toc87333"/>
      <w:bookmarkStart w:id="1199" w:name="_Toc107717506"/>
      <w:bookmarkStart w:id="1200" w:name="_Toc107717615"/>
      <w:bookmarkStart w:id="1201" w:name="_Toc107717724"/>
      <w:bookmarkStart w:id="1202" w:name="_Toc107717835"/>
      <w:bookmarkStart w:id="1203" w:name="_Toc107717946"/>
      <w:bookmarkStart w:id="1204" w:name="_Toc107718057"/>
      <w:bookmarkStart w:id="1205" w:name="_Toc107718171"/>
      <w:bookmarkStart w:id="1206" w:name="_Toc107718282"/>
      <w:bookmarkStart w:id="1207" w:name="_Toc107718393"/>
      <w:bookmarkStart w:id="1208" w:name="_Toc107718504"/>
      <w:bookmarkStart w:id="1209" w:name="_Toc107718615"/>
      <w:bookmarkStart w:id="1210" w:name="_Toc107718304"/>
      <w:bookmarkStart w:id="1211" w:name="_Toc107718440"/>
      <w:bookmarkStart w:id="1212" w:name="_Toc107718574"/>
      <w:bookmarkStart w:id="1213" w:name="_Toc107718696"/>
      <w:bookmarkStart w:id="1214" w:name="_Toc107719754"/>
      <w:bookmarkStart w:id="1215" w:name="_Toc107724214"/>
      <w:bookmarkStart w:id="1216" w:name="_Toc107728309"/>
      <w:bookmarkStart w:id="1217" w:name="_Toc107732880"/>
      <w:bookmarkStart w:id="1218" w:name="_Toc149442123"/>
      <w:bookmarkStart w:id="1219" w:name="_Toc152558668"/>
      <w:bookmarkStart w:id="1220" w:name="_Toc201980337"/>
      <w:r>
        <w:tab/>
        <w:t>[Section 104G inserted by No. 54 of 2006 s. 31.]</w:t>
      </w:r>
    </w:p>
    <w:p>
      <w:pPr>
        <w:pStyle w:val="Heading3"/>
      </w:pPr>
      <w:bookmarkStart w:id="1221" w:name="_Toc202335507"/>
      <w:bookmarkStart w:id="1222" w:name="_Toc202770331"/>
      <w:bookmarkStart w:id="1223" w:name="_Toc203541542"/>
      <w:bookmarkStart w:id="1224" w:name="_Toc204067618"/>
      <w:bookmarkStart w:id="1225" w:name="_Toc204072740"/>
      <w:bookmarkStart w:id="1226" w:name="_Toc205285042"/>
      <w:bookmarkStart w:id="1227" w:name="_Toc207510263"/>
      <w:bookmarkStart w:id="1228" w:name="_Toc207675670"/>
      <w:bookmarkStart w:id="1229" w:name="_Toc207685220"/>
      <w:bookmarkStart w:id="1230" w:name="_Toc208979074"/>
      <w:bookmarkStart w:id="1231" w:name="_Toc208979388"/>
      <w:bookmarkStart w:id="1232" w:name="_Toc209246564"/>
      <w:bookmarkStart w:id="1233" w:name="_Toc211654584"/>
      <w:bookmarkStart w:id="1234" w:name="_Toc276038839"/>
      <w:bookmarkStart w:id="1235" w:name="_Toc210120085"/>
      <w:r>
        <w:rPr>
          <w:rStyle w:val="CharDivNo"/>
        </w:rPr>
        <w:t>Division 3</w:t>
      </w:r>
      <w:r>
        <w:t xml:space="preserve"> — </w:t>
      </w:r>
      <w:r>
        <w:rPr>
          <w:rStyle w:val="CharDivText"/>
        </w:rPr>
        <w:t>Consequences of demerit points</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pPr>
        <w:pStyle w:val="Footnoteheading"/>
      </w:pPr>
      <w:bookmarkStart w:id="1236" w:name="_Toc87334"/>
      <w:bookmarkStart w:id="1237" w:name="_Toc149442124"/>
      <w:bookmarkStart w:id="1238" w:name="_Toc152558669"/>
      <w:bookmarkStart w:id="1239" w:name="_Toc201980338"/>
      <w:r>
        <w:tab/>
        <w:t>[Heading inserted by No. 54 of 2006 s. 31.]</w:t>
      </w:r>
    </w:p>
    <w:p>
      <w:pPr>
        <w:pStyle w:val="Heading5"/>
      </w:pPr>
      <w:bookmarkStart w:id="1240" w:name="_Toc276038840"/>
      <w:bookmarkStart w:id="1241" w:name="_Toc210120086"/>
      <w:r>
        <w:rPr>
          <w:rStyle w:val="CharSectno"/>
        </w:rPr>
        <w:t>104H</w:t>
      </w:r>
      <w:r>
        <w:t>.</w:t>
      </w:r>
      <w:r>
        <w:tab/>
        <w:t>Expiry of demerit points</w:t>
      </w:r>
      <w:bookmarkEnd w:id="1236"/>
      <w:bookmarkEnd w:id="1237"/>
      <w:bookmarkEnd w:id="1238"/>
      <w:bookmarkEnd w:id="1239"/>
      <w:bookmarkEnd w:id="1240"/>
      <w:bookmarkEnd w:id="1241"/>
    </w:p>
    <w:p>
      <w:pPr>
        <w:pStyle w:val="Subsection"/>
      </w:pPr>
      <w:r>
        <w:tab/>
      </w:r>
      <w:r>
        <w:tab/>
      </w:r>
      <w:bookmarkStart w:id="1242" w:name="_Hlt533587201"/>
      <w:bookmarkEnd w:id="1242"/>
      <w:r>
        <w:t>At the end of the period of 3 years after the day on which an offence was committed or allegedly committed, any demerit points applying to the offence expire.</w:t>
      </w:r>
    </w:p>
    <w:p>
      <w:pPr>
        <w:pStyle w:val="Footnotesection"/>
      </w:pPr>
      <w:bookmarkStart w:id="1243" w:name="_Toc87335"/>
      <w:bookmarkStart w:id="1244" w:name="_Toc149442125"/>
      <w:bookmarkStart w:id="1245" w:name="_Toc152558670"/>
      <w:bookmarkStart w:id="1246" w:name="_Toc201980339"/>
      <w:r>
        <w:tab/>
        <w:t>[Section 104H inserted by No. 54 of 2006 s. 31.]</w:t>
      </w:r>
    </w:p>
    <w:p>
      <w:pPr>
        <w:pStyle w:val="Heading5"/>
      </w:pPr>
      <w:bookmarkStart w:id="1247" w:name="_Toc276038841"/>
      <w:bookmarkStart w:id="1248" w:name="_Toc210120087"/>
      <w:r>
        <w:rPr>
          <w:rStyle w:val="CharSectno"/>
        </w:rPr>
        <w:t>104I</w:t>
      </w:r>
      <w:r>
        <w:t>.</w:t>
      </w:r>
      <w:r>
        <w:tab/>
        <w:t>Excessive demerit points notice</w:t>
      </w:r>
      <w:bookmarkEnd w:id="1243"/>
      <w:bookmarkEnd w:id="1244"/>
      <w:bookmarkEnd w:id="1245"/>
      <w:bookmarkEnd w:id="1246"/>
      <w:bookmarkEnd w:id="1247"/>
      <w:bookmarkEnd w:id="1248"/>
    </w:p>
    <w:p>
      <w:pPr>
        <w:pStyle w:val="Subsection"/>
      </w:pPr>
      <w:r>
        <w:tab/>
        <w:t>(1)</w:t>
      </w:r>
      <w:r>
        <w:tab/>
        <w:t>If the number of current demerit points recorded against a person in the demerit points register reaches at least 12, the Director General is to give t</w:t>
      </w:r>
      <w:bookmarkStart w:id="1249" w:name="_Hlt530457018"/>
      <w:bookmarkEnd w:id="1249"/>
      <w:r>
        <w:t>he person, in accordance with section 104R, an excessive demerit points notice stating —</w:t>
      </w:r>
    </w:p>
    <w:p>
      <w:pPr>
        <w:pStyle w:val="Indenta"/>
      </w:pPr>
      <w:r>
        <w:tab/>
        <w:t>(a)</w:t>
      </w:r>
      <w:r>
        <w:tab/>
        <w:t>the day on which that number of current demerit points was reached;</w:t>
      </w:r>
    </w:p>
    <w:p>
      <w:pPr>
        <w:pStyle w:val="Indenta"/>
      </w:pPr>
      <w:r>
        <w:tab/>
        <w:t>(b)</w:t>
      </w:r>
      <w:r>
        <w:tab/>
        <w:t>the number of current demerit points reached on that day;</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250" w:name="_Toc87336"/>
      <w:bookmarkStart w:id="1251" w:name="_Toc149442126"/>
      <w:bookmarkStart w:id="1252" w:name="_Toc152558671"/>
      <w:bookmarkStart w:id="1253" w:name="_Toc201980340"/>
      <w:r>
        <w:tab/>
        <w:t>[Section 104I inserted by No. 54 of 2006 s. 31.]</w:t>
      </w:r>
    </w:p>
    <w:p>
      <w:pPr>
        <w:pStyle w:val="Heading5"/>
      </w:pPr>
      <w:bookmarkStart w:id="1254" w:name="_Toc276038842"/>
      <w:bookmarkStart w:id="1255" w:name="_Toc210120088"/>
      <w:r>
        <w:rPr>
          <w:rStyle w:val="CharSectno"/>
        </w:rPr>
        <w:t>104J</w:t>
      </w:r>
      <w:r>
        <w:t>.</w:t>
      </w:r>
      <w:r>
        <w:tab/>
        <w:t>Making a section 104J election</w:t>
      </w:r>
      <w:bookmarkEnd w:id="1250"/>
      <w:bookmarkEnd w:id="1251"/>
      <w:bookmarkEnd w:id="1252"/>
      <w:bookmarkEnd w:id="1253"/>
      <w:bookmarkEnd w:id="1254"/>
      <w:bookmarkEnd w:id="1255"/>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w:t>
      </w:r>
    </w:p>
    <w:p>
      <w:pPr>
        <w:pStyle w:val="Indenta"/>
      </w:pPr>
      <w:r>
        <w:tab/>
        <w:t>(b)</w:t>
      </w:r>
      <w:r>
        <w:tab/>
        <w:t>offences for which a total of 2 or more demerit points can be recorded under this Part against the person;</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256" w:name="_Toc87337"/>
      <w:bookmarkStart w:id="1257" w:name="_Toc149442127"/>
      <w:bookmarkStart w:id="1258" w:name="_Toc152558672"/>
      <w:bookmarkStart w:id="1259" w:name="_Toc201980341"/>
      <w:r>
        <w:tab/>
        <w:t>[Section 104J inserted by No. 54 of 2006 s. 31.]</w:t>
      </w:r>
    </w:p>
    <w:p>
      <w:pPr>
        <w:pStyle w:val="Heading5"/>
      </w:pPr>
      <w:bookmarkStart w:id="1260" w:name="_Toc276038843"/>
      <w:bookmarkStart w:id="1261" w:name="_Toc210120089"/>
      <w:r>
        <w:rPr>
          <w:rStyle w:val="CharSectno"/>
        </w:rPr>
        <w:t>104K</w:t>
      </w:r>
      <w:r>
        <w:t>.</w:t>
      </w:r>
      <w:r>
        <w:tab/>
        <w:t>Double disqualification after section 104J election</w:t>
      </w:r>
      <w:bookmarkEnd w:id="1256"/>
      <w:bookmarkEnd w:id="1257"/>
      <w:bookmarkEnd w:id="1258"/>
      <w:bookmarkEnd w:id="1259"/>
      <w:bookmarkEnd w:id="1260"/>
      <w:bookmarkEnd w:id="1261"/>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262" w:name="_Toc149442128"/>
      <w:bookmarkStart w:id="1263" w:name="_Toc152558673"/>
      <w:bookmarkStart w:id="1264" w:name="_Toc201980342"/>
      <w:bookmarkStart w:id="1265" w:name="_Toc87338"/>
      <w:r>
        <w:tab/>
        <w:t>[Section 104K inserted by No. 54 of 2006 s. 31.]</w:t>
      </w:r>
    </w:p>
    <w:p>
      <w:pPr>
        <w:pStyle w:val="Heading5"/>
      </w:pPr>
      <w:bookmarkStart w:id="1266" w:name="_Toc276038844"/>
      <w:bookmarkStart w:id="1267" w:name="_Toc210120090"/>
      <w:r>
        <w:rPr>
          <w:rStyle w:val="CharSectno"/>
        </w:rPr>
        <w:t>104L</w:t>
      </w:r>
      <w:r>
        <w:t>.</w:t>
      </w:r>
      <w:r>
        <w:tab/>
        <w:t>Permanent disqualification ends section 104J election period</w:t>
      </w:r>
      <w:bookmarkEnd w:id="1262"/>
      <w:bookmarkEnd w:id="1263"/>
      <w:bookmarkEnd w:id="1264"/>
      <w:bookmarkEnd w:id="1266"/>
      <w:bookmarkEnd w:id="1267"/>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268" w:name="_Toc149442129"/>
      <w:bookmarkStart w:id="1269" w:name="_Toc152558674"/>
      <w:bookmarkStart w:id="1270" w:name="_Toc201980343"/>
      <w:r>
        <w:tab/>
        <w:t>[Section 104L inserted by No. 54 of 2006 s. 31.]</w:t>
      </w:r>
    </w:p>
    <w:p>
      <w:pPr>
        <w:pStyle w:val="Heading5"/>
      </w:pPr>
      <w:bookmarkStart w:id="1271" w:name="_Toc276038845"/>
      <w:bookmarkStart w:id="1272" w:name="_Toc210120091"/>
      <w:r>
        <w:rPr>
          <w:rStyle w:val="CharSectno"/>
        </w:rPr>
        <w:t>104M</w:t>
      </w:r>
      <w:r>
        <w:t>.</w:t>
      </w:r>
      <w:r>
        <w:tab/>
        <w:t>Cumulative effect of demerit points disqualification</w:t>
      </w:r>
      <w:bookmarkEnd w:id="1265"/>
      <w:bookmarkEnd w:id="1268"/>
      <w:bookmarkEnd w:id="1269"/>
      <w:bookmarkEnd w:id="1270"/>
      <w:bookmarkEnd w:id="1271"/>
      <w:bookmarkEnd w:id="1272"/>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273" w:name="_Toc149442130"/>
      <w:bookmarkStart w:id="1274" w:name="_Toc152558675"/>
      <w:bookmarkStart w:id="1275" w:name="_Toc201980344"/>
      <w:bookmarkStart w:id="1276" w:name="_Toc87339"/>
      <w:r>
        <w:tab/>
        <w:t>[Section 104M inserted by No. 54 of 2006 s. 31.]</w:t>
      </w:r>
    </w:p>
    <w:p>
      <w:pPr>
        <w:pStyle w:val="Heading5"/>
      </w:pPr>
      <w:bookmarkStart w:id="1277" w:name="_Toc276038846"/>
      <w:bookmarkStart w:id="1278" w:name="_Toc210120092"/>
      <w:r>
        <w:rPr>
          <w:rStyle w:val="CharSectno"/>
        </w:rPr>
        <w:t>104N</w:t>
      </w:r>
      <w:r>
        <w:t>.</w:t>
      </w:r>
      <w:r>
        <w:tab/>
        <w:t>Certain disqualifications after demerit points disqualification or section 104J election</w:t>
      </w:r>
      <w:bookmarkEnd w:id="1273"/>
      <w:bookmarkEnd w:id="1274"/>
      <w:bookmarkEnd w:id="1275"/>
      <w:bookmarkEnd w:id="1277"/>
      <w:bookmarkEnd w:id="1278"/>
    </w:p>
    <w:p>
      <w:pPr>
        <w:pStyle w:val="Subsection"/>
        <w:outlineLvl w:val="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outlineLvl w:val="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279" w:name="_Toc107717514"/>
      <w:bookmarkStart w:id="1280" w:name="_Toc107717623"/>
      <w:bookmarkStart w:id="1281" w:name="_Toc107717732"/>
      <w:bookmarkStart w:id="1282" w:name="_Toc107717843"/>
      <w:bookmarkStart w:id="1283" w:name="_Toc107717954"/>
      <w:bookmarkStart w:id="1284" w:name="_Toc107718065"/>
      <w:bookmarkStart w:id="1285" w:name="_Toc107718179"/>
      <w:bookmarkStart w:id="1286" w:name="_Toc107718290"/>
      <w:bookmarkStart w:id="1287" w:name="_Toc107718401"/>
      <w:bookmarkStart w:id="1288" w:name="_Toc107718512"/>
      <w:bookmarkStart w:id="1289" w:name="_Toc107718623"/>
      <w:bookmarkStart w:id="1290" w:name="_Toc107718317"/>
      <w:bookmarkStart w:id="1291" w:name="_Toc107718452"/>
      <w:bookmarkStart w:id="1292" w:name="_Toc107718582"/>
      <w:bookmarkStart w:id="1293" w:name="_Toc107718704"/>
      <w:bookmarkStart w:id="1294" w:name="_Toc107719762"/>
      <w:bookmarkStart w:id="1295" w:name="_Toc107724222"/>
      <w:bookmarkStart w:id="1296" w:name="_Toc107728317"/>
      <w:bookmarkStart w:id="1297" w:name="_Toc107732888"/>
      <w:bookmarkStart w:id="1298" w:name="_Toc149442131"/>
      <w:bookmarkStart w:id="1299" w:name="_Toc152558676"/>
      <w:bookmarkStart w:id="1300" w:name="_Toc201980345"/>
      <w:r>
        <w:tab/>
        <w:t>[Section 104N inserted by No. 54 of 2006 s. 31.]</w:t>
      </w:r>
    </w:p>
    <w:p>
      <w:pPr>
        <w:pStyle w:val="Heading3"/>
      </w:pPr>
      <w:bookmarkStart w:id="1301" w:name="_Toc202335515"/>
      <w:bookmarkStart w:id="1302" w:name="_Toc202770339"/>
      <w:bookmarkStart w:id="1303" w:name="_Toc203541550"/>
      <w:bookmarkStart w:id="1304" w:name="_Toc204067626"/>
      <w:bookmarkStart w:id="1305" w:name="_Toc204072748"/>
      <w:bookmarkStart w:id="1306" w:name="_Toc205285050"/>
      <w:bookmarkStart w:id="1307" w:name="_Toc207510271"/>
      <w:bookmarkStart w:id="1308" w:name="_Toc207675678"/>
      <w:bookmarkStart w:id="1309" w:name="_Toc207685228"/>
      <w:bookmarkStart w:id="1310" w:name="_Toc208979082"/>
      <w:bookmarkStart w:id="1311" w:name="_Toc208979396"/>
      <w:bookmarkStart w:id="1312" w:name="_Toc209246572"/>
      <w:bookmarkStart w:id="1313" w:name="_Toc211654592"/>
      <w:bookmarkStart w:id="1314" w:name="_Toc276038847"/>
      <w:bookmarkStart w:id="1315" w:name="_Toc210120093"/>
      <w:r>
        <w:rPr>
          <w:rStyle w:val="CharDivNo"/>
        </w:rPr>
        <w:t>Division 4</w:t>
      </w:r>
      <w:r>
        <w:t xml:space="preserve"> — </w:t>
      </w:r>
      <w:r>
        <w:rPr>
          <w:rStyle w:val="CharDivText"/>
        </w:rPr>
        <w:t>Administrative and other</w:t>
      </w:r>
      <w:bookmarkStart w:id="1316" w:name="_Hlt536352577"/>
      <w:bookmarkEnd w:id="1316"/>
      <w:r>
        <w:rPr>
          <w:rStyle w:val="CharDivText"/>
        </w:rPr>
        <w:t xml:space="preserve"> provisions</w:t>
      </w:r>
      <w:bookmarkEnd w:id="1276"/>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p>
    <w:p>
      <w:pPr>
        <w:pStyle w:val="Footnoteheading"/>
      </w:pPr>
      <w:bookmarkStart w:id="1317" w:name="_Toc87340"/>
      <w:bookmarkStart w:id="1318" w:name="_Toc149442132"/>
      <w:bookmarkStart w:id="1319" w:name="_Toc152558677"/>
      <w:bookmarkStart w:id="1320" w:name="_Toc201980346"/>
      <w:r>
        <w:tab/>
        <w:t>[Heading inserted by No. 54 of 2006 s. 31.]</w:t>
      </w:r>
    </w:p>
    <w:p>
      <w:pPr>
        <w:pStyle w:val="Heading5"/>
      </w:pPr>
      <w:bookmarkStart w:id="1321" w:name="_Toc276038848"/>
      <w:bookmarkStart w:id="1322" w:name="_Toc210120094"/>
      <w:r>
        <w:rPr>
          <w:rStyle w:val="CharSectno"/>
        </w:rPr>
        <w:t>104O</w:t>
      </w:r>
      <w:r>
        <w:t>.</w:t>
      </w:r>
      <w:r>
        <w:tab/>
        <w:t>Demerit points registe</w:t>
      </w:r>
      <w:bookmarkStart w:id="1323" w:name="_Hlt530457336"/>
      <w:bookmarkEnd w:id="1323"/>
      <w:r>
        <w:t>r</w:t>
      </w:r>
      <w:bookmarkEnd w:id="1317"/>
      <w:bookmarkEnd w:id="1318"/>
      <w:bookmarkEnd w:id="1319"/>
      <w:bookmarkEnd w:id="1320"/>
      <w:bookmarkEnd w:id="1321"/>
      <w:bookmarkEnd w:id="1322"/>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w:t>
      </w:r>
    </w:p>
    <w:p>
      <w:pPr>
        <w:pStyle w:val="Indenta"/>
      </w:pPr>
      <w:r>
        <w:tab/>
        <w:t>(b)</w:t>
      </w:r>
      <w:r>
        <w:tab/>
        <w:t>each offence for which demerit points are recorded against that person and the day on which the offence was committed or allegedly committed;</w:t>
      </w:r>
    </w:p>
    <w:p>
      <w:pPr>
        <w:pStyle w:val="Indenta"/>
      </w:pPr>
      <w:r>
        <w:tab/>
        <w:t>(c)</w:t>
      </w:r>
      <w:r>
        <w:tab/>
        <w:t>the number of demerit points recorded against the person for the offence;</w:t>
      </w:r>
    </w:p>
    <w:p>
      <w:pPr>
        <w:pStyle w:val="Indenta"/>
      </w:pPr>
      <w:r>
        <w:tab/>
        <w:t>(d)</w:t>
      </w:r>
      <w:r>
        <w:tab/>
        <w:t>the day on which an excessive demerit points notice was given, and the number of demerit points and period of disqualification stated in it;</w:t>
      </w:r>
    </w:p>
    <w:p>
      <w:pPr>
        <w:pStyle w:val="Indenta"/>
      </w:pPr>
      <w:r>
        <w:tab/>
        <w:t>(e)</w:t>
      </w:r>
      <w:r>
        <w:tab/>
        <w:t>the day on which a section 104J election, if any, was received;</w:t>
      </w:r>
    </w:p>
    <w:p>
      <w:pPr>
        <w:pStyle w:val="Indenta"/>
      </w:pPr>
      <w:r>
        <w:tab/>
        <w:t>(f)</w:t>
      </w:r>
      <w:r>
        <w:tab/>
        <w:t>the day on which a notice, if any, disqualifying a person from holding or obtaining a driver’s licence was given under section 104K, and the period of disqualification stated in it;</w:t>
      </w:r>
    </w:p>
    <w:p>
      <w:pPr>
        <w:pStyle w:val="Indenta"/>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1324" w:name="_Toc87341"/>
      <w:bookmarkStart w:id="1325" w:name="_Toc149442133"/>
      <w:bookmarkStart w:id="1326" w:name="_Toc152558678"/>
      <w:bookmarkStart w:id="1327" w:name="_Toc201980347"/>
      <w:r>
        <w:tab/>
        <w:t>[Section 104O inserted by No. 54 of 2006 s. 31.]</w:t>
      </w:r>
    </w:p>
    <w:p>
      <w:pPr>
        <w:pStyle w:val="Heading5"/>
      </w:pPr>
      <w:bookmarkStart w:id="1328" w:name="_Toc276038849"/>
      <w:bookmarkStart w:id="1329" w:name="_Toc210120095"/>
      <w:r>
        <w:rPr>
          <w:rStyle w:val="CharSectno"/>
        </w:rPr>
        <w:t>104P</w:t>
      </w:r>
      <w:r>
        <w:t>.</w:t>
      </w:r>
      <w:r>
        <w:tab/>
        <w:t>Obtaining Australian driver licence elsewhere</w:t>
      </w:r>
      <w:bookmarkEnd w:id="1324"/>
      <w:bookmarkEnd w:id="1325"/>
      <w:bookmarkEnd w:id="1326"/>
      <w:bookmarkEnd w:id="1327"/>
      <w:bookmarkEnd w:id="1328"/>
      <w:bookmarkEnd w:id="1329"/>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330" w:name="_Toc87342"/>
      <w:bookmarkStart w:id="1331" w:name="_Toc149442134"/>
      <w:bookmarkStart w:id="1332" w:name="_Toc152558679"/>
      <w:bookmarkStart w:id="1333" w:name="_Toc201980348"/>
      <w:bookmarkStart w:id="1334" w:name="_Toc276038850"/>
      <w:bookmarkStart w:id="1335" w:name="_Toc210120096"/>
      <w:r>
        <w:rPr>
          <w:rStyle w:val="CharSectno"/>
        </w:rPr>
        <w:t>104Q</w:t>
      </w:r>
      <w:r>
        <w:t>.</w:t>
      </w:r>
      <w:r>
        <w:tab/>
        <w:t>Holder of licence in another jurisdiction applying</w:t>
      </w:r>
      <w:bookmarkEnd w:id="1330"/>
      <w:bookmarkEnd w:id="1331"/>
      <w:bookmarkEnd w:id="1332"/>
      <w:bookmarkEnd w:id="1333"/>
      <w:bookmarkEnd w:id="1334"/>
      <w:bookmarkEnd w:id="1335"/>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336" w:name="_Hlt57526119"/>
      <w:bookmarkEnd w:id="1336"/>
      <w:r>
        <w:t xml:space="preserve"> points for, and other details of, any offence required by paragraph (a) to be recorded against the person.</w:t>
      </w:r>
    </w:p>
    <w:p>
      <w:pPr>
        <w:pStyle w:val="Subsection"/>
        <w:spacing w:before="120"/>
      </w:pPr>
      <w:r>
        <w:tab/>
        <w:t>(2)</w:t>
      </w:r>
      <w:r>
        <w:tab/>
        <w:t>The number of demerit points to be recorded for the offence is the number of points that were recorded against the person for the offence under the law of the former demerit point registry jurisdiction.</w:t>
      </w:r>
    </w:p>
    <w:p>
      <w:pPr>
        <w:pStyle w:val="Subsection"/>
        <w:spacing w:before="120"/>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pPr>
      <w:bookmarkStart w:id="1337" w:name="_Toc87343"/>
      <w:bookmarkStart w:id="1338" w:name="_Toc149442135"/>
      <w:bookmarkStart w:id="1339" w:name="_Toc152558680"/>
      <w:bookmarkStart w:id="1340" w:name="_Toc201980349"/>
      <w:r>
        <w:tab/>
        <w:t>[Section 104Q inserted by No. 54 of 2006 s. 31.]</w:t>
      </w:r>
    </w:p>
    <w:p>
      <w:pPr>
        <w:pStyle w:val="Heading5"/>
      </w:pPr>
      <w:bookmarkStart w:id="1341" w:name="_Toc276038851"/>
      <w:bookmarkStart w:id="1342" w:name="_Toc210120097"/>
      <w:r>
        <w:rPr>
          <w:rStyle w:val="CharSectno"/>
        </w:rPr>
        <w:t>104R</w:t>
      </w:r>
      <w:r>
        <w:t>.</w:t>
      </w:r>
      <w:r>
        <w:tab/>
        <w:t>How certain notices are to be given</w:t>
      </w:r>
      <w:bookmarkEnd w:id="1337"/>
      <w:bookmarkEnd w:id="1338"/>
      <w:bookmarkEnd w:id="1339"/>
      <w:bookmarkEnd w:id="1340"/>
      <w:bookmarkEnd w:id="1341"/>
      <w:bookmarkEnd w:id="1342"/>
    </w:p>
    <w:p>
      <w:pPr>
        <w:pStyle w:val="Subsection"/>
        <w:spacing w:before="120"/>
      </w:pPr>
      <w:r>
        <w:tab/>
        <w:t>(1)</w:t>
      </w:r>
      <w:r>
        <w:tab/>
        <w:t>This section applies to —</w:t>
      </w:r>
    </w:p>
    <w:p>
      <w:pPr>
        <w:pStyle w:val="Indenta"/>
      </w:pPr>
      <w:r>
        <w:tab/>
        <w:t>(a)</w:t>
      </w:r>
      <w:r>
        <w:tab/>
        <w:t>an excessive demerit points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343" w:name="_Toc87344"/>
      <w:bookmarkStart w:id="1344" w:name="_Toc149442136"/>
      <w:bookmarkStart w:id="1345" w:name="_Toc152558681"/>
      <w:bookmarkStart w:id="1346" w:name="_Toc201980350"/>
      <w:r>
        <w:tab/>
        <w:t>[Section 104R inserted by No. 54 of 2006 s. 31.]</w:t>
      </w:r>
    </w:p>
    <w:p>
      <w:pPr>
        <w:pStyle w:val="Heading5"/>
      </w:pPr>
      <w:bookmarkStart w:id="1347" w:name="_Toc276038852"/>
      <w:bookmarkStart w:id="1348" w:name="_Toc210120098"/>
      <w:r>
        <w:rPr>
          <w:rStyle w:val="CharSectno"/>
        </w:rPr>
        <w:t>104S</w:t>
      </w:r>
      <w:r>
        <w:t>.</w:t>
      </w:r>
      <w:r>
        <w:tab/>
        <w:t>Regulations about certain transitional matters</w:t>
      </w:r>
      <w:bookmarkEnd w:id="1343"/>
      <w:bookmarkEnd w:id="1344"/>
      <w:bookmarkEnd w:id="1345"/>
      <w:bookmarkEnd w:id="1346"/>
      <w:bookmarkEnd w:id="1347"/>
      <w:bookmarkEnd w:id="1348"/>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349" w:name="_Hlt536585506"/>
      <w:r>
        <w:t>29</w:t>
      </w:r>
      <w:bookmarkEnd w:id="1349"/>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350" w:name="_Toc87345"/>
      <w:bookmarkStart w:id="1351" w:name="_Toc149442137"/>
      <w:bookmarkStart w:id="1352" w:name="_Toc152558682"/>
      <w:bookmarkStart w:id="1353" w:name="_Toc201980351"/>
      <w:r>
        <w:tab/>
        <w:t>[Section 104S inserted by No. 54 of 2006 s. 31.]</w:t>
      </w:r>
    </w:p>
    <w:p>
      <w:pPr>
        <w:pStyle w:val="Heading5"/>
      </w:pPr>
      <w:bookmarkStart w:id="1354" w:name="_Toc276038853"/>
      <w:bookmarkStart w:id="1355" w:name="_Toc210120099"/>
      <w:r>
        <w:rPr>
          <w:rStyle w:val="CharSectno"/>
        </w:rPr>
        <w:t>104T</w:t>
      </w:r>
      <w:r>
        <w:t>.</w:t>
      </w:r>
      <w:r>
        <w:tab/>
        <w:t>Regulations adapting to schemes of other jurisdictions</w:t>
      </w:r>
      <w:bookmarkStart w:id="1356" w:name="_Hlt536435552"/>
      <w:bookmarkEnd w:id="1350"/>
      <w:bookmarkEnd w:id="1351"/>
      <w:bookmarkEnd w:id="1352"/>
      <w:bookmarkEnd w:id="1353"/>
      <w:bookmarkEnd w:id="1354"/>
      <w:bookmarkEnd w:id="1356"/>
      <w:bookmarkEnd w:id="1355"/>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357" w:name="_Hlt58123878"/>
      <w:bookmarkEnd w:id="1357"/>
      <w:r>
        <w:tab/>
        <w:t>(2)</w:t>
      </w:r>
      <w:r>
        <w:tab/>
        <w:t>Regulations m</w:t>
      </w:r>
      <w:bookmarkStart w:id="1358" w:name="_Hlt533588796"/>
      <w:bookmarkEnd w:id="1358"/>
      <w:r>
        <w:t>ade for that purpose may modify the operation of this Part.</w:t>
      </w:r>
    </w:p>
    <w:p>
      <w:pPr>
        <w:pStyle w:val="Footnotesection"/>
      </w:pPr>
      <w:r>
        <w:tab/>
        <w:t>[Section 104T inserted by No. 54 of 2006 s. 31.]</w:t>
      </w:r>
    </w:p>
    <w:p>
      <w:pPr>
        <w:pStyle w:val="Heading2"/>
      </w:pPr>
      <w:bookmarkStart w:id="1359" w:name="_Toc202335522"/>
      <w:bookmarkStart w:id="1360" w:name="_Toc202770346"/>
      <w:bookmarkStart w:id="1361" w:name="_Toc203541557"/>
      <w:bookmarkStart w:id="1362" w:name="_Toc204067633"/>
      <w:bookmarkStart w:id="1363" w:name="_Toc204072755"/>
      <w:bookmarkStart w:id="1364" w:name="_Toc205285057"/>
      <w:bookmarkStart w:id="1365" w:name="_Toc207510278"/>
      <w:bookmarkStart w:id="1366" w:name="_Toc207675685"/>
      <w:bookmarkStart w:id="1367" w:name="_Toc207685235"/>
      <w:bookmarkStart w:id="1368" w:name="_Toc208979089"/>
      <w:bookmarkStart w:id="1369" w:name="_Toc208979403"/>
      <w:bookmarkStart w:id="1370" w:name="_Toc209246579"/>
      <w:bookmarkStart w:id="1371" w:name="_Toc211654599"/>
      <w:bookmarkStart w:id="1372" w:name="_Toc276038854"/>
      <w:bookmarkStart w:id="1373" w:name="_Toc210120100"/>
      <w:r>
        <w:rPr>
          <w:rStyle w:val="CharPartNo"/>
        </w:rPr>
        <w:t>Part VII</w:t>
      </w:r>
      <w:r>
        <w:rPr>
          <w:rStyle w:val="CharDivNo"/>
        </w:rPr>
        <w:t> </w:t>
      </w:r>
      <w:r>
        <w:t>—</w:t>
      </w:r>
      <w:r>
        <w:rPr>
          <w:rStyle w:val="CharDivText"/>
        </w:rPr>
        <w:t> </w:t>
      </w:r>
      <w:r>
        <w:rPr>
          <w:rStyle w:val="CharPartText"/>
        </w:rPr>
        <w:t>Offences and penalties</w:t>
      </w:r>
      <w:bookmarkEnd w:id="106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Ednotesection"/>
      </w:pPr>
      <w:r>
        <w:t>[</w:t>
      </w:r>
      <w:r>
        <w:rPr>
          <w:b/>
          <w:bCs/>
        </w:rPr>
        <w:t>104.</w:t>
      </w:r>
      <w:r>
        <w:rPr>
          <w:b/>
          <w:bCs/>
        </w:rPr>
        <w:tab/>
      </w:r>
      <w:r>
        <w:t>Repealed by No. 54 of 2006 s. 32.]</w:t>
      </w:r>
    </w:p>
    <w:p>
      <w:pPr>
        <w:pStyle w:val="Heading5"/>
        <w:rPr>
          <w:snapToGrid w:val="0"/>
        </w:rPr>
      </w:pPr>
      <w:bookmarkStart w:id="1374" w:name="_Toc276038855"/>
      <w:bookmarkStart w:id="1375" w:name="_Toc210120101"/>
      <w:r>
        <w:rPr>
          <w:rStyle w:val="CharSectno"/>
        </w:rPr>
        <w:t>105</w:t>
      </w:r>
      <w:r>
        <w:rPr>
          <w:snapToGrid w:val="0"/>
        </w:rPr>
        <w:t>.</w:t>
      </w:r>
      <w:r>
        <w:rPr>
          <w:snapToGrid w:val="0"/>
        </w:rPr>
        <w:tab/>
        <w:t>Limitation on period for which previous offences taken into account</w:t>
      </w:r>
      <w:bookmarkEnd w:id="1374"/>
      <w:bookmarkEnd w:id="1375"/>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rStyle w:val="CharDefText"/>
        </w:rPr>
        <w:t>the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376" w:name="_Toc276038856"/>
      <w:bookmarkStart w:id="1377" w:name="_Toc210120102"/>
      <w:r>
        <w:rPr>
          <w:rStyle w:val="CharSectno"/>
        </w:rPr>
        <w:t>106</w:t>
      </w:r>
      <w:r>
        <w:t>.</w:t>
      </w:r>
      <w:r>
        <w:tab/>
        <w:t>Sentencing for certain offences</w:t>
      </w:r>
      <w:bookmarkEnd w:id="1376"/>
      <w:bookmarkEnd w:id="1377"/>
    </w:p>
    <w:p>
      <w:pPr>
        <w:pStyle w:val="Subsection"/>
        <w:spacing w:before="100"/>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378" w:name="_Toc276038857"/>
      <w:bookmarkStart w:id="1379" w:name="_Toc210120103"/>
      <w:r>
        <w:rPr>
          <w:rStyle w:val="CharSectno"/>
        </w:rPr>
        <w:t>106A</w:t>
      </w:r>
      <w:r>
        <w:t>.</w:t>
      </w:r>
      <w:r>
        <w:tab/>
        <w:t>Mandatory disqualification</w:t>
      </w:r>
      <w:bookmarkEnd w:id="1378"/>
      <w:bookmarkEnd w:id="1379"/>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1380" w:name="_Toc276038858"/>
      <w:bookmarkStart w:id="1381" w:name="_Toc210120104"/>
      <w:r>
        <w:rPr>
          <w:rStyle w:val="CharSectno"/>
        </w:rPr>
        <w:t>107</w:t>
      </w:r>
      <w:r>
        <w:rPr>
          <w:snapToGrid w:val="0"/>
        </w:rPr>
        <w:t>.</w:t>
      </w:r>
      <w:r>
        <w:rPr>
          <w:snapToGrid w:val="0"/>
        </w:rPr>
        <w:tab/>
        <w:t>Offences generally</w:t>
      </w:r>
      <w:bookmarkEnd w:id="1380"/>
      <w:bookmarkEnd w:id="1381"/>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382" w:name="_Toc201457660"/>
      <w:bookmarkStart w:id="1383" w:name="_Toc202335527"/>
      <w:bookmarkStart w:id="1384" w:name="_Toc202770351"/>
      <w:bookmarkStart w:id="1385" w:name="_Toc203541562"/>
      <w:bookmarkStart w:id="1386" w:name="_Toc204067638"/>
      <w:bookmarkStart w:id="1387" w:name="_Toc204072760"/>
      <w:bookmarkStart w:id="1388" w:name="_Toc205285062"/>
      <w:bookmarkStart w:id="1389" w:name="_Toc207510283"/>
      <w:bookmarkStart w:id="1390" w:name="_Toc207675690"/>
      <w:bookmarkStart w:id="1391" w:name="_Toc207685240"/>
      <w:bookmarkStart w:id="1392" w:name="_Toc208979094"/>
      <w:bookmarkStart w:id="1393" w:name="_Toc208979408"/>
      <w:bookmarkStart w:id="1394" w:name="_Toc209246584"/>
      <w:bookmarkStart w:id="1395" w:name="_Toc211654604"/>
      <w:bookmarkStart w:id="1396" w:name="_Toc276038859"/>
      <w:bookmarkStart w:id="1397" w:name="_Toc210120105"/>
      <w:r>
        <w:rPr>
          <w:rStyle w:val="CharPartNo"/>
        </w:rPr>
        <w:t>Part VIII</w:t>
      </w:r>
      <w:r>
        <w:rPr>
          <w:rStyle w:val="CharDivNo"/>
        </w:rPr>
        <w:t> </w:t>
      </w:r>
      <w:r>
        <w:t>—</w:t>
      </w:r>
      <w:r>
        <w:rPr>
          <w:rStyle w:val="CharDivText"/>
        </w:rPr>
        <w:t> </w:t>
      </w:r>
      <w:r>
        <w:rPr>
          <w:rStyle w:val="CharPartText"/>
        </w:rPr>
        <w:t>Transitional provisions</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p>
    <w:p>
      <w:pPr>
        <w:pStyle w:val="Heading5"/>
        <w:rPr>
          <w:snapToGrid w:val="0"/>
        </w:rPr>
      </w:pPr>
      <w:bookmarkStart w:id="1398" w:name="_Toc276038860"/>
      <w:bookmarkStart w:id="1399" w:name="_Toc210120106"/>
      <w:r>
        <w:rPr>
          <w:rStyle w:val="CharSectno"/>
        </w:rPr>
        <w:t>108</w:t>
      </w:r>
      <w:r>
        <w:rPr>
          <w:snapToGrid w:val="0"/>
        </w:rPr>
        <w:t>.</w:t>
      </w:r>
      <w:r>
        <w:rPr>
          <w:snapToGrid w:val="0"/>
        </w:rPr>
        <w:tab/>
        <w:t>Savings</w:t>
      </w:r>
      <w:bookmarkEnd w:id="1398"/>
      <w:bookmarkEnd w:id="1399"/>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w:t>
      </w:r>
      <w:del w:id="1400" w:author="svcMRProcess" w:date="2018-09-08T08:22:00Z">
        <w:r>
          <w:rPr>
            <w:snapToGrid w:val="0"/>
            <w:vertAlign w:val="superscript"/>
          </w:rPr>
          <w:delText>2</w:delText>
        </w:r>
      </w:del>
      <w:ins w:id="1401" w:author="svcMRProcess" w:date="2018-09-08T08:22:00Z">
        <w:r>
          <w:rPr>
            <w:snapToGrid w:val="0"/>
            <w:vertAlign w:val="superscript"/>
          </w:rPr>
          <w:t>3</w:t>
        </w:r>
      </w:ins>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402" w:name="_Toc276038861"/>
      <w:bookmarkStart w:id="1403" w:name="_Toc210120107"/>
      <w:r>
        <w:rPr>
          <w:rStyle w:val="CharSectno"/>
        </w:rPr>
        <w:t>109</w:t>
      </w:r>
      <w:r>
        <w:rPr>
          <w:snapToGrid w:val="0"/>
        </w:rPr>
        <w:t>.</w:t>
      </w:r>
      <w:r>
        <w:rPr>
          <w:snapToGrid w:val="0"/>
        </w:rPr>
        <w:tab/>
        <w:t>Powers of traffic inspectors</w:t>
      </w:r>
      <w:bookmarkEnd w:id="1402"/>
      <w:bookmarkEnd w:id="1403"/>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404" w:name="_Toc276038862"/>
      <w:bookmarkStart w:id="1405" w:name="_Toc210120108"/>
      <w:r>
        <w:rPr>
          <w:rStyle w:val="CharSectno"/>
        </w:rPr>
        <w:t>110</w:t>
      </w:r>
      <w:r>
        <w:rPr>
          <w:snapToGrid w:val="0"/>
        </w:rPr>
        <w:t>.</w:t>
      </w:r>
      <w:r>
        <w:rPr>
          <w:snapToGrid w:val="0"/>
        </w:rPr>
        <w:tab/>
        <w:t>Powers of certain traffic inspectors preserved</w:t>
      </w:r>
      <w:bookmarkEnd w:id="1404"/>
      <w:bookmarkEnd w:id="1405"/>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406" w:name="_Toc201457664"/>
      <w:bookmarkStart w:id="1407" w:name="_Toc202335531"/>
      <w:bookmarkStart w:id="1408" w:name="_Toc202770355"/>
      <w:bookmarkStart w:id="1409" w:name="_Toc203541566"/>
      <w:bookmarkStart w:id="1410" w:name="_Toc204067642"/>
      <w:bookmarkStart w:id="1411" w:name="_Toc204072764"/>
      <w:bookmarkStart w:id="1412" w:name="_Toc205285066"/>
      <w:bookmarkStart w:id="1413" w:name="_Toc207510287"/>
      <w:bookmarkStart w:id="1414" w:name="_Toc207675694"/>
      <w:bookmarkStart w:id="1415" w:name="_Toc207685244"/>
      <w:bookmarkStart w:id="1416" w:name="_Toc208979098"/>
      <w:bookmarkStart w:id="1417" w:name="_Toc208979412"/>
      <w:bookmarkStart w:id="1418" w:name="_Toc209246588"/>
      <w:bookmarkStart w:id="1419" w:name="_Toc211654608"/>
      <w:bookmarkStart w:id="1420" w:name="_Toc276038863"/>
      <w:bookmarkStart w:id="1421" w:name="_Toc210120109"/>
      <w:r>
        <w:rPr>
          <w:rStyle w:val="CharPartNo"/>
        </w:rPr>
        <w:t>Part IX</w:t>
      </w:r>
      <w:r>
        <w:rPr>
          <w:rStyle w:val="CharDivNo"/>
        </w:rPr>
        <w:t> </w:t>
      </w:r>
      <w:r>
        <w:t>—</w:t>
      </w:r>
      <w:r>
        <w:rPr>
          <w:rStyle w:val="CharDivText"/>
        </w:rPr>
        <w:t> </w:t>
      </w:r>
      <w:r>
        <w:rPr>
          <w:rStyle w:val="CharPartText"/>
        </w:rPr>
        <w:t>Regulations</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p>
    <w:p>
      <w:pPr>
        <w:pStyle w:val="Heading5"/>
        <w:rPr>
          <w:snapToGrid w:val="0"/>
        </w:rPr>
      </w:pPr>
      <w:bookmarkStart w:id="1422" w:name="_Toc276038864"/>
      <w:bookmarkStart w:id="1423" w:name="_Toc210120110"/>
      <w:r>
        <w:rPr>
          <w:rStyle w:val="CharSectno"/>
        </w:rPr>
        <w:t>111</w:t>
      </w:r>
      <w:r>
        <w:rPr>
          <w:snapToGrid w:val="0"/>
        </w:rPr>
        <w:t>.</w:t>
      </w:r>
      <w:r>
        <w:rPr>
          <w:snapToGrid w:val="0"/>
        </w:rPr>
        <w:tab/>
        <w:t>Regulations</w:t>
      </w:r>
      <w:del w:id="1424" w:author="svcMRProcess" w:date="2018-09-08T08:22:00Z">
        <w:r>
          <w:rPr>
            <w:snapToGrid w:val="0"/>
          </w:rPr>
          <w:delText>,</w:delText>
        </w:r>
      </w:del>
      <w:r>
        <w:rPr>
          <w:snapToGrid w:val="0"/>
        </w:rPr>
        <w:t xml:space="preserve"> etc. </w:t>
      </w:r>
      <w:r>
        <w:rPr>
          <w:b w:val="0"/>
          <w:snapToGrid w:val="0"/>
          <w:vertAlign w:val="superscript"/>
        </w:rPr>
        <w:t>4</w:t>
      </w:r>
      <w:bookmarkEnd w:id="1422"/>
      <w:bookmarkEnd w:id="1423"/>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425" w:name="_Toc149442142"/>
      <w:bookmarkStart w:id="1426" w:name="_Toc152558687"/>
      <w:bookmarkStart w:id="1427" w:name="_Toc201980356"/>
      <w:bookmarkStart w:id="1428" w:name="_Toc276038865"/>
      <w:bookmarkStart w:id="1429" w:name="_Toc210120111"/>
      <w:r>
        <w:rPr>
          <w:rStyle w:val="CharSectno"/>
        </w:rPr>
        <w:t>111AA</w:t>
      </w:r>
      <w:r>
        <w:t>.</w:t>
      </w:r>
      <w:r>
        <w:tab/>
        <w:t>Power to include areas in the scope of specified regulations</w:t>
      </w:r>
      <w:bookmarkEnd w:id="1425"/>
      <w:bookmarkEnd w:id="1426"/>
      <w:bookmarkEnd w:id="1427"/>
      <w:bookmarkEnd w:id="1428"/>
      <w:bookmarkEnd w:id="1429"/>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430" w:name="_Toc149442143"/>
      <w:bookmarkStart w:id="1431" w:name="_Toc152558688"/>
      <w:bookmarkStart w:id="1432" w:name="_Toc201980357"/>
      <w:r>
        <w:tab/>
        <w:t>[Section 111AA inserted by No. 54 of 2006 s. 35</w:t>
      </w:r>
      <w:del w:id="1433" w:author="svcMRProcess" w:date="2018-09-08T08:22:00Z">
        <w:r>
          <w:delText>.]</w:delText>
        </w:r>
      </w:del>
      <w:ins w:id="1434" w:author="svcMRProcess" w:date="2018-09-08T08:22:00Z">
        <w:r>
          <w:t>(1).]</w:t>
        </w:r>
      </w:ins>
    </w:p>
    <w:p>
      <w:pPr>
        <w:pStyle w:val="Heading5"/>
      </w:pPr>
      <w:bookmarkStart w:id="1435" w:name="_Toc276038866"/>
      <w:bookmarkStart w:id="1436" w:name="_Toc210120112"/>
      <w:r>
        <w:rPr>
          <w:rStyle w:val="CharSectno"/>
        </w:rPr>
        <w:t>111AB</w:t>
      </w:r>
      <w:r>
        <w:t>.</w:t>
      </w:r>
      <w:r>
        <w:tab/>
        <w:t>Power to grant exemptions from specified regulations</w:t>
      </w:r>
      <w:bookmarkEnd w:id="1430"/>
      <w:bookmarkEnd w:id="1431"/>
      <w:bookmarkEnd w:id="1432"/>
      <w:bookmarkEnd w:id="1435"/>
      <w:bookmarkEnd w:id="1436"/>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w:t>
      </w:r>
      <w:del w:id="1437" w:author="svcMRProcess" w:date="2018-09-08T08:22:00Z">
        <w:r>
          <w:delText>.]</w:delText>
        </w:r>
      </w:del>
      <w:ins w:id="1438" w:author="svcMRProcess" w:date="2018-09-08T08:22:00Z">
        <w:r>
          <w:t>(1).]</w:t>
        </w:r>
      </w:ins>
    </w:p>
    <w:p>
      <w:pPr>
        <w:pStyle w:val="Heading5"/>
      </w:pPr>
      <w:bookmarkStart w:id="1439" w:name="_Toc276038867"/>
      <w:bookmarkStart w:id="1440" w:name="_Toc210120113"/>
      <w:r>
        <w:rPr>
          <w:rStyle w:val="CharSectno"/>
        </w:rPr>
        <w:t>111A</w:t>
      </w:r>
      <w:r>
        <w:t>.</w:t>
      </w:r>
      <w:r>
        <w:tab/>
        <w:t>Adoption of other laws, codes etc.</w:t>
      </w:r>
      <w:bookmarkEnd w:id="1439"/>
      <w:bookmarkEnd w:id="1440"/>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441" w:name="_Toc276038868"/>
      <w:bookmarkStart w:id="1442" w:name="_Toc210120114"/>
      <w:r>
        <w:rPr>
          <w:rStyle w:val="CharSectno"/>
        </w:rPr>
        <w:t>112</w:t>
      </w:r>
      <w:r>
        <w:rPr>
          <w:snapToGrid w:val="0"/>
        </w:rPr>
        <w:t>.</w:t>
      </w:r>
      <w:r>
        <w:rPr>
          <w:snapToGrid w:val="0"/>
        </w:rPr>
        <w:tab/>
        <w:t>Liability of director</w:t>
      </w:r>
      <w:del w:id="1443" w:author="svcMRProcess" w:date="2018-09-08T08:22:00Z">
        <w:r>
          <w:rPr>
            <w:snapToGrid w:val="0"/>
          </w:rPr>
          <w:delText>,</w:delText>
        </w:r>
      </w:del>
      <w:r>
        <w:rPr>
          <w:snapToGrid w:val="0"/>
        </w:rPr>
        <w:t xml:space="preserve"> etc</w:t>
      </w:r>
      <w:del w:id="1444" w:author="svcMRProcess" w:date="2018-09-08T08:22:00Z">
        <w:r>
          <w:rPr>
            <w:snapToGrid w:val="0"/>
          </w:rPr>
          <w:delText>.,</w:delText>
        </w:r>
      </w:del>
      <w:ins w:id="1445" w:author="svcMRProcess" w:date="2018-09-08T08:22:00Z">
        <w:r>
          <w:rPr>
            <w:snapToGrid w:val="0"/>
          </w:rPr>
          <w:t>.</w:t>
        </w:r>
      </w:ins>
      <w:r>
        <w:rPr>
          <w:snapToGrid w:val="0"/>
        </w:rPr>
        <w:t xml:space="preserve"> of a body corporate that is owner of a vehicle</w:t>
      </w:r>
      <w:bookmarkEnd w:id="1441"/>
      <w:bookmarkEnd w:id="1442"/>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repealed]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446" w:name="_Toc276038869"/>
      <w:bookmarkStart w:id="1447" w:name="_Toc210120115"/>
      <w:r>
        <w:rPr>
          <w:rStyle w:val="CharSectno"/>
        </w:rPr>
        <w:t>113</w:t>
      </w:r>
      <w:r>
        <w:t>.</w:t>
      </w:r>
      <w:r>
        <w:tab/>
        <w:t>Schemes for optional number plates</w:t>
      </w:r>
      <w:bookmarkEnd w:id="1446"/>
      <w:bookmarkEnd w:id="1447"/>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outlineLvl w:val="0"/>
      </w:pPr>
      <w:bookmarkStart w:id="1448" w:name="_Toc201457669"/>
      <w:bookmarkStart w:id="1449" w:name="_Toc202335538"/>
      <w:bookmarkStart w:id="1450" w:name="_Toc202770362"/>
      <w:bookmarkStart w:id="1451" w:name="_Toc203541573"/>
      <w:bookmarkStart w:id="1452" w:name="_Toc204067649"/>
      <w:bookmarkStart w:id="1453" w:name="_Toc204072771"/>
      <w:bookmarkStart w:id="1454" w:name="_Toc205285073"/>
      <w:bookmarkStart w:id="1455" w:name="_Toc207510294"/>
      <w:bookmarkStart w:id="1456" w:name="_Toc207675701"/>
      <w:bookmarkStart w:id="1457" w:name="_Toc207685251"/>
      <w:bookmarkStart w:id="1458" w:name="_Toc208979105"/>
      <w:bookmarkStart w:id="1459" w:name="_Toc208979419"/>
      <w:bookmarkStart w:id="1460" w:name="_Toc209246595"/>
      <w:bookmarkStart w:id="1461" w:name="_Toc211654615"/>
      <w:bookmarkStart w:id="1462" w:name="_Toc276038870"/>
      <w:bookmarkStart w:id="1463" w:name="_Toc210120116"/>
      <w:r>
        <w:t>Notes</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p>
    <w:p>
      <w:pPr>
        <w:pStyle w:val="nSubsection"/>
        <w:rPr>
          <w:snapToGrid w:val="0"/>
        </w:rPr>
      </w:pPr>
      <w:r>
        <w:rPr>
          <w:snapToGrid w:val="0"/>
          <w:vertAlign w:val="superscript"/>
        </w:rPr>
        <w:t>1</w:t>
      </w:r>
      <w:r>
        <w:rPr>
          <w:snapToGrid w:val="0"/>
        </w:rPr>
        <w:tab/>
        <w:t xml:space="preserve">This </w:t>
      </w:r>
      <w:ins w:id="1464" w:author="svcMRProcess" w:date="2018-09-08T08:22:00Z">
        <w:r>
          <w:rPr>
            <w:snapToGrid w:val="0"/>
          </w:rPr>
          <w:t xml:space="preserve">reprint </w:t>
        </w:r>
      </w:ins>
      <w:r>
        <w:rPr>
          <w:snapToGrid w:val="0"/>
        </w:rPr>
        <w:t>is a</w:t>
      </w:r>
      <w:del w:id="1465" w:author="svcMRProcess" w:date="2018-09-08T08:22:00Z">
        <w:r>
          <w:rPr>
            <w:snapToGrid w:val="0"/>
          </w:rPr>
          <w:delText> </w:delText>
        </w:r>
      </w:del>
      <w:ins w:id="1466" w:author="svcMRProcess" w:date="2018-09-08T08:22:00Z">
        <w:r>
          <w:rPr>
            <w:snapToGrid w:val="0"/>
          </w:rPr>
          <w:t xml:space="preserve"> </w:t>
        </w:r>
      </w:ins>
      <w:r>
        <w:rPr>
          <w:snapToGrid w:val="0"/>
        </w:rPr>
        <w:t xml:space="preserve">compilation </w:t>
      </w:r>
      <w:ins w:id="1467" w:author="svcMRProcess" w:date="2018-09-08T08:22:00Z">
        <w:r>
          <w:rPr>
            <w:snapToGrid w:val="0"/>
          </w:rPr>
          <w:t xml:space="preserve">as at 3 October 2008 </w:t>
        </w:r>
      </w:ins>
      <w:r>
        <w:rPr>
          <w:snapToGrid w:val="0"/>
        </w:rPr>
        <w:t xml:space="preserve">of the </w:t>
      </w:r>
      <w:r>
        <w:rPr>
          <w:i/>
          <w:noProof/>
          <w:snapToGrid w:val="0"/>
        </w:rPr>
        <w:t>Road</w:t>
      </w:r>
      <w:del w:id="1468" w:author="svcMRProcess" w:date="2018-09-08T08:22:00Z">
        <w:r>
          <w:rPr>
            <w:i/>
            <w:noProof/>
            <w:snapToGrid w:val="0"/>
          </w:rPr>
          <w:delText> </w:delText>
        </w:r>
      </w:del>
      <w:ins w:id="1469" w:author="svcMRProcess" w:date="2018-09-08T08:22:00Z">
        <w:r>
          <w:rPr>
            <w:i/>
            <w:noProof/>
            <w:snapToGrid w:val="0"/>
          </w:rPr>
          <w:t xml:space="preserve"> </w:t>
        </w:r>
      </w:ins>
      <w:r>
        <w:rPr>
          <w:i/>
          <w:noProof/>
          <w:snapToGrid w:val="0"/>
        </w:rPr>
        <w:t>Traffic</w:t>
      </w:r>
      <w:del w:id="1470" w:author="svcMRProcess" w:date="2018-09-08T08:22:00Z">
        <w:r>
          <w:rPr>
            <w:i/>
            <w:noProof/>
            <w:snapToGrid w:val="0"/>
          </w:rPr>
          <w:delText> </w:delText>
        </w:r>
      </w:del>
      <w:ins w:id="1471" w:author="svcMRProcess" w:date="2018-09-08T08:22:00Z">
        <w:r>
          <w:rPr>
            <w:i/>
            <w:noProof/>
            <w:snapToGrid w:val="0"/>
          </w:rPr>
          <w:t xml:space="preserve"> </w:t>
        </w:r>
      </w:ins>
      <w:r>
        <w:rPr>
          <w:i/>
          <w:noProof/>
          <w:snapToGrid w:val="0"/>
        </w:rPr>
        <w:t>Act</w:t>
      </w:r>
      <w:del w:id="1472" w:author="svcMRProcess" w:date="2018-09-08T08:22:00Z">
        <w:r>
          <w:rPr>
            <w:i/>
            <w:noProof/>
            <w:snapToGrid w:val="0"/>
          </w:rPr>
          <w:delText> </w:delText>
        </w:r>
      </w:del>
      <w:ins w:id="1473" w:author="svcMRProcess" w:date="2018-09-08T08:22:00Z">
        <w:r>
          <w:rPr>
            <w:i/>
            <w:noProof/>
            <w:snapToGrid w:val="0"/>
          </w:rPr>
          <w:t xml:space="preserve"> </w:t>
        </w:r>
      </w:ins>
      <w:r>
        <w:rPr>
          <w:i/>
          <w:noProof/>
          <w:snapToGrid w:val="0"/>
        </w:rPr>
        <w:t>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pPr>
      <w:bookmarkStart w:id="1474" w:name="_Toc276038871"/>
      <w:bookmarkStart w:id="1475" w:name="_Toc210120117"/>
      <w:r>
        <w:t>Compilation table</w:t>
      </w:r>
      <w:bookmarkEnd w:id="1474"/>
      <w:bookmarkEnd w:id="1475"/>
    </w:p>
    <w:tbl>
      <w:tblPr>
        <w:tblW w:w="7082" w:type="dxa"/>
        <w:tblInd w:w="28" w:type="dxa"/>
        <w:tblLayout w:type="fixed"/>
        <w:tblCellMar>
          <w:left w:w="56" w:type="dxa"/>
          <w:right w:w="56" w:type="dxa"/>
        </w:tblCellMar>
        <w:tblLook w:val="0000" w:firstRow="0" w:lastRow="0" w:firstColumn="0" w:lastColumn="0" w:noHBand="0" w:noVBand="0"/>
      </w:tblPr>
      <w:tblGrid>
        <w:gridCol w:w="2262"/>
        <w:gridCol w:w="1132"/>
        <w:gridCol w:w="1132"/>
        <w:gridCol w:w="2547"/>
        <w:gridCol w:w="9"/>
      </w:tblGrid>
      <w:tr>
        <w:trPr>
          <w:gridAfter w:val="1"/>
          <w:wAfter w:w="9" w:type="dxa"/>
          <w:cantSplit/>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2"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9" w:type="dxa"/>
          <w:cantSplit/>
        </w:trPr>
        <w:tc>
          <w:tcPr>
            <w:tcW w:w="2266" w:type="dxa"/>
          </w:tcPr>
          <w:p>
            <w:pPr>
              <w:pStyle w:val="nTable"/>
              <w:spacing w:before="30" w:after="30"/>
              <w:rPr>
                <w:sz w:val="19"/>
              </w:rPr>
            </w:pPr>
            <w:r>
              <w:rPr>
                <w:i/>
                <w:sz w:val="19"/>
              </w:rPr>
              <w:t>Road Traffic Act 1974</w:t>
            </w:r>
          </w:p>
        </w:tc>
        <w:tc>
          <w:tcPr>
            <w:tcW w:w="1132" w:type="dxa"/>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552" w:type="dxa"/>
          </w:tcPr>
          <w:p>
            <w:pPr>
              <w:pStyle w:val="nTable"/>
              <w:spacing w:before="30" w:after="30"/>
              <w:ind w:right="-82"/>
              <w:rPr>
                <w:sz w:val="19"/>
              </w:rPr>
            </w:pPr>
            <w:r>
              <w:rPr>
                <w:sz w:val="19"/>
              </w:rPr>
              <w:t>s. 4: 3 Dec 1974 (see s. 2(2)); s. 6</w:t>
            </w:r>
            <w:r>
              <w:rPr>
                <w:sz w:val="19"/>
              </w:rPr>
              <w:noBreakHyphen/>
              <w:t>10 and 12: 21 Feb 1975 (see</w:t>
            </w:r>
            <w:del w:id="1476" w:author="svcMRProcess" w:date="2018-09-08T08:22:00Z">
              <w:r>
                <w:rPr>
                  <w:sz w:val="19"/>
                </w:rPr>
                <w:delText xml:space="preserve"> </w:delText>
              </w:r>
            </w:del>
            <w:ins w:id="1477" w:author="svcMRProcess" w:date="2018-09-08T08:22:00Z">
              <w:r>
                <w:rPr>
                  <w:sz w:val="19"/>
                </w:rPr>
                <w:t> </w:t>
              </w:r>
            </w:ins>
            <w:r>
              <w:rPr>
                <w:sz w:val="19"/>
              </w:rPr>
              <w:t>s. 2(1) and </w:t>
            </w:r>
            <w:r>
              <w:rPr>
                <w:i/>
                <w:sz w:val="19"/>
              </w:rPr>
              <w:t>Gazette</w:t>
            </w:r>
            <w:r>
              <w:rPr>
                <w:sz w:val="19"/>
              </w:rPr>
              <w:t xml:space="preserve"> 21 Feb 1975 p. 633); </w:t>
            </w:r>
            <w:r>
              <w:rPr>
                <w:sz w:val="19"/>
              </w:rPr>
              <w:br/>
            </w:r>
            <w:del w:id="1478" w:author="svcMRProcess" w:date="2018-09-08T08:22:00Z">
              <w:r>
                <w:rPr>
                  <w:sz w:val="19"/>
                </w:rPr>
                <w:delText>balance</w:delText>
              </w:r>
            </w:del>
            <w:ins w:id="1479" w:author="svcMRProcess" w:date="2018-09-08T08:22:00Z">
              <w:r>
                <w:rPr>
                  <w:sz w:val="19"/>
                </w:rPr>
                <w:t>Act other than s. 4, 6</w:t>
              </w:r>
              <w:r>
                <w:rPr>
                  <w:sz w:val="19"/>
                </w:rPr>
                <w:noBreakHyphen/>
                <w:t>10 and 12</w:t>
              </w:r>
            </w:ins>
            <w:r>
              <w:rPr>
                <w:sz w:val="19"/>
              </w:rPr>
              <w:t xml:space="preserve">: 1 Jun 1975 (see s. 2(1) and </w:t>
            </w:r>
            <w:r>
              <w:rPr>
                <w:i/>
                <w:sz w:val="19"/>
              </w:rPr>
              <w:t>Gazette</w:t>
            </w:r>
            <w:r>
              <w:rPr>
                <w:sz w:val="19"/>
              </w:rPr>
              <w:t xml:space="preserve"> 29 May 1975 p. 1442)</w:t>
            </w:r>
          </w:p>
        </w:tc>
      </w:tr>
      <w:tr>
        <w:trPr>
          <w:gridAfter w:val="1"/>
          <w:wAfter w:w="9" w:type="dxa"/>
          <w:cantSplit/>
        </w:trPr>
        <w:tc>
          <w:tcPr>
            <w:tcW w:w="2266" w:type="dxa"/>
          </w:tcPr>
          <w:p>
            <w:pPr>
              <w:pStyle w:val="nTable"/>
              <w:spacing w:before="30" w:after="30"/>
              <w:rPr>
                <w:sz w:val="19"/>
              </w:rPr>
            </w:pPr>
            <w:r>
              <w:rPr>
                <w:i/>
                <w:sz w:val="19"/>
              </w:rPr>
              <w:t>Road Traffic Act Amendment Act 1975</w:t>
            </w:r>
          </w:p>
        </w:tc>
        <w:tc>
          <w:tcPr>
            <w:tcW w:w="1132" w:type="dxa"/>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552" w:type="dxa"/>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1"/>
          <w:wAfter w:w="9" w:type="dxa"/>
          <w:cantSplit/>
        </w:trPr>
        <w:tc>
          <w:tcPr>
            <w:tcW w:w="2266" w:type="dxa"/>
          </w:tcPr>
          <w:p>
            <w:pPr>
              <w:pStyle w:val="nTable"/>
              <w:spacing w:before="30" w:after="30"/>
              <w:rPr>
                <w:sz w:val="19"/>
              </w:rPr>
            </w:pPr>
            <w:r>
              <w:rPr>
                <w:i/>
                <w:sz w:val="19"/>
              </w:rPr>
              <w:t>Road Traffic Act Amendment Act (No. 2) 1975</w:t>
            </w:r>
          </w:p>
        </w:tc>
        <w:tc>
          <w:tcPr>
            <w:tcW w:w="1132" w:type="dxa"/>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552" w:type="dxa"/>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1"/>
          <w:wAfter w:w="9" w:type="dxa"/>
          <w:cantSplit/>
        </w:trPr>
        <w:tc>
          <w:tcPr>
            <w:tcW w:w="2266" w:type="dxa"/>
          </w:tcPr>
          <w:p>
            <w:pPr>
              <w:pStyle w:val="nTable"/>
              <w:spacing w:before="30" w:after="30"/>
              <w:rPr>
                <w:sz w:val="19"/>
              </w:rPr>
            </w:pPr>
            <w:r>
              <w:rPr>
                <w:i/>
                <w:sz w:val="19"/>
              </w:rPr>
              <w:t>Road Traffic Act Amendment Act 1976</w:t>
            </w:r>
          </w:p>
        </w:tc>
        <w:tc>
          <w:tcPr>
            <w:tcW w:w="1132" w:type="dxa"/>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552" w:type="dxa"/>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1"/>
          <w:wAfter w:w="9" w:type="dxa"/>
          <w:cantSplit/>
        </w:trPr>
        <w:tc>
          <w:tcPr>
            <w:tcW w:w="2266" w:type="dxa"/>
          </w:tcPr>
          <w:p>
            <w:pPr>
              <w:pStyle w:val="nTable"/>
              <w:spacing w:before="30" w:after="30"/>
              <w:rPr>
                <w:sz w:val="19"/>
              </w:rPr>
            </w:pPr>
            <w:r>
              <w:rPr>
                <w:i/>
                <w:sz w:val="19"/>
              </w:rPr>
              <w:t>Road Traffic Act Amendment Act (No. 2) 1976</w:t>
            </w:r>
          </w:p>
        </w:tc>
        <w:tc>
          <w:tcPr>
            <w:tcW w:w="1132" w:type="dxa"/>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552" w:type="dxa"/>
          </w:tcPr>
          <w:p>
            <w:pPr>
              <w:pStyle w:val="nTable"/>
              <w:spacing w:before="30" w:after="3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9" w:type="dxa"/>
          <w:cantSplit/>
        </w:trPr>
        <w:tc>
          <w:tcPr>
            <w:tcW w:w="2266" w:type="dxa"/>
          </w:tcPr>
          <w:p>
            <w:pPr>
              <w:pStyle w:val="nTable"/>
              <w:spacing w:before="30" w:after="30"/>
              <w:rPr>
                <w:sz w:val="19"/>
              </w:rPr>
            </w:pPr>
            <w:r>
              <w:rPr>
                <w:i/>
                <w:sz w:val="19"/>
              </w:rPr>
              <w:t>Road Traffic Act Amendment Act (No. 3) 1976</w:t>
            </w:r>
          </w:p>
        </w:tc>
        <w:tc>
          <w:tcPr>
            <w:tcW w:w="1132" w:type="dxa"/>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552" w:type="dxa"/>
          </w:tcPr>
          <w:p>
            <w:pPr>
              <w:pStyle w:val="nTable"/>
              <w:keepLines/>
              <w:spacing w:before="30" w:after="30"/>
              <w:rPr>
                <w:sz w:val="19"/>
              </w:rPr>
            </w:pPr>
            <w:r>
              <w:rPr>
                <w:sz w:val="19"/>
              </w:rPr>
              <w:t>9 Dec 1976</w:t>
            </w:r>
          </w:p>
        </w:tc>
      </w:tr>
      <w:tr>
        <w:trPr>
          <w:gridAfter w:val="1"/>
          <w:wAfter w:w="9" w:type="dxa"/>
          <w:cantSplit/>
        </w:trPr>
        <w:tc>
          <w:tcPr>
            <w:tcW w:w="2266" w:type="dxa"/>
          </w:tcPr>
          <w:p>
            <w:pPr>
              <w:pStyle w:val="nTable"/>
              <w:spacing w:before="30" w:after="30"/>
              <w:rPr>
                <w:sz w:val="19"/>
              </w:rPr>
            </w:pPr>
            <w:r>
              <w:rPr>
                <w:i/>
                <w:sz w:val="19"/>
              </w:rPr>
              <w:t>Road Traffic Act Amendment Act 1977</w:t>
            </w:r>
          </w:p>
        </w:tc>
        <w:tc>
          <w:tcPr>
            <w:tcW w:w="1132" w:type="dxa"/>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552" w:type="dxa"/>
          </w:tcPr>
          <w:p>
            <w:pPr>
              <w:pStyle w:val="nTable"/>
              <w:spacing w:before="30" w:after="30"/>
              <w:rPr>
                <w:sz w:val="19"/>
              </w:rPr>
            </w:pPr>
            <w:r>
              <w:rPr>
                <w:sz w:val="19"/>
              </w:rPr>
              <w:t>29 Aug 1977</w:t>
            </w:r>
          </w:p>
        </w:tc>
      </w:tr>
      <w:tr>
        <w:trPr>
          <w:gridAfter w:val="1"/>
          <w:wAfter w:w="9" w:type="dxa"/>
          <w:cantSplit/>
        </w:trPr>
        <w:tc>
          <w:tcPr>
            <w:tcW w:w="2266" w:type="dxa"/>
          </w:tcPr>
          <w:p>
            <w:pPr>
              <w:pStyle w:val="nTable"/>
              <w:spacing w:before="30" w:after="30"/>
              <w:rPr>
                <w:sz w:val="19"/>
                <w:vertAlign w:val="superscript"/>
              </w:rPr>
            </w:pPr>
            <w:r>
              <w:rPr>
                <w:i/>
                <w:sz w:val="19"/>
              </w:rPr>
              <w:t>Road Traffic Act Amendment Act 1978 </w:t>
            </w:r>
            <w:r>
              <w:rPr>
                <w:sz w:val="19"/>
                <w:vertAlign w:val="superscript"/>
              </w:rPr>
              <w:t>5</w:t>
            </w:r>
          </w:p>
        </w:tc>
        <w:tc>
          <w:tcPr>
            <w:tcW w:w="1132" w:type="dxa"/>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552" w:type="dxa"/>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9" w:type="dxa"/>
          <w:cantSplit/>
        </w:trPr>
        <w:tc>
          <w:tcPr>
            <w:tcW w:w="2266" w:type="dxa"/>
          </w:tcPr>
          <w:p>
            <w:pPr>
              <w:pStyle w:val="nTable"/>
              <w:spacing w:before="30" w:after="30"/>
              <w:rPr>
                <w:sz w:val="19"/>
              </w:rPr>
            </w:pPr>
            <w:r>
              <w:rPr>
                <w:i/>
                <w:sz w:val="19"/>
              </w:rPr>
              <w:t xml:space="preserve">Acts Amendment and Repeal (Road Maintenance) Act 1979 </w:t>
            </w:r>
            <w:r>
              <w:rPr>
                <w:sz w:val="19"/>
              </w:rPr>
              <w:t>Pt. II</w:t>
            </w:r>
          </w:p>
        </w:tc>
        <w:tc>
          <w:tcPr>
            <w:tcW w:w="1132" w:type="dxa"/>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552" w:type="dxa"/>
          </w:tcPr>
          <w:p>
            <w:pPr>
              <w:pStyle w:val="nTable"/>
              <w:spacing w:before="30" w:after="30"/>
              <w:rPr>
                <w:sz w:val="19"/>
              </w:rPr>
            </w:pPr>
            <w:r>
              <w:rPr>
                <w:sz w:val="19"/>
              </w:rPr>
              <w:t>1 Jul 1979 (see s. 2(2))</w:t>
            </w:r>
          </w:p>
        </w:tc>
      </w:tr>
      <w:tr>
        <w:trPr>
          <w:gridAfter w:val="1"/>
          <w:wAfter w:w="9" w:type="dxa"/>
          <w:cantSplit/>
        </w:trPr>
        <w:tc>
          <w:tcPr>
            <w:tcW w:w="2266" w:type="dxa"/>
          </w:tcPr>
          <w:p>
            <w:pPr>
              <w:pStyle w:val="nTable"/>
              <w:spacing w:before="30" w:after="30"/>
              <w:rPr>
                <w:sz w:val="19"/>
              </w:rPr>
            </w:pPr>
            <w:r>
              <w:rPr>
                <w:i/>
                <w:sz w:val="19"/>
              </w:rPr>
              <w:t>Road Traffic Act Amendment Act 1979</w:t>
            </w:r>
          </w:p>
        </w:tc>
        <w:tc>
          <w:tcPr>
            <w:tcW w:w="1132" w:type="dxa"/>
          </w:tcPr>
          <w:p>
            <w:pPr>
              <w:pStyle w:val="nTable"/>
              <w:spacing w:before="30" w:after="30"/>
              <w:rPr>
                <w:sz w:val="19"/>
              </w:rPr>
            </w:pPr>
            <w:r>
              <w:rPr>
                <w:sz w:val="19"/>
              </w:rPr>
              <w:t>10 of 1979</w:t>
            </w:r>
          </w:p>
        </w:tc>
        <w:tc>
          <w:tcPr>
            <w:tcW w:w="1132" w:type="dxa"/>
          </w:tcPr>
          <w:p>
            <w:pPr>
              <w:pStyle w:val="nTable"/>
              <w:spacing w:before="30" w:after="30"/>
              <w:rPr>
                <w:sz w:val="19"/>
              </w:rPr>
            </w:pPr>
            <w:r>
              <w:rPr>
                <w:sz w:val="19"/>
              </w:rPr>
              <w:t>18 May 1979</w:t>
            </w:r>
          </w:p>
        </w:tc>
        <w:tc>
          <w:tcPr>
            <w:tcW w:w="2552" w:type="dxa"/>
          </w:tcPr>
          <w:p>
            <w:pPr>
              <w:pStyle w:val="nTable"/>
              <w:spacing w:before="30" w:after="30"/>
              <w:rPr>
                <w:sz w:val="19"/>
              </w:rPr>
            </w:pPr>
            <w:r>
              <w:rPr>
                <w:sz w:val="19"/>
              </w:rPr>
              <w:t>18 May 1979</w:t>
            </w:r>
          </w:p>
        </w:tc>
      </w:tr>
      <w:tr>
        <w:trPr>
          <w:gridAfter w:val="1"/>
          <w:wAfter w:w="9" w:type="dxa"/>
          <w:cantSplit/>
        </w:trPr>
        <w:tc>
          <w:tcPr>
            <w:tcW w:w="2266" w:type="dxa"/>
          </w:tcPr>
          <w:p>
            <w:pPr>
              <w:pStyle w:val="nTable"/>
              <w:spacing w:before="30" w:after="30"/>
              <w:rPr>
                <w:sz w:val="19"/>
              </w:rPr>
            </w:pPr>
            <w:r>
              <w:rPr>
                <w:i/>
                <w:sz w:val="19"/>
              </w:rPr>
              <w:t>Road Traffic Act Amendment Act (No. 2) 1979</w:t>
            </w:r>
          </w:p>
        </w:tc>
        <w:tc>
          <w:tcPr>
            <w:tcW w:w="1132" w:type="dxa"/>
          </w:tcPr>
          <w:p>
            <w:pPr>
              <w:pStyle w:val="nTable"/>
              <w:spacing w:before="30" w:after="30"/>
              <w:rPr>
                <w:sz w:val="19"/>
              </w:rPr>
            </w:pPr>
            <w:r>
              <w:rPr>
                <w:sz w:val="19"/>
              </w:rPr>
              <w:t>71 of 1979</w:t>
            </w:r>
          </w:p>
        </w:tc>
        <w:tc>
          <w:tcPr>
            <w:tcW w:w="1132" w:type="dxa"/>
          </w:tcPr>
          <w:p>
            <w:pPr>
              <w:pStyle w:val="nTable"/>
              <w:spacing w:before="30" w:after="30"/>
              <w:rPr>
                <w:sz w:val="19"/>
              </w:rPr>
            </w:pPr>
            <w:r>
              <w:rPr>
                <w:sz w:val="19"/>
              </w:rPr>
              <w:t>27 Nov 1979</w:t>
            </w:r>
          </w:p>
        </w:tc>
        <w:tc>
          <w:tcPr>
            <w:tcW w:w="2552" w:type="dxa"/>
          </w:tcPr>
          <w:p>
            <w:pPr>
              <w:pStyle w:val="nTable"/>
              <w:spacing w:before="30" w:after="3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9" w:type="dxa"/>
          <w:cantSplit/>
        </w:trPr>
        <w:tc>
          <w:tcPr>
            <w:tcW w:w="4530"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2" w:type="dxa"/>
          </w:tcPr>
          <w:p>
            <w:pPr>
              <w:pStyle w:val="nTable"/>
              <w:spacing w:before="30" w:after="30"/>
              <w:rPr>
                <w:sz w:val="19"/>
              </w:rPr>
            </w:pPr>
            <w:r>
              <w:rPr>
                <w:sz w:val="19"/>
              </w:rPr>
              <w:t>6 Jun 1980</w:t>
            </w:r>
          </w:p>
        </w:tc>
      </w:tr>
      <w:tr>
        <w:trPr>
          <w:gridAfter w:val="1"/>
          <w:wAfter w:w="9" w:type="dxa"/>
          <w:cantSplit/>
        </w:trPr>
        <w:tc>
          <w:tcPr>
            <w:tcW w:w="7082" w:type="dxa"/>
            <w:gridSpan w:val="4"/>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9" w:type="dxa"/>
          <w:cantSplit/>
        </w:trPr>
        <w:tc>
          <w:tcPr>
            <w:tcW w:w="2266" w:type="dxa"/>
          </w:tcPr>
          <w:p>
            <w:pPr>
              <w:pStyle w:val="nTable"/>
              <w:spacing w:before="30" w:after="30"/>
              <w:rPr>
                <w:sz w:val="19"/>
              </w:rPr>
            </w:pPr>
            <w:r>
              <w:rPr>
                <w:i/>
                <w:sz w:val="19"/>
              </w:rPr>
              <w:t>Road Traffic Amendment Act 1980</w:t>
            </w:r>
          </w:p>
        </w:tc>
        <w:tc>
          <w:tcPr>
            <w:tcW w:w="1132" w:type="dxa"/>
          </w:tcPr>
          <w:p>
            <w:pPr>
              <w:pStyle w:val="nTable"/>
              <w:spacing w:before="30" w:after="30"/>
              <w:rPr>
                <w:sz w:val="19"/>
              </w:rPr>
            </w:pPr>
            <w:r>
              <w:rPr>
                <w:sz w:val="19"/>
              </w:rPr>
              <w:t>42 of 1980</w:t>
            </w:r>
          </w:p>
        </w:tc>
        <w:tc>
          <w:tcPr>
            <w:tcW w:w="1132" w:type="dxa"/>
          </w:tcPr>
          <w:p>
            <w:pPr>
              <w:pStyle w:val="nTable"/>
              <w:spacing w:before="30" w:after="30"/>
              <w:rPr>
                <w:sz w:val="19"/>
              </w:rPr>
            </w:pPr>
            <w:r>
              <w:rPr>
                <w:sz w:val="19"/>
              </w:rPr>
              <w:t>12 Nov 1980</w:t>
            </w:r>
          </w:p>
        </w:tc>
        <w:tc>
          <w:tcPr>
            <w:tcW w:w="2552" w:type="dxa"/>
          </w:tcPr>
          <w:p>
            <w:pPr>
              <w:pStyle w:val="nTable"/>
              <w:spacing w:before="30" w:after="30"/>
              <w:rPr>
                <w:sz w:val="19"/>
              </w:rPr>
            </w:pPr>
            <w:r>
              <w:rPr>
                <w:sz w:val="19"/>
              </w:rPr>
              <w:t>Act other than s. 3</w:t>
            </w:r>
            <w:r>
              <w:rPr>
                <w:sz w:val="19"/>
              </w:rPr>
              <w:noBreakHyphen/>
              <w:t>6, 8, 9(a) and 10: 12 Nov 1980 (see s. 2(1));</w:t>
            </w:r>
            <w:r>
              <w:rPr>
                <w:sz w:val="19"/>
              </w:rPr>
              <w:br/>
              <w:t>s. 3-6, 8, 9(a) and 10: 1 Jan 1981 (see s. 2(2))</w:t>
            </w:r>
          </w:p>
        </w:tc>
      </w:tr>
      <w:tr>
        <w:trPr>
          <w:gridAfter w:val="1"/>
          <w:wAfter w:w="9" w:type="dxa"/>
          <w:cantSplit/>
        </w:trPr>
        <w:tc>
          <w:tcPr>
            <w:tcW w:w="2266" w:type="dxa"/>
          </w:tcPr>
          <w:p>
            <w:pPr>
              <w:pStyle w:val="nTable"/>
              <w:spacing w:before="30" w:after="30"/>
              <w:rPr>
                <w:sz w:val="19"/>
              </w:rPr>
            </w:pPr>
            <w:r>
              <w:rPr>
                <w:i/>
                <w:sz w:val="19"/>
              </w:rPr>
              <w:t xml:space="preserve">Acts Amendment (Motor Vehicle Pools) Act 1980 </w:t>
            </w:r>
            <w:r>
              <w:rPr>
                <w:sz w:val="19"/>
              </w:rPr>
              <w:t>Pt. II</w:t>
            </w:r>
          </w:p>
        </w:tc>
        <w:tc>
          <w:tcPr>
            <w:tcW w:w="1132" w:type="dxa"/>
          </w:tcPr>
          <w:p>
            <w:pPr>
              <w:pStyle w:val="nTable"/>
              <w:spacing w:before="30" w:after="30"/>
              <w:rPr>
                <w:sz w:val="19"/>
              </w:rPr>
            </w:pPr>
            <w:r>
              <w:rPr>
                <w:sz w:val="19"/>
              </w:rPr>
              <w:t>48 of 1980</w:t>
            </w:r>
          </w:p>
        </w:tc>
        <w:tc>
          <w:tcPr>
            <w:tcW w:w="1132" w:type="dxa"/>
          </w:tcPr>
          <w:p>
            <w:pPr>
              <w:pStyle w:val="nTable"/>
              <w:spacing w:before="30" w:after="30"/>
              <w:rPr>
                <w:sz w:val="19"/>
              </w:rPr>
            </w:pPr>
            <w:r>
              <w:rPr>
                <w:sz w:val="19"/>
              </w:rPr>
              <w:t>19 Nov 1980</w:t>
            </w:r>
          </w:p>
        </w:tc>
        <w:tc>
          <w:tcPr>
            <w:tcW w:w="2552" w:type="dxa"/>
          </w:tcPr>
          <w:p>
            <w:pPr>
              <w:pStyle w:val="nTable"/>
              <w:spacing w:before="30" w:after="30"/>
              <w:rPr>
                <w:sz w:val="19"/>
              </w:rPr>
            </w:pPr>
            <w:r>
              <w:rPr>
                <w:sz w:val="19"/>
              </w:rPr>
              <w:t>19 Nov 1980</w:t>
            </w:r>
          </w:p>
        </w:tc>
      </w:tr>
      <w:tr>
        <w:trPr>
          <w:gridAfter w:val="1"/>
          <w:wAfter w:w="9" w:type="dxa"/>
          <w:cantSplit/>
        </w:trPr>
        <w:tc>
          <w:tcPr>
            <w:tcW w:w="2266" w:type="dxa"/>
          </w:tcPr>
          <w:p>
            <w:pPr>
              <w:pStyle w:val="nTable"/>
              <w:spacing w:before="30" w:after="30"/>
              <w:rPr>
                <w:sz w:val="19"/>
                <w:vertAlign w:val="superscript"/>
              </w:rPr>
            </w:pPr>
            <w:r>
              <w:rPr>
                <w:i/>
                <w:sz w:val="19"/>
              </w:rPr>
              <w:t>Road Traffic Amendment Act (No. 2) 1980 </w:t>
            </w:r>
            <w:r>
              <w:rPr>
                <w:sz w:val="19"/>
                <w:vertAlign w:val="superscript"/>
              </w:rPr>
              <w:t>6</w:t>
            </w:r>
          </w:p>
        </w:tc>
        <w:tc>
          <w:tcPr>
            <w:tcW w:w="1132" w:type="dxa"/>
          </w:tcPr>
          <w:p>
            <w:pPr>
              <w:pStyle w:val="nTable"/>
              <w:spacing w:before="30" w:after="30"/>
              <w:rPr>
                <w:sz w:val="19"/>
              </w:rPr>
            </w:pPr>
            <w:r>
              <w:rPr>
                <w:sz w:val="19"/>
              </w:rPr>
              <w:t>81 of 1980</w:t>
            </w:r>
          </w:p>
        </w:tc>
        <w:tc>
          <w:tcPr>
            <w:tcW w:w="1132" w:type="dxa"/>
          </w:tcPr>
          <w:p>
            <w:pPr>
              <w:pStyle w:val="nTable"/>
              <w:spacing w:before="30" w:after="30"/>
              <w:rPr>
                <w:sz w:val="19"/>
              </w:rPr>
            </w:pPr>
            <w:r>
              <w:rPr>
                <w:sz w:val="19"/>
              </w:rPr>
              <w:t>5 Dec 1980</w:t>
            </w:r>
          </w:p>
        </w:tc>
        <w:tc>
          <w:tcPr>
            <w:tcW w:w="2552" w:type="dxa"/>
          </w:tcPr>
          <w:p>
            <w:pPr>
              <w:pStyle w:val="nTable"/>
              <w:spacing w:before="30" w:after="30"/>
              <w:rPr>
                <w:sz w:val="19"/>
              </w:rPr>
            </w:pPr>
            <w:r>
              <w:rPr>
                <w:sz w:val="19"/>
              </w:rPr>
              <w:t>5 Dec 1980</w:t>
            </w:r>
          </w:p>
        </w:tc>
      </w:tr>
      <w:tr>
        <w:trPr>
          <w:gridAfter w:val="1"/>
          <w:wAfter w:w="9" w:type="dxa"/>
          <w:cantSplit/>
        </w:trPr>
        <w:tc>
          <w:tcPr>
            <w:tcW w:w="4530"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2" w:type="dxa"/>
          </w:tcPr>
          <w:p>
            <w:pPr>
              <w:pStyle w:val="nTable"/>
              <w:spacing w:before="30" w:after="30"/>
              <w:rPr>
                <w:sz w:val="19"/>
              </w:rPr>
            </w:pPr>
            <w:r>
              <w:rPr>
                <w:sz w:val="19"/>
              </w:rPr>
              <w:t>29 May 1981</w:t>
            </w:r>
          </w:p>
        </w:tc>
      </w:tr>
      <w:tr>
        <w:trPr>
          <w:gridAfter w:val="1"/>
          <w:wAfter w:w="9" w:type="dxa"/>
          <w:cantSplit/>
        </w:trPr>
        <w:tc>
          <w:tcPr>
            <w:tcW w:w="2266" w:type="dxa"/>
          </w:tcPr>
          <w:p>
            <w:pPr>
              <w:pStyle w:val="nTable"/>
              <w:spacing w:before="30" w:after="30"/>
              <w:rPr>
                <w:sz w:val="19"/>
              </w:rPr>
            </w:pPr>
            <w:r>
              <w:rPr>
                <w:i/>
                <w:sz w:val="19"/>
              </w:rPr>
              <w:t>Road Traffic Amendment Act 1981</w:t>
            </w:r>
          </w:p>
        </w:tc>
        <w:tc>
          <w:tcPr>
            <w:tcW w:w="1132" w:type="dxa"/>
          </w:tcPr>
          <w:p>
            <w:pPr>
              <w:pStyle w:val="nTable"/>
              <w:spacing w:before="30" w:after="30"/>
              <w:rPr>
                <w:sz w:val="19"/>
              </w:rPr>
            </w:pPr>
            <w:r>
              <w:rPr>
                <w:sz w:val="19"/>
              </w:rPr>
              <w:t>39 of 1981</w:t>
            </w:r>
          </w:p>
        </w:tc>
        <w:tc>
          <w:tcPr>
            <w:tcW w:w="1132" w:type="dxa"/>
          </w:tcPr>
          <w:p>
            <w:pPr>
              <w:pStyle w:val="nTable"/>
              <w:spacing w:before="30" w:after="30"/>
              <w:rPr>
                <w:sz w:val="19"/>
              </w:rPr>
            </w:pPr>
            <w:r>
              <w:rPr>
                <w:sz w:val="19"/>
              </w:rPr>
              <w:t>25 Aug 1981</w:t>
            </w:r>
          </w:p>
        </w:tc>
        <w:tc>
          <w:tcPr>
            <w:tcW w:w="2552" w:type="dxa"/>
          </w:tcPr>
          <w:p>
            <w:pPr>
              <w:pStyle w:val="nTable"/>
              <w:spacing w:before="30" w:after="30"/>
              <w:rPr>
                <w:sz w:val="19"/>
              </w:rPr>
            </w:pPr>
            <w:r>
              <w:rPr>
                <w:sz w:val="19"/>
              </w:rPr>
              <w:t>25 Aug 1981</w:t>
            </w:r>
          </w:p>
        </w:tc>
      </w:tr>
      <w:tr>
        <w:trPr>
          <w:gridAfter w:val="1"/>
          <w:wAfter w:w="9" w:type="dxa"/>
          <w:cantSplit/>
        </w:trPr>
        <w:tc>
          <w:tcPr>
            <w:tcW w:w="2266" w:type="dxa"/>
          </w:tcPr>
          <w:p>
            <w:pPr>
              <w:pStyle w:val="nTable"/>
              <w:spacing w:before="30" w:after="30"/>
              <w:rPr>
                <w:sz w:val="19"/>
              </w:rPr>
            </w:pPr>
            <w:r>
              <w:rPr>
                <w:i/>
                <w:sz w:val="19"/>
              </w:rPr>
              <w:t>Road Traffic Amendment Act (No. 2) 1981</w:t>
            </w:r>
          </w:p>
        </w:tc>
        <w:tc>
          <w:tcPr>
            <w:tcW w:w="1132" w:type="dxa"/>
          </w:tcPr>
          <w:p>
            <w:pPr>
              <w:pStyle w:val="nTable"/>
              <w:spacing w:before="30" w:after="30"/>
              <w:rPr>
                <w:sz w:val="19"/>
              </w:rPr>
            </w:pPr>
            <w:r>
              <w:rPr>
                <w:sz w:val="19"/>
              </w:rPr>
              <w:t>71 of 1981</w:t>
            </w:r>
          </w:p>
        </w:tc>
        <w:tc>
          <w:tcPr>
            <w:tcW w:w="1132" w:type="dxa"/>
          </w:tcPr>
          <w:p>
            <w:pPr>
              <w:pStyle w:val="nTable"/>
              <w:spacing w:before="30" w:after="30"/>
              <w:rPr>
                <w:sz w:val="19"/>
              </w:rPr>
            </w:pPr>
            <w:r>
              <w:rPr>
                <w:sz w:val="19"/>
              </w:rPr>
              <w:t>30 Oct 1981</w:t>
            </w:r>
          </w:p>
        </w:tc>
        <w:tc>
          <w:tcPr>
            <w:tcW w:w="2552" w:type="dxa"/>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1"/>
          <w:wAfter w:w="9" w:type="dxa"/>
          <w:cantSplit/>
        </w:trPr>
        <w:tc>
          <w:tcPr>
            <w:tcW w:w="2266" w:type="dxa"/>
          </w:tcPr>
          <w:p>
            <w:pPr>
              <w:pStyle w:val="nTable"/>
              <w:spacing w:before="30" w:after="30"/>
              <w:rPr>
                <w:sz w:val="19"/>
              </w:rPr>
            </w:pPr>
            <w:r>
              <w:rPr>
                <w:i/>
                <w:sz w:val="19"/>
              </w:rPr>
              <w:t>Road Traffic Amendment Act (No. 4) 1981</w:t>
            </w:r>
          </w:p>
        </w:tc>
        <w:tc>
          <w:tcPr>
            <w:tcW w:w="1132" w:type="dxa"/>
          </w:tcPr>
          <w:p>
            <w:pPr>
              <w:pStyle w:val="nTable"/>
              <w:spacing w:before="30" w:after="30"/>
              <w:rPr>
                <w:sz w:val="19"/>
              </w:rPr>
            </w:pPr>
            <w:r>
              <w:rPr>
                <w:sz w:val="19"/>
              </w:rPr>
              <w:t>105 of 1981</w:t>
            </w:r>
          </w:p>
        </w:tc>
        <w:tc>
          <w:tcPr>
            <w:tcW w:w="1132" w:type="dxa"/>
          </w:tcPr>
          <w:p>
            <w:pPr>
              <w:pStyle w:val="nTable"/>
              <w:spacing w:before="30" w:after="30"/>
              <w:rPr>
                <w:sz w:val="19"/>
              </w:rPr>
            </w:pPr>
            <w:r>
              <w:rPr>
                <w:sz w:val="19"/>
              </w:rPr>
              <w:t>4 Dec 1981</w:t>
            </w:r>
          </w:p>
        </w:tc>
        <w:tc>
          <w:tcPr>
            <w:tcW w:w="2552" w:type="dxa"/>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1"/>
          <w:wAfter w:w="9" w:type="dxa"/>
          <w:cantSplit/>
        </w:trPr>
        <w:tc>
          <w:tcPr>
            <w:tcW w:w="2266" w:type="dxa"/>
          </w:tcPr>
          <w:p>
            <w:pPr>
              <w:pStyle w:val="nTable"/>
              <w:spacing w:before="30" w:after="30"/>
              <w:rPr>
                <w:sz w:val="19"/>
              </w:rPr>
            </w:pPr>
            <w:r>
              <w:rPr>
                <w:i/>
                <w:sz w:val="19"/>
              </w:rPr>
              <w:t xml:space="preserve">Companies (Consequential Amendments) Act 1982 </w:t>
            </w:r>
            <w:r>
              <w:rPr>
                <w:sz w:val="19"/>
              </w:rPr>
              <w:t>s. 28</w:t>
            </w:r>
          </w:p>
        </w:tc>
        <w:tc>
          <w:tcPr>
            <w:tcW w:w="1132" w:type="dxa"/>
          </w:tcPr>
          <w:p>
            <w:pPr>
              <w:pStyle w:val="nTable"/>
              <w:spacing w:before="30" w:after="30"/>
              <w:rPr>
                <w:sz w:val="19"/>
              </w:rPr>
            </w:pPr>
            <w:r>
              <w:rPr>
                <w:sz w:val="19"/>
              </w:rPr>
              <w:t>10 of 1982</w:t>
            </w:r>
          </w:p>
        </w:tc>
        <w:tc>
          <w:tcPr>
            <w:tcW w:w="1132" w:type="dxa"/>
          </w:tcPr>
          <w:p>
            <w:pPr>
              <w:pStyle w:val="nTable"/>
              <w:spacing w:before="30" w:after="30"/>
              <w:rPr>
                <w:sz w:val="19"/>
              </w:rPr>
            </w:pPr>
            <w:r>
              <w:rPr>
                <w:sz w:val="19"/>
              </w:rPr>
              <w:t>14 May 1982</w:t>
            </w:r>
          </w:p>
        </w:tc>
        <w:tc>
          <w:tcPr>
            <w:tcW w:w="2552" w:type="dxa"/>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1"/>
          <w:wAfter w:w="9" w:type="dxa"/>
          <w:cantSplit/>
        </w:trPr>
        <w:tc>
          <w:tcPr>
            <w:tcW w:w="2266" w:type="dxa"/>
          </w:tcPr>
          <w:p>
            <w:pPr>
              <w:pStyle w:val="nTable"/>
              <w:spacing w:before="30" w:after="30"/>
              <w:rPr>
                <w:sz w:val="19"/>
              </w:rPr>
            </w:pPr>
            <w:r>
              <w:rPr>
                <w:i/>
                <w:sz w:val="19"/>
              </w:rPr>
              <w:t xml:space="preserve">Acts Amendment (Motor Vehicle Fees) Act 1982 </w:t>
            </w:r>
            <w:r>
              <w:rPr>
                <w:sz w:val="19"/>
              </w:rPr>
              <w:t>Pt. III</w:t>
            </w:r>
          </w:p>
        </w:tc>
        <w:tc>
          <w:tcPr>
            <w:tcW w:w="1132" w:type="dxa"/>
          </w:tcPr>
          <w:p>
            <w:pPr>
              <w:pStyle w:val="nTable"/>
              <w:spacing w:before="30" w:after="30"/>
              <w:rPr>
                <w:sz w:val="19"/>
              </w:rPr>
            </w:pPr>
            <w:r>
              <w:rPr>
                <w:sz w:val="19"/>
              </w:rPr>
              <w:t>25 of 1982</w:t>
            </w:r>
          </w:p>
        </w:tc>
        <w:tc>
          <w:tcPr>
            <w:tcW w:w="1132" w:type="dxa"/>
          </w:tcPr>
          <w:p>
            <w:pPr>
              <w:pStyle w:val="nTable"/>
              <w:spacing w:before="30" w:after="30"/>
              <w:rPr>
                <w:sz w:val="19"/>
              </w:rPr>
            </w:pPr>
            <w:r>
              <w:rPr>
                <w:sz w:val="19"/>
              </w:rPr>
              <w:t>27 May 1982</w:t>
            </w:r>
          </w:p>
        </w:tc>
        <w:tc>
          <w:tcPr>
            <w:tcW w:w="2552" w:type="dxa"/>
          </w:tcPr>
          <w:p>
            <w:pPr>
              <w:pStyle w:val="nTable"/>
              <w:spacing w:before="30" w:after="30"/>
              <w:rPr>
                <w:sz w:val="19"/>
              </w:rPr>
            </w:pPr>
            <w:r>
              <w:rPr>
                <w:sz w:val="19"/>
              </w:rPr>
              <w:t>1 Jul 1982 (see s. 2)</w:t>
            </w:r>
          </w:p>
        </w:tc>
      </w:tr>
      <w:tr>
        <w:trPr>
          <w:gridAfter w:val="1"/>
          <w:wAfter w:w="9" w:type="dxa"/>
          <w:cantSplit/>
        </w:trPr>
        <w:tc>
          <w:tcPr>
            <w:tcW w:w="4530"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2" w:type="dxa"/>
          </w:tcPr>
          <w:p>
            <w:pPr>
              <w:pStyle w:val="nTable"/>
              <w:spacing w:before="30" w:after="30"/>
              <w:rPr>
                <w:sz w:val="19"/>
              </w:rPr>
            </w:pPr>
            <w:r>
              <w:rPr>
                <w:sz w:val="19"/>
              </w:rPr>
              <w:t>28 May 1982</w:t>
            </w:r>
          </w:p>
        </w:tc>
      </w:tr>
      <w:tr>
        <w:trPr>
          <w:gridAfter w:val="1"/>
          <w:wAfter w:w="9" w:type="dxa"/>
          <w:cantSplit/>
        </w:trPr>
        <w:tc>
          <w:tcPr>
            <w:tcW w:w="2266" w:type="dxa"/>
          </w:tcPr>
          <w:p>
            <w:pPr>
              <w:pStyle w:val="nTable"/>
              <w:spacing w:before="30" w:after="30"/>
              <w:rPr>
                <w:sz w:val="19"/>
              </w:rPr>
            </w:pPr>
            <w:r>
              <w:rPr>
                <w:i/>
                <w:sz w:val="19"/>
              </w:rPr>
              <w:t>Road Traffic Amendment Act 1982</w:t>
            </w:r>
          </w:p>
        </w:tc>
        <w:tc>
          <w:tcPr>
            <w:tcW w:w="1132" w:type="dxa"/>
          </w:tcPr>
          <w:p>
            <w:pPr>
              <w:pStyle w:val="nTable"/>
              <w:spacing w:before="30" w:after="30"/>
              <w:rPr>
                <w:sz w:val="19"/>
              </w:rPr>
            </w:pPr>
            <w:r>
              <w:rPr>
                <w:sz w:val="19"/>
              </w:rPr>
              <w:t>60 of 1982</w:t>
            </w:r>
          </w:p>
        </w:tc>
        <w:tc>
          <w:tcPr>
            <w:tcW w:w="1132" w:type="dxa"/>
          </w:tcPr>
          <w:p>
            <w:pPr>
              <w:pStyle w:val="nTable"/>
              <w:spacing w:before="30" w:after="30"/>
              <w:rPr>
                <w:sz w:val="19"/>
              </w:rPr>
            </w:pPr>
            <w:r>
              <w:rPr>
                <w:sz w:val="19"/>
              </w:rPr>
              <w:t>24 Sep 1982</w:t>
            </w:r>
          </w:p>
        </w:tc>
        <w:tc>
          <w:tcPr>
            <w:tcW w:w="2552" w:type="dxa"/>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9" w:type="dxa"/>
          <w:cantSplit/>
        </w:trPr>
        <w:tc>
          <w:tcPr>
            <w:tcW w:w="2266" w:type="dxa"/>
          </w:tcPr>
          <w:p>
            <w:pPr>
              <w:pStyle w:val="nTable"/>
              <w:spacing w:before="30" w:after="30"/>
              <w:rPr>
                <w:sz w:val="19"/>
                <w:vertAlign w:val="superscript"/>
              </w:rPr>
            </w:pPr>
            <w:r>
              <w:rPr>
                <w:i/>
                <w:sz w:val="19"/>
              </w:rPr>
              <w:t>Road Traffic Amendment Act (No. 2) 1982 </w:t>
            </w:r>
            <w:r>
              <w:rPr>
                <w:sz w:val="19"/>
                <w:vertAlign w:val="superscript"/>
              </w:rPr>
              <w:t>7</w:t>
            </w:r>
          </w:p>
        </w:tc>
        <w:tc>
          <w:tcPr>
            <w:tcW w:w="1132" w:type="dxa"/>
          </w:tcPr>
          <w:p>
            <w:pPr>
              <w:pStyle w:val="nTable"/>
              <w:spacing w:before="30" w:after="30"/>
              <w:rPr>
                <w:sz w:val="19"/>
              </w:rPr>
            </w:pPr>
            <w:r>
              <w:rPr>
                <w:sz w:val="19"/>
              </w:rPr>
              <w:t>82 of 1982</w:t>
            </w:r>
          </w:p>
        </w:tc>
        <w:tc>
          <w:tcPr>
            <w:tcW w:w="1132" w:type="dxa"/>
          </w:tcPr>
          <w:p>
            <w:pPr>
              <w:pStyle w:val="nTable"/>
              <w:spacing w:before="30" w:after="30"/>
              <w:rPr>
                <w:sz w:val="19"/>
              </w:rPr>
            </w:pPr>
            <w:r>
              <w:rPr>
                <w:sz w:val="19"/>
              </w:rPr>
              <w:t>11 Nov 1982</w:t>
            </w:r>
          </w:p>
        </w:tc>
        <w:tc>
          <w:tcPr>
            <w:tcW w:w="2552" w:type="dxa"/>
          </w:tcPr>
          <w:p>
            <w:pPr>
              <w:pStyle w:val="nTable"/>
              <w:spacing w:before="30" w:after="3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9" w:type="dxa"/>
          <w:cantSplit/>
        </w:trPr>
        <w:tc>
          <w:tcPr>
            <w:tcW w:w="4530"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2" w:type="dxa"/>
          </w:tcPr>
          <w:p>
            <w:pPr>
              <w:pStyle w:val="nTable"/>
              <w:spacing w:before="30" w:after="30"/>
              <w:rPr>
                <w:sz w:val="19"/>
              </w:rPr>
            </w:pPr>
            <w:r>
              <w:rPr>
                <w:sz w:val="19"/>
              </w:rPr>
              <w:t>20 May 1983</w:t>
            </w:r>
          </w:p>
        </w:tc>
      </w:tr>
      <w:tr>
        <w:trPr>
          <w:gridAfter w:val="1"/>
          <w:wAfter w:w="9" w:type="dxa"/>
          <w:cantSplit/>
        </w:trPr>
        <w:tc>
          <w:tcPr>
            <w:tcW w:w="7082" w:type="dxa"/>
            <w:gridSpan w:val="4"/>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9" w:type="dxa"/>
          <w:cantSplit/>
        </w:trPr>
        <w:tc>
          <w:tcPr>
            <w:tcW w:w="4530"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2" w:type="dxa"/>
          </w:tcPr>
          <w:p>
            <w:pPr>
              <w:pStyle w:val="nTable"/>
              <w:spacing w:before="30" w:after="30"/>
              <w:rPr>
                <w:sz w:val="19"/>
              </w:rPr>
            </w:pPr>
            <w:r>
              <w:rPr>
                <w:sz w:val="19"/>
              </w:rPr>
              <w:t>28 Jun 1984</w:t>
            </w:r>
          </w:p>
        </w:tc>
      </w:tr>
      <w:tr>
        <w:trPr>
          <w:gridAfter w:val="1"/>
          <w:wAfter w:w="9" w:type="dxa"/>
          <w:cantSplit/>
        </w:trPr>
        <w:tc>
          <w:tcPr>
            <w:tcW w:w="2266" w:type="dxa"/>
          </w:tcPr>
          <w:p>
            <w:pPr>
              <w:pStyle w:val="nTable"/>
              <w:spacing w:before="30" w:after="30"/>
              <w:rPr>
                <w:sz w:val="19"/>
              </w:rPr>
            </w:pPr>
            <w:r>
              <w:rPr>
                <w:i/>
                <w:sz w:val="19"/>
              </w:rPr>
              <w:t>Road Traffic Amendment Act 1984</w:t>
            </w:r>
          </w:p>
        </w:tc>
        <w:tc>
          <w:tcPr>
            <w:tcW w:w="1132" w:type="dxa"/>
          </w:tcPr>
          <w:p>
            <w:pPr>
              <w:pStyle w:val="nTable"/>
              <w:spacing w:before="30" w:after="30"/>
              <w:rPr>
                <w:sz w:val="19"/>
              </w:rPr>
            </w:pPr>
            <w:r>
              <w:rPr>
                <w:sz w:val="19"/>
              </w:rPr>
              <w:t>95 of 1984</w:t>
            </w:r>
          </w:p>
        </w:tc>
        <w:tc>
          <w:tcPr>
            <w:tcW w:w="1132" w:type="dxa"/>
          </w:tcPr>
          <w:p>
            <w:pPr>
              <w:pStyle w:val="nTable"/>
              <w:spacing w:before="30" w:after="30"/>
              <w:rPr>
                <w:sz w:val="19"/>
              </w:rPr>
            </w:pPr>
            <w:r>
              <w:rPr>
                <w:sz w:val="19"/>
              </w:rPr>
              <w:t>7 Dec 1984</w:t>
            </w:r>
          </w:p>
        </w:tc>
        <w:tc>
          <w:tcPr>
            <w:tcW w:w="2552" w:type="dxa"/>
          </w:tcPr>
          <w:p>
            <w:pPr>
              <w:pStyle w:val="nTable"/>
              <w:spacing w:before="30" w:after="30"/>
              <w:rPr>
                <w:sz w:val="19"/>
              </w:rPr>
            </w:pPr>
            <w:r>
              <w:rPr>
                <w:sz w:val="19"/>
              </w:rPr>
              <w:t>4 Jan 1985</w:t>
            </w:r>
          </w:p>
        </w:tc>
      </w:tr>
      <w:tr>
        <w:trPr>
          <w:gridAfter w:val="1"/>
          <w:wAfter w:w="9" w:type="dxa"/>
          <w:cantSplit/>
        </w:trPr>
        <w:tc>
          <w:tcPr>
            <w:tcW w:w="2266" w:type="dxa"/>
          </w:tcPr>
          <w:p>
            <w:pPr>
              <w:pStyle w:val="nTable"/>
              <w:spacing w:before="30" w:after="30"/>
              <w:rPr>
                <w:sz w:val="19"/>
              </w:rPr>
            </w:pPr>
            <w:r>
              <w:rPr>
                <w:i/>
                <w:sz w:val="19"/>
              </w:rPr>
              <w:t xml:space="preserve">Acts Amendment and Repeal (Credit) Act 1984 </w:t>
            </w:r>
            <w:r>
              <w:rPr>
                <w:sz w:val="19"/>
              </w:rPr>
              <w:t>Pt. VII</w:t>
            </w:r>
          </w:p>
        </w:tc>
        <w:tc>
          <w:tcPr>
            <w:tcW w:w="1132" w:type="dxa"/>
          </w:tcPr>
          <w:p>
            <w:pPr>
              <w:pStyle w:val="nTable"/>
              <w:spacing w:before="30" w:after="30"/>
              <w:rPr>
                <w:sz w:val="19"/>
              </w:rPr>
            </w:pPr>
            <w:r>
              <w:rPr>
                <w:sz w:val="19"/>
              </w:rPr>
              <w:t>102 of 1984</w:t>
            </w:r>
          </w:p>
        </w:tc>
        <w:tc>
          <w:tcPr>
            <w:tcW w:w="1132" w:type="dxa"/>
          </w:tcPr>
          <w:p>
            <w:pPr>
              <w:pStyle w:val="nTable"/>
              <w:spacing w:before="30" w:after="30"/>
              <w:rPr>
                <w:sz w:val="19"/>
              </w:rPr>
            </w:pPr>
            <w:r>
              <w:rPr>
                <w:sz w:val="19"/>
              </w:rPr>
              <w:t>19 Dec 1984</w:t>
            </w:r>
          </w:p>
        </w:tc>
        <w:tc>
          <w:tcPr>
            <w:tcW w:w="2552" w:type="dxa"/>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1"/>
          <w:wAfter w:w="9" w:type="dxa"/>
          <w:cantSplit/>
        </w:trPr>
        <w:tc>
          <w:tcPr>
            <w:tcW w:w="2266"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2" w:type="dxa"/>
          </w:tcPr>
          <w:p>
            <w:pPr>
              <w:pStyle w:val="nTable"/>
              <w:spacing w:before="30" w:after="30"/>
              <w:rPr>
                <w:sz w:val="19"/>
              </w:rPr>
            </w:pPr>
            <w:r>
              <w:rPr>
                <w:sz w:val="19"/>
              </w:rPr>
              <w:t>54 of 1985</w:t>
            </w:r>
          </w:p>
        </w:tc>
        <w:tc>
          <w:tcPr>
            <w:tcW w:w="1132" w:type="dxa"/>
          </w:tcPr>
          <w:p>
            <w:pPr>
              <w:pStyle w:val="nTable"/>
              <w:spacing w:before="30" w:after="30"/>
              <w:rPr>
                <w:sz w:val="19"/>
              </w:rPr>
            </w:pPr>
            <w:r>
              <w:rPr>
                <w:sz w:val="19"/>
              </w:rPr>
              <w:t>28 Oct 1985</w:t>
            </w:r>
          </w:p>
        </w:tc>
        <w:tc>
          <w:tcPr>
            <w:tcW w:w="2552" w:type="dxa"/>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1"/>
          <w:wAfter w:w="9" w:type="dxa"/>
          <w:cantSplit/>
        </w:trPr>
        <w:tc>
          <w:tcPr>
            <w:tcW w:w="2266" w:type="dxa"/>
          </w:tcPr>
          <w:p>
            <w:pPr>
              <w:pStyle w:val="nTable"/>
              <w:keepNext/>
              <w:spacing w:before="30" w:after="30"/>
              <w:rPr>
                <w:sz w:val="19"/>
              </w:rPr>
            </w:pPr>
            <w:r>
              <w:rPr>
                <w:i/>
                <w:sz w:val="19"/>
              </w:rPr>
              <w:t>Road Traffic Amendment Act 1985</w:t>
            </w:r>
          </w:p>
        </w:tc>
        <w:tc>
          <w:tcPr>
            <w:tcW w:w="1132" w:type="dxa"/>
          </w:tcPr>
          <w:p>
            <w:pPr>
              <w:pStyle w:val="nTable"/>
              <w:keepNext/>
              <w:spacing w:before="30" w:after="30"/>
              <w:rPr>
                <w:sz w:val="19"/>
              </w:rPr>
            </w:pPr>
            <w:r>
              <w:rPr>
                <w:sz w:val="19"/>
              </w:rPr>
              <w:t>89 of 1985</w:t>
            </w:r>
          </w:p>
        </w:tc>
        <w:tc>
          <w:tcPr>
            <w:tcW w:w="1132" w:type="dxa"/>
          </w:tcPr>
          <w:p>
            <w:pPr>
              <w:pStyle w:val="nTable"/>
              <w:keepNext/>
              <w:spacing w:before="30" w:after="30"/>
              <w:rPr>
                <w:sz w:val="19"/>
              </w:rPr>
            </w:pPr>
            <w:r>
              <w:rPr>
                <w:sz w:val="19"/>
              </w:rPr>
              <w:t>4 Dec 1985</w:t>
            </w:r>
          </w:p>
        </w:tc>
        <w:tc>
          <w:tcPr>
            <w:tcW w:w="2552" w:type="dxa"/>
          </w:tcPr>
          <w:p>
            <w:pPr>
              <w:pStyle w:val="nTable"/>
              <w:spacing w:before="30" w:after="30"/>
              <w:rPr>
                <w:sz w:val="19"/>
              </w:rPr>
            </w:pPr>
            <w:r>
              <w:rPr>
                <w:sz w:val="19"/>
              </w:rPr>
              <w:t>4 Dec 1985 (see s. 2)</w:t>
            </w:r>
          </w:p>
        </w:tc>
      </w:tr>
      <w:tr>
        <w:trPr>
          <w:gridAfter w:val="1"/>
          <w:wAfter w:w="9" w:type="dxa"/>
          <w:cantSplit/>
        </w:trPr>
        <w:tc>
          <w:tcPr>
            <w:tcW w:w="4530"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2" w:type="dxa"/>
          </w:tcPr>
          <w:p>
            <w:pPr>
              <w:pStyle w:val="nTable"/>
              <w:spacing w:before="30" w:after="30"/>
              <w:rPr>
                <w:sz w:val="19"/>
              </w:rPr>
            </w:pPr>
            <w:r>
              <w:rPr>
                <w:sz w:val="19"/>
              </w:rPr>
              <w:t>30 May 1986</w:t>
            </w:r>
          </w:p>
        </w:tc>
      </w:tr>
      <w:tr>
        <w:trPr>
          <w:gridAfter w:val="1"/>
          <w:wAfter w:w="9" w:type="dxa"/>
          <w:cantSplit/>
        </w:trPr>
        <w:tc>
          <w:tcPr>
            <w:tcW w:w="2266" w:type="dxa"/>
          </w:tcPr>
          <w:p>
            <w:pPr>
              <w:pStyle w:val="nTable"/>
              <w:spacing w:before="30" w:after="30"/>
              <w:rPr>
                <w:sz w:val="19"/>
              </w:rPr>
            </w:pPr>
            <w:r>
              <w:rPr>
                <w:i/>
                <w:sz w:val="19"/>
              </w:rPr>
              <w:t>Road Traffic Amendment Act (No. 2) 1986</w:t>
            </w:r>
          </w:p>
        </w:tc>
        <w:tc>
          <w:tcPr>
            <w:tcW w:w="1132" w:type="dxa"/>
          </w:tcPr>
          <w:p>
            <w:pPr>
              <w:pStyle w:val="nTable"/>
              <w:keepNext/>
              <w:spacing w:before="30" w:after="30"/>
              <w:rPr>
                <w:sz w:val="19"/>
              </w:rPr>
            </w:pPr>
            <w:r>
              <w:rPr>
                <w:sz w:val="19"/>
              </w:rPr>
              <w:t>78 of 1986</w:t>
            </w:r>
          </w:p>
        </w:tc>
        <w:tc>
          <w:tcPr>
            <w:tcW w:w="1132" w:type="dxa"/>
          </w:tcPr>
          <w:p>
            <w:pPr>
              <w:pStyle w:val="nTable"/>
              <w:keepNext/>
              <w:spacing w:before="30" w:after="30"/>
              <w:rPr>
                <w:sz w:val="19"/>
              </w:rPr>
            </w:pPr>
            <w:r>
              <w:rPr>
                <w:sz w:val="19"/>
              </w:rPr>
              <w:t>4 Dec 1986</w:t>
            </w:r>
          </w:p>
        </w:tc>
        <w:tc>
          <w:tcPr>
            <w:tcW w:w="2552" w:type="dxa"/>
          </w:tcPr>
          <w:p>
            <w:pPr>
              <w:pStyle w:val="nTable"/>
              <w:spacing w:before="30" w:after="30"/>
              <w:rPr>
                <w:sz w:val="19"/>
              </w:rPr>
            </w:pPr>
            <w:r>
              <w:rPr>
                <w:sz w:val="19"/>
              </w:rPr>
              <w:t>4 Dec 1986 (see s. 2)</w:t>
            </w:r>
          </w:p>
        </w:tc>
      </w:tr>
      <w:tr>
        <w:trPr>
          <w:gridAfter w:val="1"/>
          <w:wAfter w:w="9" w:type="dxa"/>
          <w:cantSplit/>
        </w:trPr>
        <w:tc>
          <w:tcPr>
            <w:tcW w:w="4530"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2" w:type="dxa"/>
          </w:tcPr>
          <w:p>
            <w:pPr>
              <w:pStyle w:val="nTable"/>
              <w:spacing w:before="30" w:after="30"/>
              <w:rPr>
                <w:sz w:val="19"/>
              </w:rPr>
            </w:pPr>
            <w:r>
              <w:rPr>
                <w:sz w:val="19"/>
              </w:rPr>
              <w:t>29 May 1987</w:t>
            </w:r>
          </w:p>
        </w:tc>
      </w:tr>
      <w:tr>
        <w:trPr>
          <w:gridAfter w:val="1"/>
          <w:wAfter w:w="9" w:type="dxa"/>
          <w:cantSplit/>
        </w:trPr>
        <w:tc>
          <w:tcPr>
            <w:tcW w:w="2266" w:type="dxa"/>
          </w:tcPr>
          <w:p>
            <w:pPr>
              <w:pStyle w:val="nTable"/>
              <w:spacing w:before="30" w:after="30"/>
              <w:rPr>
                <w:sz w:val="19"/>
              </w:rPr>
            </w:pPr>
            <w:r>
              <w:rPr>
                <w:i/>
                <w:sz w:val="19"/>
              </w:rPr>
              <w:t xml:space="preserve">Road Traffic Amendment Act (No. 2) 1987 </w:t>
            </w:r>
            <w:r>
              <w:rPr>
                <w:sz w:val="19"/>
                <w:vertAlign w:val="superscript"/>
              </w:rPr>
              <w:t>8, 9</w:t>
            </w:r>
          </w:p>
        </w:tc>
        <w:tc>
          <w:tcPr>
            <w:tcW w:w="1132" w:type="dxa"/>
          </w:tcPr>
          <w:p>
            <w:pPr>
              <w:pStyle w:val="nTable"/>
              <w:spacing w:before="30" w:after="30"/>
              <w:rPr>
                <w:sz w:val="19"/>
              </w:rPr>
            </w:pPr>
            <w:r>
              <w:rPr>
                <w:sz w:val="19"/>
              </w:rPr>
              <w:t>121 of 1987</w:t>
            </w:r>
            <w:ins w:id="1480" w:author="svcMRProcess" w:date="2018-09-08T08:22:00Z">
              <w:r>
                <w:rPr>
                  <w:sz w:val="19"/>
                </w:rPr>
                <w:t xml:space="preserve"> (as amended by No. 84 of 2004 s. 80 cl. 123)</w:t>
              </w:r>
            </w:ins>
          </w:p>
        </w:tc>
        <w:tc>
          <w:tcPr>
            <w:tcW w:w="1132" w:type="dxa"/>
          </w:tcPr>
          <w:p>
            <w:pPr>
              <w:pStyle w:val="nTable"/>
              <w:spacing w:before="30" w:after="30"/>
              <w:rPr>
                <w:sz w:val="19"/>
              </w:rPr>
            </w:pPr>
            <w:r>
              <w:rPr>
                <w:sz w:val="19"/>
              </w:rPr>
              <w:t>24 Dec 1987</w:t>
            </w:r>
          </w:p>
        </w:tc>
        <w:tc>
          <w:tcPr>
            <w:tcW w:w="2552" w:type="dxa"/>
          </w:tcPr>
          <w:p>
            <w:pPr>
              <w:pStyle w:val="nTable"/>
              <w:spacing w:before="30" w:after="30"/>
              <w:rPr>
                <w:sz w:val="19"/>
              </w:rPr>
            </w:pPr>
            <w:del w:id="1481" w:author="svcMRProcess" w:date="2018-09-08T08:22:00Z">
              <w:r>
                <w:rPr>
                  <w:sz w:val="19"/>
                </w:rPr>
                <w:delText>s.</w:delText>
              </w:r>
            </w:del>
            <w:ins w:id="1482" w:author="svcMRProcess" w:date="2018-09-08T08:22:00Z">
              <w:r>
                <w:rPr>
                  <w:sz w:val="19"/>
                </w:rPr>
                <w:t>s. 1 and 2: 24 Dec 1987;</w:t>
              </w:r>
              <w:r>
                <w:rPr>
                  <w:sz w:val="19"/>
                </w:rPr>
                <w:br/>
                <w:t>s.</w:t>
              </w:r>
            </w:ins>
            <w:r>
              <w:rPr>
                <w:sz w:val="19"/>
              </w:rPr>
              <w:t>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gridAfter w:val="1"/>
          <w:wAfter w:w="9" w:type="dxa"/>
          <w:cantSplit/>
        </w:trPr>
        <w:tc>
          <w:tcPr>
            <w:tcW w:w="2266" w:type="dxa"/>
          </w:tcPr>
          <w:p>
            <w:pPr>
              <w:pStyle w:val="nTable"/>
              <w:spacing w:after="40"/>
              <w:rPr>
                <w:sz w:val="19"/>
              </w:rPr>
            </w:pPr>
            <w:r>
              <w:rPr>
                <w:i/>
                <w:sz w:val="19"/>
              </w:rPr>
              <w:t>Road Traffic Amendment Act 1988</w:t>
            </w:r>
            <w:r>
              <w:rPr>
                <w:sz w:val="19"/>
                <w:vertAlign w:val="superscript"/>
              </w:rPr>
              <w:t> 10</w:t>
            </w:r>
          </w:p>
        </w:tc>
        <w:tc>
          <w:tcPr>
            <w:tcW w:w="1132" w:type="dxa"/>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552" w:type="dxa"/>
          </w:tcPr>
          <w:p>
            <w:pPr>
              <w:pStyle w:val="nTable"/>
              <w:spacing w:after="40"/>
              <w:rPr>
                <w:sz w:val="19"/>
              </w:rPr>
            </w:pPr>
            <w:del w:id="1483" w:author="svcMRProcess" w:date="2018-09-08T08:22:00Z">
              <w:r>
                <w:rPr>
                  <w:sz w:val="19"/>
                </w:rPr>
                <w:delText>s.</w:delText>
              </w:r>
            </w:del>
            <w:ins w:id="1484" w:author="svcMRProcess" w:date="2018-09-08T08:22:00Z">
              <w:r>
                <w:rPr>
                  <w:sz w:val="19"/>
                </w:rPr>
                <w:t>s. 1 and 2: 6 Sep 1988;</w:t>
              </w:r>
              <w:r>
                <w:rPr>
                  <w:sz w:val="19"/>
                </w:rPr>
                <w:br/>
                <w:t>s.</w:t>
              </w:r>
            </w:ins>
            <w:r>
              <w:rPr>
                <w:sz w:val="19"/>
              </w:rPr>
              <w:t>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9" w:type="dxa"/>
          <w:cantSplit/>
        </w:trPr>
        <w:tc>
          <w:tcPr>
            <w:tcW w:w="2266"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2" w:type="dxa"/>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552" w:type="dxa"/>
          </w:tcPr>
          <w:p>
            <w:pPr>
              <w:pStyle w:val="nTable"/>
              <w:spacing w:after="40"/>
              <w:rPr>
                <w:sz w:val="19"/>
              </w:rPr>
            </w:pPr>
            <w:ins w:id="1485" w:author="svcMRProcess" w:date="2018-09-08T08:22:00Z">
              <w:r>
                <w:rPr>
                  <w:sz w:val="19"/>
                </w:rPr>
                <w:t>s. 1 and 2: 9 Sep 1988;</w:t>
              </w:r>
              <w:r>
                <w:rPr>
                  <w:sz w:val="19"/>
                </w:rPr>
                <w:br/>
                <w:t xml:space="preserve">Act other than s. 1, 2 and 5: </w:t>
              </w:r>
            </w:ins>
            <w:r>
              <w:rPr>
                <w:sz w:val="19"/>
              </w:rPr>
              <w:t xml:space="preserve">1 Oct 1988 (see s. 2 and </w:t>
            </w:r>
            <w:r>
              <w:rPr>
                <w:i/>
                <w:sz w:val="19"/>
              </w:rPr>
              <w:t>Gazette</w:t>
            </w:r>
            <w:r>
              <w:rPr>
                <w:sz w:val="19"/>
              </w:rPr>
              <w:t xml:space="preserve"> 30 Sep 1988 p. 3967)</w:t>
            </w:r>
          </w:p>
        </w:tc>
      </w:tr>
      <w:tr>
        <w:trPr>
          <w:gridAfter w:val="1"/>
          <w:wAfter w:w="9" w:type="dxa"/>
          <w:cantSplit/>
        </w:trPr>
        <w:tc>
          <w:tcPr>
            <w:tcW w:w="2266" w:type="dxa"/>
          </w:tcPr>
          <w:p>
            <w:pPr>
              <w:pStyle w:val="nTable"/>
              <w:spacing w:after="40"/>
              <w:rPr>
                <w:sz w:val="19"/>
              </w:rPr>
            </w:pPr>
            <w:r>
              <w:rPr>
                <w:i/>
                <w:sz w:val="19"/>
              </w:rPr>
              <w:t>Road Traffic Amendment Act (No. 3) 1988</w:t>
            </w:r>
          </w:p>
        </w:tc>
        <w:tc>
          <w:tcPr>
            <w:tcW w:w="1132" w:type="dxa"/>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552" w:type="dxa"/>
          </w:tcPr>
          <w:p>
            <w:pPr>
              <w:pStyle w:val="nTable"/>
              <w:spacing w:after="40"/>
              <w:rPr>
                <w:sz w:val="19"/>
              </w:rPr>
            </w:pPr>
            <w:ins w:id="1486" w:author="svcMRProcess" w:date="2018-09-08T08:22:00Z">
              <w:r>
                <w:rPr>
                  <w:sz w:val="19"/>
                </w:rPr>
                <w:t>s. 1 and 2: 24 Nov 1988;</w:t>
              </w:r>
              <w:r>
                <w:rPr>
                  <w:sz w:val="19"/>
                </w:rPr>
                <w:br/>
                <w:t xml:space="preserve">Act other than s. 1 and 2: </w:t>
              </w:r>
            </w:ins>
            <w:r>
              <w:rPr>
                <w:sz w:val="19"/>
              </w:rPr>
              <w:t xml:space="preserve">21 Jul 1989 (see s. 3 and </w:t>
            </w:r>
            <w:r>
              <w:rPr>
                <w:i/>
                <w:sz w:val="19"/>
              </w:rPr>
              <w:t>Gazette</w:t>
            </w:r>
            <w:r>
              <w:rPr>
                <w:sz w:val="19"/>
              </w:rPr>
              <w:t xml:space="preserve"> 21 Jul 1989 p. 2212)</w:t>
            </w:r>
          </w:p>
        </w:tc>
      </w:tr>
      <w:tr>
        <w:trPr>
          <w:gridAfter w:val="1"/>
          <w:wAfter w:w="9" w:type="dxa"/>
          <w:cantSplit/>
        </w:trPr>
        <w:tc>
          <w:tcPr>
            <w:tcW w:w="2266" w:type="dxa"/>
          </w:tcPr>
          <w:p>
            <w:pPr>
              <w:pStyle w:val="nTable"/>
              <w:spacing w:after="40"/>
              <w:rPr>
                <w:sz w:val="19"/>
              </w:rPr>
            </w:pPr>
            <w:r>
              <w:rPr>
                <w:i/>
                <w:sz w:val="19"/>
              </w:rPr>
              <w:t>Road Traffic Amendment Act (No. 2) 1988</w:t>
            </w:r>
          </w:p>
        </w:tc>
        <w:tc>
          <w:tcPr>
            <w:tcW w:w="1132" w:type="dxa"/>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552" w:type="dxa"/>
          </w:tcPr>
          <w:p>
            <w:pPr>
              <w:pStyle w:val="nTable"/>
              <w:spacing w:after="40"/>
              <w:rPr>
                <w:sz w:val="19"/>
              </w:rPr>
            </w:pPr>
            <w:ins w:id="1487" w:author="svcMRProcess" w:date="2018-09-08T08:22:00Z">
              <w:r>
                <w:rPr>
                  <w:sz w:val="19"/>
                </w:rPr>
                <w:t>s. 1 and 2: 8 Dec 1988;</w:t>
              </w:r>
              <w:r>
                <w:rPr>
                  <w:sz w:val="19"/>
                </w:rPr>
                <w:br/>
                <w:t xml:space="preserve">Act other than s. 1 and 2: </w:t>
              </w:r>
            </w:ins>
            <w:r>
              <w:rPr>
                <w:sz w:val="19"/>
              </w:rPr>
              <w:t xml:space="preserve">1 Feb 1989 (see s. 2 and </w:t>
            </w:r>
            <w:r>
              <w:rPr>
                <w:i/>
                <w:sz w:val="19"/>
              </w:rPr>
              <w:t>Gazette</w:t>
            </w:r>
            <w:r>
              <w:rPr>
                <w:sz w:val="19"/>
              </w:rPr>
              <w:t xml:space="preserve"> 23 Dec 1988 p. 4937)</w:t>
            </w:r>
          </w:p>
        </w:tc>
      </w:tr>
      <w:tr>
        <w:trPr>
          <w:gridAfter w:val="1"/>
          <w:wAfter w:w="9" w:type="dxa"/>
          <w:cantSplit/>
        </w:trPr>
        <w:tc>
          <w:tcPr>
            <w:tcW w:w="2266" w:type="dxa"/>
          </w:tcPr>
          <w:p>
            <w:pPr>
              <w:pStyle w:val="nTable"/>
              <w:spacing w:after="40"/>
              <w:rPr>
                <w:sz w:val="19"/>
              </w:rPr>
            </w:pPr>
            <w:r>
              <w:rPr>
                <w:i/>
                <w:sz w:val="19"/>
              </w:rPr>
              <w:t>Acts Amendment (Events on Roads) Act 1988</w:t>
            </w:r>
            <w:r>
              <w:rPr>
                <w:sz w:val="19"/>
              </w:rPr>
              <w:t xml:space="preserve"> Pt. 2</w:t>
            </w:r>
          </w:p>
        </w:tc>
        <w:tc>
          <w:tcPr>
            <w:tcW w:w="1132" w:type="dxa"/>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552"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1"/>
          <w:wAfter w:w="9" w:type="dxa"/>
          <w:cantSplit/>
        </w:trPr>
        <w:tc>
          <w:tcPr>
            <w:tcW w:w="2266" w:type="dxa"/>
          </w:tcPr>
          <w:p>
            <w:pPr>
              <w:pStyle w:val="nTable"/>
              <w:spacing w:after="40"/>
              <w:rPr>
                <w:sz w:val="19"/>
              </w:rPr>
            </w:pPr>
            <w:r>
              <w:rPr>
                <w:i/>
                <w:sz w:val="19"/>
              </w:rPr>
              <w:t xml:space="preserve">Acts Amendment (Children’s Court) Act 1988 </w:t>
            </w:r>
            <w:r>
              <w:rPr>
                <w:sz w:val="19"/>
              </w:rPr>
              <w:t>Pt. 7</w:t>
            </w:r>
          </w:p>
        </w:tc>
        <w:tc>
          <w:tcPr>
            <w:tcW w:w="1132" w:type="dxa"/>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552"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1"/>
          <w:wAfter w:w="9" w:type="dxa"/>
          <w:cantSplit/>
        </w:trPr>
        <w:tc>
          <w:tcPr>
            <w:tcW w:w="4530"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2" w:type="dxa"/>
          </w:tcPr>
          <w:p>
            <w:pPr>
              <w:pStyle w:val="nTable"/>
              <w:spacing w:after="40"/>
              <w:rPr>
                <w:sz w:val="19"/>
              </w:rPr>
            </w:pPr>
            <w:r>
              <w:rPr>
                <w:sz w:val="19"/>
              </w:rPr>
              <w:t>11 Aug 1989</w:t>
            </w:r>
          </w:p>
        </w:tc>
      </w:tr>
      <w:tr>
        <w:trPr>
          <w:gridAfter w:val="1"/>
          <w:wAfter w:w="9" w:type="dxa"/>
          <w:cantSplit/>
        </w:trPr>
        <w:tc>
          <w:tcPr>
            <w:tcW w:w="4530"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2" w:type="dxa"/>
          </w:tcPr>
          <w:p>
            <w:pPr>
              <w:pStyle w:val="nTable"/>
              <w:spacing w:after="40"/>
              <w:rPr>
                <w:sz w:val="19"/>
              </w:rPr>
            </w:pPr>
            <w:r>
              <w:rPr>
                <w:sz w:val="19"/>
              </w:rPr>
              <w:t>22 Sep 1989</w:t>
            </w:r>
          </w:p>
        </w:tc>
      </w:tr>
      <w:tr>
        <w:trPr>
          <w:gridAfter w:val="1"/>
          <w:wAfter w:w="9" w:type="dxa"/>
          <w:cantSplit/>
        </w:trPr>
        <w:tc>
          <w:tcPr>
            <w:tcW w:w="4530"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2" w:type="dxa"/>
          </w:tcPr>
          <w:p>
            <w:pPr>
              <w:pStyle w:val="nTable"/>
              <w:spacing w:after="40"/>
              <w:rPr>
                <w:sz w:val="19"/>
              </w:rPr>
            </w:pPr>
            <w:r>
              <w:rPr>
                <w:sz w:val="19"/>
              </w:rPr>
              <w:t>17 Nov 1989</w:t>
            </w:r>
          </w:p>
        </w:tc>
      </w:tr>
      <w:tr>
        <w:trPr>
          <w:gridAfter w:val="1"/>
          <w:wAfter w:w="9" w:type="dxa"/>
          <w:cantSplit/>
        </w:trPr>
        <w:tc>
          <w:tcPr>
            <w:tcW w:w="2266"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2" w:type="dxa"/>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552"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1"/>
          <w:wAfter w:w="9" w:type="dxa"/>
          <w:cantSplit/>
        </w:trPr>
        <w:tc>
          <w:tcPr>
            <w:tcW w:w="4530"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2" w:type="dxa"/>
          </w:tcPr>
          <w:p>
            <w:pPr>
              <w:pStyle w:val="nTable"/>
              <w:spacing w:after="40"/>
              <w:rPr>
                <w:sz w:val="19"/>
              </w:rPr>
            </w:pPr>
            <w:r>
              <w:rPr>
                <w:sz w:val="19"/>
              </w:rPr>
              <w:t>29 Aug 1990</w:t>
            </w:r>
          </w:p>
        </w:tc>
      </w:tr>
      <w:tr>
        <w:trPr>
          <w:gridAfter w:val="1"/>
          <w:wAfter w:w="9" w:type="dxa"/>
          <w:cantSplit/>
        </w:trPr>
        <w:tc>
          <w:tcPr>
            <w:tcW w:w="4530"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2" w:type="dxa"/>
          </w:tcPr>
          <w:p>
            <w:pPr>
              <w:pStyle w:val="nTable"/>
              <w:spacing w:after="40"/>
              <w:rPr>
                <w:sz w:val="19"/>
              </w:rPr>
            </w:pPr>
            <w:r>
              <w:rPr>
                <w:sz w:val="19"/>
              </w:rPr>
              <w:t>23 Nov 1990</w:t>
            </w:r>
          </w:p>
        </w:tc>
      </w:tr>
      <w:tr>
        <w:trPr>
          <w:gridAfter w:val="1"/>
          <w:wAfter w:w="9" w:type="dxa"/>
          <w:cantSplit/>
        </w:trPr>
        <w:tc>
          <w:tcPr>
            <w:tcW w:w="2266" w:type="dxa"/>
          </w:tcPr>
          <w:p>
            <w:pPr>
              <w:pStyle w:val="nTable"/>
              <w:spacing w:after="40"/>
              <w:rPr>
                <w:sz w:val="19"/>
              </w:rPr>
            </w:pPr>
            <w:r>
              <w:rPr>
                <w:i/>
                <w:sz w:val="19"/>
              </w:rPr>
              <w:t>Road Traffic Amendment Act (No. 3) 1990</w:t>
            </w:r>
          </w:p>
        </w:tc>
        <w:tc>
          <w:tcPr>
            <w:tcW w:w="1132" w:type="dxa"/>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552" w:type="dxa"/>
          </w:tcPr>
          <w:p>
            <w:pPr>
              <w:pStyle w:val="nTable"/>
              <w:spacing w:after="40"/>
              <w:rPr>
                <w:sz w:val="19"/>
              </w:rPr>
            </w:pPr>
            <w:del w:id="1488" w:author="svcMRProcess" w:date="2018-09-08T08:22:00Z">
              <w:r>
                <w:rPr>
                  <w:sz w:val="19"/>
                </w:rPr>
                <w:delText>21</w:delText>
              </w:r>
            </w:del>
            <w:ins w:id="1489" w:author="svcMRProcess" w:date="2018-09-08T08:22:00Z">
              <w:r>
                <w:rPr>
                  <w:sz w:val="19"/>
                </w:rPr>
                <w:t>s. 1 and 2: 17</w:t>
              </w:r>
            </w:ins>
            <w:r>
              <w:rPr>
                <w:sz w:val="19"/>
              </w:rPr>
              <w:t> Dec 1990</w:t>
            </w:r>
            <w:del w:id="1490" w:author="svcMRProcess" w:date="2018-09-08T08:22:00Z">
              <w:r>
                <w:rPr>
                  <w:sz w:val="19"/>
                </w:rPr>
                <w:delText xml:space="preserve"> </w:delText>
              </w:r>
            </w:del>
            <w:ins w:id="1491" w:author="svcMRProcess" w:date="2018-09-08T08:22:00Z">
              <w:r>
                <w:rPr>
                  <w:sz w:val="19"/>
                </w:rPr>
                <w:t>;</w:t>
              </w:r>
              <w:r>
                <w:rPr>
                  <w:sz w:val="19"/>
                </w:rPr>
                <w:br/>
                <w:t xml:space="preserve">Act other than s. 1 and 2: 21 Dec 1990 </w:t>
              </w:r>
            </w:ins>
            <w:r>
              <w:rPr>
                <w:sz w:val="19"/>
              </w:rPr>
              <w:t xml:space="preserve">(see s. 2 and </w:t>
            </w:r>
            <w:r>
              <w:rPr>
                <w:i/>
                <w:sz w:val="19"/>
              </w:rPr>
              <w:t>Gazette</w:t>
            </w:r>
            <w:r>
              <w:rPr>
                <w:sz w:val="19"/>
              </w:rPr>
              <w:t xml:space="preserve"> 21 Dec 1990 p. 6212)</w:t>
            </w:r>
          </w:p>
        </w:tc>
      </w:tr>
      <w:tr>
        <w:trPr>
          <w:gridAfter w:val="1"/>
          <w:wAfter w:w="9" w:type="dxa"/>
          <w:cantSplit/>
        </w:trPr>
        <w:tc>
          <w:tcPr>
            <w:tcW w:w="7082" w:type="dxa"/>
            <w:gridSpan w:val="4"/>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9" w:type="dxa"/>
          <w:cantSplit/>
        </w:trPr>
        <w:tc>
          <w:tcPr>
            <w:tcW w:w="4530"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2" w:type="dxa"/>
          </w:tcPr>
          <w:p>
            <w:pPr>
              <w:pStyle w:val="nTable"/>
              <w:spacing w:after="40"/>
              <w:rPr>
                <w:sz w:val="19"/>
              </w:rPr>
            </w:pPr>
            <w:r>
              <w:rPr>
                <w:sz w:val="19"/>
              </w:rPr>
              <w:t>23 Aug 1991</w:t>
            </w:r>
          </w:p>
        </w:tc>
      </w:tr>
      <w:tr>
        <w:trPr>
          <w:gridAfter w:val="1"/>
          <w:wAfter w:w="9" w:type="dxa"/>
          <w:cantSplit/>
        </w:trPr>
        <w:tc>
          <w:tcPr>
            <w:tcW w:w="4530"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2" w:type="dxa"/>
          </w:tcPr>
          <w:p>
            <w:pPr>
              <w:pStyle w:val="nTable"/>
              <w:spacing w:after="40"/>
              <w:rPr>
                <w:sz w:val="19"/>
              </w:rPr>
            </w:pPr>
            <w:r>
              <w:rPr>
                <w:sz w:val="19"/>
              </w:rPr>
              <w:t>22 Nov 1991</w:t>
            </w:r>
          </w:p>
        </w:tc>
      </w:tr>
      <w:tr>
        <w:trPr>
          <w:gridAfter w:val="1"/>
          <w:wAfter w:w="9" w:type="dxa"/>
          <w:cantSplit/>
        </w:trPr>
        <w:tc>
          <w:tcPr>
            <w:tcW w:w="2266"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2" w:type="dxa"/>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552" w:type="dxa"/>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9" w:type="dxa"/>
          <w:cantSplit/>
        </w:trPr>
        <w:tc>
          <w:tcPr>
            <w:tcW w:w="2266" w:type="dxa"/>
          </w:tcPr>
          <w:p>
            <w:pPr>
              <w:pStyle w:val="nTable"/>
              <w:spacing w:after="40"/>
              <w:rPr>
                <w:sz w:val="19"/>
              </w:rPr>
            </w:pPr>
            <w:r>
              <w:rPr>
                <w:i/>
                <w:sz w:val="19"/>
              </w:rPr>
              <w:t>Road Traffic (Bicycle Helmets) Amendment Act 1991</w:t>
            </w:r>
          </w:p>
        </w:tc>
        <w:tc>
          <w:tcPr>
            <w:tcW w:w="1132" w:type="dxa"/>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552" w:type="dxa"/>
          </w:tcPr>
          <w:p>
            <w:pPr>
              <w:pStyle w:val="nTable"/>
              <w:spacing w:after="40"/>
              <w:rPr>
                <w:sz w:val="19"/>
              </w:rPr>
            </w:pPr>
            <w:r>
              <w:rPr>
                <w:sz w:val="19"/>
              </w:rPr>
              <w:t>17 Dec 1991 (see s. 2)</w:t>
            </w:r>
          </w:p>
        </w:tc>
      </w:tr>
      <w:tr>
        <w:trPr>
          <w:gridAfter w:val="1"/>
          <w:wAfter w:w="9" w:type="dxa"/>
          <w:cantSplit/>
        </w:trPr>
        <w:tc>
          <w:tcPr>
            <w:tcW w:w="2266" w:type="dxa"/>
          </w:tcPr>
          <w:p>
            <w:pPr>
              <w:pStyle w:val="nTable"/>
              <w:spacing w:after="40"/>
              <w:rPr>
                <w:sz w:val="19"/>
              </w:rPr>
            </w:pPr>
            <w:r>
              <w:rPr>
                <w:i/>
                <w:sz w:val="19"/>
              </w:rPr>
              <w:t>Road Traffic Amendment (Power Assisted Pedal Cycles) Act 1991</w:t>
            </w:r>
          </w:p>
        </w:tc>
        <w:tc>
          <w:tcPr>
            <w:tcW w:w="1132" w:type="dxa"/>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552" w:type="dxa"/>
          </w:tcPr>
          <w:p>
            <w:pPr>
              <w:pStyle w:val="nTable"/>
              <w:spacing w:after="40"/>
              <w:rPr>
                <w:sz w:val="19"/>
              </w:rPr>
            </w:pPr>
            <w:del w:id="1492" w:author="svcMRProcess" w:date="2018-09-08T08:22:00Z">
              <w:r>
                <w:rPr>
                  <w:sz w:val="19"/>
                </w:rPr>
                <w:delText>24</w:delText>
              </w:r>
            </w:del>
            <w:ins w:id="1493" w:author="svcMRProcess" w:date="2018-09-08T08:22:00Z">
              <w:r>
                <w:rPr>
                  <w:sz w:val="19"/>
                </w:rPr>
                <w:t>s. 1 and 2: 17</w:t>
              </w:r>
            </w:ins>
            <w:r>
              <w:rPr>
                <w:sz w:val="19"/>
              </w:rPr>
              <w:t> Dec 1991</w:t>
            </w:r>
            <w:del w:id="1494" w:author="svcMRProcess" w:date="2018-09-08T08:22:00Z">
              <w:r>
                <w:rPr>
                  <w:sz w:val="19"/>
                </w:rPr>
                <w:delText xml:space="preserve"> </w:delText>
              </w:r>
            </w:del>
            <w:ins w:id="1495" w:author="svcMRProcess" w:date="2018-09-08T08:22:00Z">
              <w:r>
                <w:rPr>
                  <w:sz w:val="19"/>
                </w:rPr>
                <w:t>;</w:t>
              </w:r>
              <w:r>
                <w:rPr>
                  <w:sz w:val="19"/>
                </w:rPr>
                <w:br/>
                <w:t xml:space="preserve">Act other than s. 1 and 2: 24 Dec 1991 </w:t>
              </w:r>
            </w:ins>
            <w:r>
              <w:rPr>
                <w:sz w:val="19"/>
              </w:rPr>
              <w:t xml:space="preserve">(see s. 2 and </w:t>
            </w:r>
            <w:r>
              <w:rPr>
                <w:i/>
                <w:sz w:val="19"/>
              </w:rPr>
              <w:t>Gazette</w:t>
            </w:r>
            <w:r>
              <w:rPr>
                <w:sz w:val="19"/>
              </w:rPr>
              <w:t xml:space="preserve"> 24 Dec 1991 p. 6395)</w:t>
            </w:r>
          </w:p>
        </w:tc>
      </w:tr>
      <w:tr>
        <w:trPr>
          <w:gridAfter w:val="1"/>
          <w:wAfter w:w="9" w:type="dxa"/>
          <w:cantSplit/>
        </w:trPr>
        <w:tc>
          <w:tcPr>
            <w:tcW w:w="2266" w:type="dxa"/>
          </w:tcPr>
          <w:p>
            <w:pPr>
              <w:pStyle w:val="nTable"/>
              <w:spacing w:after="40"/>
              <w:rPr>
                <w:sz w:val="19"/>
              </w:rPr>
            </w:pPr>
            <w:r>
              <w:rPr>
                <w:i/>
                <w:sz w:val="19"/>
              </w:rPr>
              <w:t>Criminal Law Amendment Act 1992</w:t>
            </w:r>
            <w:r>
              <w:rPr>
                <w:sz w:val="19"/>
              </w:rPr>
              <w:t xml:space="preserve"> Pt. 3</w:t>
            </w:r>
          </w:p>
        </w:tc>
        <w:tc>
          <w:tcPr>
            <w:tcW w:w="1132" w:type="dxa"/>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552" w:type="dxa"/>
          </w:tcPr>
          <w:p>
            <w:pPr>
              <w:pStyle w:val="nTable"/>
              <w:spacing w:after="40"/>
              <w:rPr>
                <w:sz w:val="19"/>
              </w:rPr>
            </w:pPr>
            <w:r>
              <w:rPr>
                <w:sz w:val="19"/>
              </w:rPr>
              <w:t>9 Mar 1992 (see s. 2)</w:t>
            </w:r>
          </w:p>
        </w:tc>
      </w:tr>
      <w:tr>
        <w:trPr>
          <w:gridAfter w:val="1"/>
          <w:wAfter w:w="9" w:type="dxa"/>
          <w:cantSplit/>
        </w:trPr>
        <w:tc>
          <w:tcPr>
            <w:tcW w:w="2266" w:type="dxa"/>
          </w:tcPr>
          <w:p>
            <w:pPr>
              <w:pStyle w:val="nTable"/>
              <w:spacing w:after="40"/>
              <w:rPr>
                <w:sz w:val="19"/>
              </w:rPr>
            </w:pPr>
            <w:r>
              <w:rPr>
                <w:i/>
                <w:sz w:val="19"/>
              </w:rPr>
              <w:t>Road Traffic Amendment Act 1992</w:t>
            </w:r>
          </w:p>
        </w:tc>
        <w:tc>
          <w:tcPr>
            <w:tcW w:w="1132" w:type="dxa"/>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552" w:type="dxa"/>
          </w:tcPr>
          <w:p>
            <w:pPr>
              <w:pStyle w:val="nTable"/>
              <w:spacing w:after="40"/>
              <w:rPr>
                <w:sz w:val="19"/>
              </w:rPr>
            </w:pPr>
            <w:r>
              <w:rPr>
                <w:sz w:val="19"/>
              </w:rPr>
              <w:t>16 Jun 1993 (see s. 2)</w:t>
            </w:r>
          </w:p>
        </w:tc>
      </w:tr>
      <w:tr>
        <w:trPr>
          <w:gridAfter w:val="1"/>
          <w:wAfter w:w="9" w:type="dxa"/>
          <w:cantSplit/>
        </w:trPr>
        <w:tc>
          <w:tcPr>
            <w:tcW w:w="4530"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2" w:type="dxa"/>
          </w:tcPr>
          <w:p>
            <w:pPr>
              <w:pStyle w:val="nTable"/>
              <w:spacing w:after="40"/>
              <w:rPr>
                <w:sz w:val="19"/>
              </w:rPr>
            </w:pPr>
            <w:r>
              <w:rPr>
                <w:sz w:val="19"/>
              </w:rPr>
              <w:t>21 Aug 1992</w:t>
            </w:r>
          </w:p>
        </w:tc>
      </w:tr>
      <w:tr>
        <w:trPr>
          <w:gridAfter w:val="1"/>
          <w:wAfter w:w="9" w:type="dxa"/>
          <w:cantSplit/>
        </w:trPr>
        <w:tc>
          <w:tcPr>
            <w:tcW w:w="4530"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2" w:type="dxa"/>
          </w:tcPr>
          <w:p>
            <w:pPr>
              <w:pStyle w:val="nTable"/>
              <w:spacing w:after="40"/>
              <w:rPr>
                <w:sz w:val="19"/>
              </w:rPr>
            </w:pPr>
            <w:r>
              <w:rPr>
                <w:sz w:val="19"/>
              </w:rPr>
              <w:t>13 Nov 1992</w:t>
            </w:r>
          </w:p>
        </w:tc>
      </w:tr>
      <w:tr>
        <w:trPr>
          <w:gridAfter w:val="1"/>
          <w:wAfter w:w="9" w:type="dxa"/>
          <w:cantSplit/>
        </w:trPr>
        <w:tc>
          <w:tcPr>
            <w:tcW w:w="2266" w:type="dxa"/>
          </w:tcPr>
          <w:p>
            <w:pPr>
              <w:pStyle w:val="nTable"/>
              <w:spacing w:after="40"/>
              <w:rPr>
                <w:sz w:val="19"/>
              </w:rPr>
            </w:pPr>
            <w:r>
              <w:rPr>
                <w:i/>
                <w:sz w:val="19"/>
              </w:rPr>
              <w:t>Financial Administration Legislation Amendment Act 1993</w:t>
            </w:r>
            <w:r>
              <w:rPr>
                <w:sz w:val="19"/>
              </w:rPr>
              <w:t xml:space="preserve"> s. 6 and 11</w:t>
            </w:r>
          </w:p>
        </w:tc>
        <w:tc>
          <w:tcPr>
            <w:tcW w:w="1132" w:type="dxa"/>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552" w:type="dxa"/>
          </w:tcPr>
          <w:p>
            <w:pPr>
              <w:pStyle w:val="nTable"/>
              <w:spacing w:after="40"/>
              <w:rPr>
                <w:sz w:val="19"/>
              </w:rPr>
            </w:pPr>
            <w:r>
              <w:rPr>
                <w:sz w:val="19"/>
              </w:rPr>
              <w:t>s. 11: 1 Jul 1993 (see s. 2(1));</w:t>
            </w:r>
            <w:r>
              <w:rPr>
                <w:sz w:val="19"/>
              </w:rPr>
              <w:br/>
              <w:t>s. 6: 27 Aug 1993 (see s. 2(2))</w:t>
            </w:r>
          </w:p>
        </w:tc>
      </w:tr>
      <w:tr>
        <w:trPr>
          <w:gridAfter w:val="1"/>
          <w:wAfter w:w="9" w:type="dxa"/>
          <w:cantSplit/>
        </w:trPr>
        <w:tc>
          <w:tcPr>
            <w:tcW w:w="2266" w:type="dxa"/>
          </w:tcPr>
          <w:p>
            <w:pPr>
              <w:pStyle w:val="nTable"/>
              <w:spacing w:after="40"/>
              <w:rPr>
                <w:sz w:val="19"/>
              </w:rPr>
            </w:pPr>
            <w:r>
              <w:rPr>
                <w:i/>
                <w:sz w:val="19"/>
              </w:rPr>
              <w:t>Acts Amendment (Vehicles on Roads) Act 1994</w:t>
            </w:r>
            <w:r>
              <w:rPr>
                <w:sz w:val="19"/>
              </w:rPr>
              <w:t xml:space="preserve"> Pt. 3</w:t>
            </w:r>
          </w:p>
        </w:tc>
        <w:tc>
          <w:tcPr>
            <w:tcW w:w="1132" w:type="dxa"/>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552"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1"/>
          <w:wAfter w:w="9" w:type="dxa"/>
          <w:cantSplit/>
        </w:trPr>
        <w:tc>
          <w:tcPr>
            <w:tcW w:w="2266" w:type="dxa"/>
          </w:tcPr>
          <w:p>
            <w:pPr>
              <w:pStyle w:val="nTable"/>
              <w:spacing w:after="40"/>
              <w:rPr>
                <w:sz w:val="19"/>
              </w:rPr>
            </w:pPr>
            <w:r>
              <w:rPr>
                <w:i/>
                <w:sz w:val="19"/>
              </w:rPr>
              <w:t>Taxi Act 1994</w:t>
            </w:r>
            <w:r>
              <w:rPr>
                <w:sz w:val="19"/>
              </w:rPr>
              <w:t xml:space="preserve"> s. 48</w:t>
            </w:r>
          </w:p>
        </w:tc>
        <w:tc>
          <w:tcPr>
            <w:tcW w:w="1132" w:type="dxa"/>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1"/>
          <w:wAfter w:w="9" w:type="dxa"/>
          <w:cantSplit/>
        </w:trPr>
        <w:tc>
          <w:tcPr>
            <w:tcW w:w="2266" w:type="dxa"/>
          </w:tcPr>
          <w:p>
            <w:pPr>
              <w:pStyle w:val="nTable"/>
              <w:spacing w:after="40"/>
              <w:rPr>
                <w:sz w:val="19"/>
              </w:rPr>
            </w:pPr>
            <w:r>
              <w:rPr>
                <w:i/>
                <w:sz w:val="19"/>
              </w:rPr>
              <w:t>Acts Amendment (Fines, Penalties and Infringement Notices) Act 1994</w:t>
            </w:r>
            <w:r>
              <w:rPr>
                <w:sz w:val="19"/>
              </w:rPr>
              <w:t xml:space="preserve"> Pt. 19</w:t>
            </w:r>
          </w:p>
        </w:tc>
        <w:tc>
          <w:tcPr>
            <w:tcW w:w="1132" w:type="dxa"/>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9" w:type="dxa"/>
          <w:cantSplit/>
        </w:trPr>
        <w:tc>
          <w:tcPr>
            <w:tcW w:w="7082" w:type="dxa"/>
            <w:gridSpan w:val="4"/>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9" w:type="dxa"/>
          <w:cantSplit/>
        </w:trPr>
        <w:tc>
          <w:tcPr>
            <w:tcW w:w="2266" w:type="dxa"/>
          </w:tcPr>
          <w:p>
            <w:pPr>
              <w:pStyle w:val="nTable"/>
              <w:spacing w:after="40"/>
              <w:rPr>
                <w:sz w:val="19"/>
              </w:rPr>
            </w:pPr>
            <w:r>
              <w:rPr>
                <w:i/>
                <w:sz w:val="19"/>
              </w:rPr>
              <w:t>Road Traffic Amendment Act 1995</w:t>
            </w:r>
          </w:p>
        </w:tc>
        <w:tc>
          <w:tcPr>
            <w:tcW w:w="1132" w:type="dxa"/>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552" w:type="dxa"/>
          </w:tcPr>
          <w:p>
            <w:pPr>
              <w:pStyle w:val="nTable"/>
              <w:spacing w:after="40"/>
              <w:rPr>
                <w:sz w:val="19"/>
              </w:rPr>
            </w:pPr>
            <w:ins w:id="1496" w:author="svcMRProcess" w:date="2018-09-08T08:22:00Z">
              <w:r>
                <w:rPr>
                  <w:sz w:val="19"/>
                </w:rPr>
                <w:t>s. 1 and 2: 13 Jul 1995;</w:t>
              </w:r>
              <w:r>
                <w:rPr>
                  <w:sz w:val="19"/>
                </w:rPr>
                <w:br/>
                <w:t xml:space="preserve">Act other than s. 1 and 2: </w:t>
              </w:r>
            </w:ins>
            <w:r>
              <w:rPr>
                <w:sz w:val="19"/>
              </w:rPr>
              <w:t xml:space="preserve">25 Nov 1995 (see s. 2 and </w:t>
            </w:r>
            <w:r>
              <w:rPr>
                <w:i/>
                <w:sz w:val="19"/>
              </w:rPr>
              <w:t>Gazette</w:t>
            </w:r>
            <w:r>
              <w:rPr>
                <w:sz w:val="19"/>
              </w:rPr>
              <w:t xml:space="preserve"> 24 Nov 1995 p. 5390)</w:t>
            </w:r>
          </w:p>
        </w:tc>
      </w:tr>
      <w:tr>
        <w:trPr>
          <w:gridAfter w:val="1"/>
          <w:wAfter w:w="9" w:type="dxa"/>
          <w:cantSplit/>
        </w:trPr>
        <w:tc>
          <w:tcPr>
            <w:tcW w:w="2266" w:type="dxa"/>
          </w:tcPr>
          <w:p>
            <w:pPr>
              <w:pStyle w:val="nTable"/>
              <w:spacing w:after="40"/>
              <w:rPr>
                <w:sz w:val="19"/>
              </w:rPr>
            </w:pPr>
            <w:r>
              <w:rPr>
                <w:i/>
                <w:sz w:val="19"/>
              </w:rPr>
              <w:t>Acts Amendment (Vehicle Licences) Act 1995</w:t>
            </w:r>
            <w:r>
              <w:rPr>
                <w:sz w:val="19"/>
              </w:rPr>
              <w:t xml:space="preserve"> Pt. 2</w:t>
            </w:r>
          </w:p>
        </w:tc>
        <w:tc>
          <w:tcPr>
            <w:tcW w:w="1132" w:type="dxa"/>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552" w:type="dxa"/>
          </w:tcPr>
          <w:p>
            <w:pPr>
              <w:pStyle w:val="nTable"/>
              <w:spacing w:after="40"/>
              <w:rPr>
                <w:sz w:val="19"/>
              </w:rPr>
            </w:pPr>
            <w:r>
              <w:rPr>
                <w:sz w:val="19"/>
              </w:rPr>
              <w:t>20 Dec 1995 (see s. 2)</w:t>
            </w:r>
          </w:p>
        </w:tc>
      </w:tr>
      <w:tr>
        <w:trPr>
          <w:gridAfter w:val="1"/>
          <w:wAfter w:w="9" w:type="dxa"/>
          <w:cantSplit/>
        </w:trPr>
        <w:tc>
          <w:tcPr>
            <w:tcW w:w="2266" w:type="dxa"/>
          </w:tcPr>
          <w:p>
            <w:pPr>
              <w:pStyle w:val="nTable"/>
              <w:spacing w:after="40"/>
              <w:rPr>
                <w:sz w:val="19"/>
              </w:rPr>
            </w:pPr>
            <w:r>
              <w:rPr>
                <w:i/>
                <w:sz w:val="19"/>
              </w:rPr>
              <w:t>Sentencing (Consequential Provisions) Act 1995</w:t>
            </w:r>
            <w:r>
              <w:rPr>
                <w:sz w:val="19"/>
              </w:rPr>
              <w:t xml:space="preserve"> Pt. 71 and s. 147</w:t>
            </w:r>
          </w:p>
        </w:tc>
        <w:tc>
          <w:tcPr>
            <w:tcW w:w="1132"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9" w:type="dxa"/>
          <w:cantSplit/>
        </w:trPr>
        <w:tc>
          <w:tcPr>
            <w:tcW w:w="4530"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2" w:type="dxa"/>
          </w:tcPr>
          <w:p>
            <w:pPr>
              <w:pStyle w:val="nTable"/>
              <w:spacing w:after="40"/>
              <w:rPr>
                <w:sz w:val="19"/>
              </w:rPr>
            </w:pPr>
            <w:r>
              <w:rPr>
                <w:sz w:val="19"/>
              </w:rPr>
              <w:t xml:space="preserve">24 May 1996 </w:t>
            </w:r>
          </w:p>
        </w:tc>
      </w:tr>
      <w:tr>
        <w:trPr>
          <w:gridAfter w:val="1"/>
          <w:wAfter w:w="9" w:type="dxa"/>
          <w:cantSplit/>
        </w:trPr>
        <w:tc>
          <w:tcPr>
            <w:tcW w:w="2266" w:type="dxa"/>
          </w:tcPr>
          <w:p>
            <w:pPr>
              <w:pStyle w:val="nTable"/>
              <w:spacing w:after="40"/>
              <w:rPr>
                <w:sz w:val="19"/>
              </w:rPr>
            </w:pPr>
            <w:r>
              <w:rPr>
                <w:i/>
                <w:sz w:val="19"/>
              </w:rPr>
              <w:t>Local Government (Consequential Amendments) Act 1996</w:t>
            </w:r>
            <w:r>
              <w:rPr>
                <w:sz w:val="19"/>
              </w:rPr>
              <w:t xml:space="preserve"> s. 4</w:t>
            </w:r>
          </w:p>
        </w:tc>
        <w:tc>
          <w:tcPr>
            <w:tcW w:w="1132"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gridAfter w:val="1"/>
          <w:wAfter w:w="9" w:type="dxa"/>
          <w:cantSplit/>
        </w:trPr>
        <w:tc>
          <w:tcPr>
            <w:tcW w:w="2266" w:type="dxa"/>
          </w:tcPr>
          <w:p>
            <w:pPr>
              <w:pStyle w:val="nTable"/>
              <w:spacing w:after="40"/>
              <w:rPr>
                <w:sz w:val="19"/>
              </w:rPr>
            </w:pPr>
            <w:r>
              <w:rPr>
                <w:i/>
                <w:sz w:val="19"/>
              </w:rPr>
              <w:t>Consumer Credit (Western Australia) Act 1996</w:t>
            </w:r>
            <w:r>
              <w:rPr>
                <w:sz w:val="19"/>
              </w:rPr>
              <w:t xml:space="preserve"> s. 13</w:t>
            </w:r>
          </w:p>
        </w:tc>
        <w:tc>
          <w:tcPr>
            <w:tcW w:w="1132" w:type="dxa"/>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552" w:type="dxa"/>
          </w:tcPr>
          <w:p>
            <w:pPr>
              <w:pStyle w:val="nTable"/>
              <w:spacing w:after="40"/>
              <w:rPr>
                <w:sz w:val="19"/>
              </w:rPr>
            </w:pPr>
            <w:r>
              <w:rPr>
                <w:sz w:val="19"/>
              </w:rPr>
              <w:t>1 Nov 1996 (see s. 2)</w:t>
            </w:r>
          </w:p>
        </w:tc>
      </w:tr>
      <w:tr>
        <w:trPr>
          <w:gridAfter w:val="1"/>
          <w:wAfter w:w="9" w:type="dxa"/>
          <w:cantSplit/>
        </w:trPr>
        <w:tc>
          <w:tcPr>
            <w:tcW w:w="2266" w:type="dxa"/>
          </w:tcPr>
          <w:p>
            <w:pPr>
              <w:pStyle w:val="nTable"/>
              <w:spacing w:after="40"/>
              <w:rPr>
                <w:sz w:val="19"/>
              </w:rPr>
            </w:pPr>
            <w:r>
              <w:rPr>
                <w:i/>
                <w:sz w:val="19"/>
              </w:rPr>
              <w:t>Road Traffic Amendment (Measuring Equipment) Act 1996</w:t>
            </w:r>
          </w:p>
        </w:tc>
        <w:tc>
          <w:tcPr>
            <w:tcW w:w="1132" w:type="dxa"/>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552" w:type="dxa"/>
          </w:tcPr>
          <w:p>
            <w:pPr>
              <w:pStyle w:val="nTable"/>
              <w:spacing w:after="40"/>
              <w:rPr>
                <w:sz w:val="19"/>
              </w:rPr>
            </w:pPr>
            <w:r>
              <w:rPr>
                <w:sz w:val="19"/>
              </w:rPr>
              <w:t>27 Sep 1996 (see s. 2)</w:t>
            </w:r>
          </w:p>
        </w:tc>
      </w:tr>
      <w:tr>
        <w:trPr>
          <w:gridAfter w:val="1"/>
          <w:wAfter w:w="9" w:type="dxa"/>
          <w:cantSplit/>
        </w:trPr>
        <w:tc>
          <w:tcPr>
            <w:tcW w:w="2266" w:type="dxa"/>
          </w:tcPr>
          <w:p>
            <w:pPr>
              <w:pStyle w:val="nTable"/>
              <w:spacing w:after="40"/>
              <w:rPr>
                <w:sz w:val="19"/>
              </w:rPr>
            </w:pPr>
            <w:r>
              <w:rPr>
                <w:i/>
                <w:sz w:val="19"/>
              </w:rPr>
              <w:t>Financial Legislation Amendment Act 1996</w:t>
            </w:r>
            <w:r>
              <w:rPr>
                <w:sz w:val="19"/>
              </w:rPr>
              <w:t xml:space="preserve"> s. 27(3) and 64</w:t>
            </w:r>
          </w:p>
        </w:tc>
        <w:tc>
          <w:tcPr>
            <w:tcW w:w="1132" w:type="dxa"/>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w:t>
            </w:r>
          </w:p>
        </w:tc>
      </w:tr>
      <w:tr>
        <w:trPr>
          <w:gridAfter w:val="1"/>
          <w:wAfter w:w="9" w:type="dxa"/>
          <w:cantSplit/>
        </w:trPr>
        <w:tc>
          <w:tcPr>
            <w:tcW w:w="2266" w:type="dxa"/>
          </w:tcPr>
          <w:p>
            <w:pPr>
              <w:pStyle w:val="nTable"/>
              <w:spacing w:after="40"/>
              <w:rPr>
                <w:sz w:val="19"/>
              </w:rPr>
            </w:pPr>
            <w:r>
              <w:rPr>
                <w:i/>
                <w:sz w:val="19"/>
              </w:rPr>
              <w:t xml:space="preserve">Road Traffic Amendment Act 1996 </w:t>
            </w:r>
            <w:r>
              <w:rPr>
                <w:sz w:val="19"/>
                <w:vertAlign w:val="superscript"/>
              </w:rPr>
              <w:t>14, 15</w:t>
            </w:r>
          </w:p>
        </w:tc>
        <w:tc>
          <w:tcPr>
            <w:tcW w:w="1132" w:type="dxa"/>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552" w:type="dxa"/>
          </w:tcPr>
          <w:p>
            <w:pPr>
              <w:pStyle w:val="nTable"/>
              <w:spacing w:after="40"/>
              <w:rPr>
                <w:del w:id="1497" w:author="svcMRProcess" w:date="2018-09-08T08:22:00Z"/>
                <w:sz w:val="19"/>
              </w:rPr>
            </w:pPr>
            <w:r>
              <w:rPr>
                <w:sz w:val="19"/>
              </w:rPr>
              <w:t xml:space="preserve">s. 1 </w:t>
            </w:r>
            <w:del w:id="1498" w:author="svcMRProcess" w:date="2018-09-08T08:22:00Z">
              <w:r>
                <w:rPr>
                  <w:sz w:val="19"/>
                </w:rPr>
                <w:delText>&amp;</w:delText>
              </w:r>
            </w:del>
            <w:ins w:id="1499" w:author="svcMRProcess" w:date="2018-09-08T08:22:00Z">
              <w:r>
                <w:rPr>
                  <w:sz w:val="19"/>
                </w:rPr>
                <w:t>and</w:t>
              </w:r>
            </w:ins>
            <w:r>
              <w:rPr>
                <w:sz w:val="19"/>
              </w:rPr>
              <w:t xml:space="preserve"> 2: 14 Nov 1996;</w:t>
            </w:r>
          </w:p>
          <w:p>
            <w:pPr>
              <w:pStyle w:val="nTable"/>
              <w:spacing w:after="40"/>
              <w:rPr>
                <w:sz w:val="19"/>
              </w:rPr>
            </w:pPr>
            <w:ins w:id="1500" w:author="svcMRProcess" w:date="2018-09-08T08:22:00Z">
              <w:r>
                <w:rPr>
                  <w:sz w:val="19"/>
                </w:rPr>
                <w:br/>
              </w:r>
            </w:ins>
            <w:r>
              <w:rPr>
                <w:sz w:val="19"/>
              </w:rPr>
              <w:t xml:space="preserve">Act other than s. 1, 2 </w:t>
            </w:r>
            <w:del w:id="1501" w:author="svcMRProcess" w:date="2018-09-08T08:22:00Z">
              <w:r>
                <w:rPr>
                  <w:sz w:val="19"/>
                </w:rPr>
                <w:delText>&amp;</w:delText>
              </w:r>
            </w:del>
            <w:ins w:id="1502" w:author="svcMRProcess" w:date="2018-09-08T08:22:00Z">
              <w:r>
                <w:rPr>
                  <w:sz w:val="19"/>
                </w:rPr>
                <w:t>and</w:t>
              </w:r>
            </w:ins>
            <w:r>
              <w:rPr>
                <w:sz w:val="19"/>
              </w:rPr>
              <w:t xml:space="preserve"> 8(3): 1 Feb 1997 (see s. 2 and </w:t>
            </w:r>
            <w:r>
              <w:rPr>
                <w:i/>
                <w:iCs/>
                <w:sz w:val="19"/>
              </w:rPr>
              <w:t>Gazette</w:t>
            </w:r>
            <w:r>
              <w:rPr>
                <w:sz w:val="19"/>
              </w:rPr>
              <w:t xml:space="preserve"> 31 Jan 1997 p. 613</w:t>
            </w:r>
            <w:del w:id="1503" w:author="svcMRProcess" w:date="2018-09-08T08:22:00Z">
              <w:r>
                <w:rPr>
                  <w:sz w:val="19"/>
                </w:rPr>
                <w:delText>);</w:delText>
              </w:r>
            </w:del>
            <w:ins w:id="1504" w:author="svcMRProcess" w:date="2018-09-08T08:22:00Z">
              <w:r>
                <w:rPr>
                  <w:sz w:val="19"/>
                </w:rPr>
                <w:t>)</w:t>
              </w:r>
            </w:ins>
          </w:p>
        </w:tc>
      </w:tr>
      <w:tr>
        <w:trPr>
          <w:gridAfter w:val="1"/>
          <w:wAfter w:w="9" w:type="dxa"/>
          <w:cantSplit/>
        </w:trPr>
        <w:tc>
          <w:tcPr>
            <w:tcW w:w="4530"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2" w:type="dxa"/>
          </w:tcPr>
          <w:p>
            <w:pPr>
              <w:pStyle w:val="nTable"/>
              <w:spacing w:after="40"/>
              <w:rPr>
                <w:sz w:val="19"/>
              </w:rPr>
            </w:pPr>
            <w:r>
              <w:rPr>
                <w:sz w:val="19"/>
              </w:rPr>
              <w:t>17 Dec 1996</w:t>
            </w:r>
          </w:p>
        </w:tc>
      </w:tr>
      <w:tr>
        <w:trPr>
          <w:gridAfter w:val="1"/>
          <w:wAfter w:w="9" w:type="dxa"/>
          <w:cantSplit/>
        </w:trPr>
        <w:tc>
          <w:tcPr>
            <w:tcW w:w="7082"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9" w:type="dxa"/>
          <w:cantSplit/>
        </w:trPr>
        <w:tc>
          <w:tcPr>
            <w:tcW w:w="4530"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2" w:type="dxa"/>
          </w:tcPr>
          <w:p>
            <w:pPr>
              <w:pStyle w:val="nTable"/>
              <w:spacing w:after="40"/>
              <w:rPr>
                <w:sz w:val="19"/>
              </w:rPr>
            </w:pPr>
            <w:r>
              <w:rPr>
                <w:sz w:val="19"/>
              </w:rPr>
              <w:t>13 May 1997</w:t>
            </w:r>
          </w:p>
        </w:tc>
      </w:tr>
      <w:tr>
        <w:trPr>
          <w:gridAfter w:val="1"/>
          <w:wAfter w:w="9" w:type="dxa"/>
          <w:cantSplit/>
        </w:trPr>
        <w:tc>
          <w:tcPr>
            <w:tcW w:w="2266" w:type="dxa"/>
          </w:tcPr>
          <w:p>
            <w:pPr>
              <w:pStyle w:val="nTable"/>
              <w:spacing w:after="40"/>
              <w:rPr>
                <w:sz w:val="19"/>
                <w:vertAlign w:val="superscript"/>
              </w:rPr>
            </w:pPr>
            <w:r>
              <w:rPr>
                <w:i/>
                <w:sz w:val="19"/>
              </w:rPr>
              <w:t>Road Traffic Amendment Act 1997 </w:t>
            </w:r>
            <w:r>
              <w:rPr>
                <w:sz w:val="19"/>
                <w:vertAlign w:val="superscript"/>
              </w:rPr>
              <w:t>16</w:t>
            </w:r>
          </w:p>
        </w:tc>
        <w:tc>
          <w:tcPr>
            <w:tcW w:w="1132" w:type="dxa"/>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552" w:type="dxa"/>
          </w:tcPr>
          <w:p>
            <w:pPr>
              <w:pStyle w:val="nTable"/>
              <w:spacing w:after="40"/>
              <w:rPr>
                <w:sz w:val="19"/>
              </w:rPr>
            </w:pPr>
            <w:ins w:id="1505" w:author="svcMRProcess" w:date="2018-09-08T08:22:00Z">
              <w:r>
                <w:rPr>
                  <w:sz w:val="19"/>
                </w:rPr>
                <w:t>s. 1 and 2: 12 Dec 1997;</w:t>
              </w:r>
              <w:r>
                <w:rPr>
                  <w:sz w:val="19"/>
                </w:rPr>
                <w:br/>
                <w:t xml:space="preserve">Act other than s. 1 and 2: </w:t>
              </w:r>
            </w:ins>
            <w:r>
              <w:rPr>
                <w:sz w:val="19"/>
              </w:rPr>
              <w:t>1 Jan 1998 (see s. 2 and </w:t>
            </w:r>
            <w:r>
              <w:rPr>
                <w:i/>
                <w:sz w:val="19"/>
              </w:rPr>
              <w:t>Gazette</w:t>
            </w:r>
            <w:r>
              <w:rPr>
                <w:sz w:val="19"/>
              </w:rPr>
              <w:t xml:space="preserve"> 23 Dec 1997 p. 7400)</w:t>
            </w:r>
          </w:p>
        </w:tc>
      </w:tr>
      <w:tr>
        <w:trPr>
          <w:gridAfter w:val="1"/>
          <w:wAfter w:w="9" w:type="dxa"/>
          <w:cantSplit/>
        </w:trPr>
        <w:tc>
          <w:tcPr>
            <w:tcW w:w="2266" w:type="dxa"/>
          </w:tcPr>
          <w:p>
            <w:pPr>
              <w:pStyle w:val="nTable"/>
              <w:spacing w:after="40"/>
              <w:rPr>
                <w:sz w:val="19"/>
              </w:rPr>
            </w:pPr>
            <w:r>
              <w:rPr>
                <w:i/>
                <w:sz w:val="19"/>
              </w:rPr>
              <w:t>Statutes (Repeals and Minor Amendments) Act 1997</w:t>
            </w:r>
            <w:r>
              <w:rPr>
                <w:sz w:val="19"/>
              </w:rPr>
              <w:t xml:space="preserve"> s. 106</w:t>
            </w:r>
          </w:p>
        </w:tc>
        <w:tc>
          <w:tcPr>
            <w:tcW w:w="1132" w:type="dxa"/>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gridAfter w:val="1"/>
          <w:wAfter w:w="9" w:type="dxa"/>
          <w:cantSplit/>
        </w:trPr>
        <w:tc>
          <w:tcPr>
            <w:tcW w:w="4530"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2" w:type="dxa"/>
          </w:tcPr>
          <w:p>
            <w:pPr>
              <w:pStyle w:val="nTable"/>
              <w:spacing w:after="40"/>
              <w:rPr>
                <w:sz w:val="19"/>
              </w:rPr>
            </w:pPr>
            <w:r>
              <w:rPr>
                <w:sz w:val="19"/>
              </w:rPr>
              <w:t>15 May 1998 (see r. 2)</w:t>
            </w:r>
          </w:p>
        </w:tc>
      </w:tr>
      <w:tr>
        <w:trPr>
          <w:gridAfter w:val="1"/>
          <w:wAfter w:w="9" w:type="dxa"/>
          <w:cantSplit/>
        </w:trPr>
        <w:tc>
          <w:tcPr>
            <w:tcW w:w="4530"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2" w:type="dxa"/>
          </w:tcPr>
          <w:p>
            <w:pPr>
              <w:pStyle w:val="nTable"/>
              <w:spacing w:after="40"/>
              <w:rPr>
                <w:sz w:val="19"/>
              </w:rPr>
            </w:pPr>
            <w:r>
              <w:rPr>
                <w:sz w:val="19"/>
              </w:rPr>
              <w:t>3 Jul 1998 (see r. 2)</w:t>
            </w:r>
          </w:p>
        </w:tc>
      </w:tr>
      <w:tr>
        <w:trPr>
          <w:gridAfter w:val="1"/>
          <w:wAfter w:w="9" w:type="dxa"/>
          <w:cantSplit/>
        </w:trPr>
        <w:tc>
          <w:tcPr>
            <w:tcW w:w="2266" w:type="dxa"/>
          </w:tcPr>
          <w:p>
            <w:pPr>
              <w:pStyle w:val="nTable"/>
              <w:spacing w:after="40"/>
              <w:rPr>
                <w:i/>
                <w:sz w:val="19"/>
              </w:rPr>
            </w:pPr>
            <w:r>
              <w:rPr>
                <w:i/>
                <w:sz w:val="19"/>
              </w:rPr>
              <w:t>Road Traffic Amendment Act 1998</w:t>
            </w:r>
          </w:p>
        </w:tc>
        <w:tc>
          <w:tcPr>
            <w:tcW w:w="1132" w:type="dxa"/>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552" w:type="dxa"/>
          </w:tcPr>
          <w:p>
            <w:pPr>
              <w:pStyle w:val="nTable"/>
              <w:spacing w:after="40"/>
              <w:rPr>
                <w:sz w:val="19"/>
              </w:rPr>
            </w:pPr>
            <w:r>
              <w:rPr>
                <w:sz w:val="19"/>
              </w:rPr>
              <w:t>7 Dec 1998 (see s. 2)</w:t>
            </w:r>
          </w:p>
        </w:tc>
      </w:tr>
      <w:tr>
        <w:trPr>
          <w:gridAfter w:val="1"/>
          <w:wAfter w:w="9" w:type="dxa"/>
          <w:cantSplit/>
        </w:trPr>
        <w:tc>
          <w:tcPr>
            <w:tcW w:w="2266" w:type="dxa"/>
          </w:tcPr>
          <w:p>
            <w:pPr>
              <w:pStyle w:val="nTable"/>
              <w:spacing w:after="40"/>
              <w:rPr>
                <w:sz w:val="19"/>
              </w:rPr>
            </w:pPr>
            <w:r>
              <w:rPr>
                <w:i/>
                <w:sz w:val="19"/>
              </w:rPr>
              <w:t xml:space="preserve">Perth Parking Management (Consequential Provisions) Act 1999 </w:t>
            </w:r>
            <w:r>
              <w:rPr>
                <w:sz w:val="19"/>
              </w:rPr>
              <w:t>s. 7(4)</w:t>
            </w:r>
          </w:p>
        </w:tc>
        <w:tc>
          <w:tcPr>
            <w:tcW w:w="1132" w:type="dxa"/>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552"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9" w:type="dxa"/>
          <w:cantSplit/>
        </w:trPr>
        <w:tc>
          <w:tcPr>
            <w:tcW w:w="4530"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2" w:type="dxa"/>
          </w:tcPr>
          <w:p>
            <w:pPr>
              <w:pStyle w:val="nTable"/>
              <w:spacing w:after="40"/>
              <w:rPr>
                <w:sz w:val="19"/>
              </w:rPr>
            </w:pPr>
            <w:r>
              <w:rPr>
                <w:sz w:val="19"/>
              </w:rPr>
              <w:t>25 May 1999 (see r. 2)</w:t>
            </w:r>
          </w:p>
        </w:tc>
      </w:tr>
      <w:tr>
        <w:trPr>
          <w:gridAfter w:val="1"/>
          <w:wAfter w:w="9" w:type="dxa"/>
          <w:cantSplit/>
        </w:trPr>
        <w:tc>
          <w:tcPr>
            <w:tcW w:w="2266" w:type="dxa"/>
          </w:tcPr>
          <w:p>
            <w:pPr>
              <w:pStyle w:val="nTable"/>
              <w:spacing w:after="40"/>
              <w:rPr>
                <w:sz w:val="19"/>
              </w:rPr>
            </w:pPr>
            <w:r>
              <w:rPr>
                <w:i/>
                <w:sz w:val="19"/>
              </w:rPr>
              <w:t xml:space="preserve">Revenue Laws Amendment (Assessment) Act 1999 </w:t>
            </w:r>
            <w:r>
              <w:rPr>
                <w:sz w:val="19"/>
              </w:rPr>
              <w:t>Pt. 3</w:t>
            </w:r>
          </w:p>
        </w:tc>
        <w:tc>
          <w:tcPr>
            <w:tcW w:w="1132" w:type="dxa"/>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552" w:type="dxa"/>
          </w:tcPr>
          <w:p>
            <w:pPr>
              <w:pStyle w:val="nTable"/>
              <w:spacing w:after="40"/>
              <w:rPr>
                <w:sz w:val="19"/>
              </w:rPr>
            </w:pPr>
            <w:r>
              <w:rPr>
                <w:sz w:val="19"/>
              </w:rPr>
              <w:t>1 Jul 1999 (see s. 2(3))</w:t>
            </w:r>
          </w:p>
        </w:tc>
      </w:tr>
      <w:tr>
        <w:trPr>
          <w:gridAfter w:val="1"/>
          <w:wAfter w:w="9" w:type="dxa"/>
          <w:cantSplit/>
        </w:trPr>
        <w:tc>
          <w:tcPr>
            <w:tcW w:w="7082"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9" w:type="dxa"/>
          <w:cantSplit/>
        </w:trPr>
        <w:tc>
          <w:tcPr>
            <w:tcW w:w="2266" w:type="dxa"/>
          </w:tcPr>
          <w:p>
            <w:pPr>
              <w:pStyle w:val="nTable"/>
              <w:spacing w:after="40"/>
              <w:rPr>
                <w:sz w:val="19"/>
              </w:rPr>
            </w:pPr>
            <w:r>
              <w:rPr>
                <w:i/>
                <w:sz w:val="19"/>
              </w:rPr>
              <w:t>School Education Act 1999</w:t>
            </w:r>
            <w:r>
              <w:rPr>
                <w:sz w:val="19"/>
              </w:rPr>
              <w:t xml:space="preserve"> s. 247</w:t>
            </w:r>
          </w:p>
        </w:tc>
        <w:tc>
          <w:tcPr>
            <w:tcW w:w="1132" w:type="dxa"/>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552"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9" w:type="dxa"/>
          <w:cantSplit/>
        </w:trPr>
        <w:tc>
          <w:tcPr>
            <w:tcW w:w="2266" w:type="dxa"/>
          </w:tcPr>
          <w:p>
            <w:pPr>
              <w:pStyle w:val="nTable"/>
              <w:spacing w:after="40"/>
              <w:rPr>
                <w:sz w:val="19"/>
              </w:rPr>
            </w:pPr>
            <w:r>
              <w:rPr>
                <w:i/>
                <w:sz w:val="19"/>
              </w:rPr>
              <w:t xml:space="preserve">Acts Amendment (Police Immunity) Act 1999 </w:t>
            </w:r>
            <w:r>
              <w:rPr>
                <w:sz w:val="19"/>
              </w:rPr>
              <w:t>s. 9</w:t>
            </w:r>
          </w:p>
        </w:tc>
        <w:tc>
          <w:tcPr>
            <w:tcW w:w="1132" w:type="dxa"/>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552" w:type="dxa"/>
          </w:tcPr>
          <w:p>
            <w:pPr>
              <w:pStyle w:val="nTable"/>
              <w:spacing w:after="40"/>
              <w:rPr>
                <w:sz w:val="19"/>
              </w:rPr>
            </w:pPr>
            <w:r>
              <w:rPr>
                <w:sz w:val="19"/>
              </w:rPr>
              <w:t>25 Nov 1999 (see s. 2)</w:t>
            </w:r>
          </w:p>
        </w:tc>
      </w:tr>
      <w:tr>
        <w:trPr>
          <w:gridAfter w:val="1"/>
          <w:wAfter w:w="9" w:type="dxa"/>
          <w:cantSplit/>
        </w:trPr>
        <w:tc>
          <w:tcPr>
            <w:tcW w:w="4530"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2" w:type="dxa"/>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1"/>
          <w:wAfter w:w="9" w:type="dxa"/>
          <w:cantSplit/>
        </w:trPr>
        <w:tc>
          <w:tcPr>
            <w:tcW w:w="2266" w:type="dxa"/>
          </w:tcPr>
          <w:p>
            <w:pPr>
              <w:pStyle w:val="nTable"/>
              <w:spacing w:after="40"/>
              <w:rPr>
                <w:sz w:val="19"/>
              </w:rPr>
            </w:pPr>
            <w:r>
              <w:rPr>
                <w:i/>
                <w:sz w:val="19"/>
              </w:rPr>
              <w:t>Statutes (Repeals and Minor Amendments) Act 2000</w:t>
            </w:r>
            <w:r>
              <w:rPr>
                <w:sz w:val="19"/>
              </w:rPr>
              <w:t xml:space="preserve"> s. 39 and 55</w:t>
            </w:r>
          </w:p>
        </w:tc>
        <w:tc>
          <w:tcPr>
            <w:tcW w:w="1132" w:type="dxa"/>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gridAfter w:val="1"/>
          <w:wAfter w:w="9" w:type="dxa"/>
          <w:cantSplit/>
        </w:trPr>
        <w:tc>
          <w:tcPr>
            <w:tcW w:w="2266" w:type="dxa"/>
          </w:tcPr>
          <w:p>
            <w:pPr>
              <w:pStyle w:val="nTable"/>
              <w:spacing w:after="40"/>
              <w:rPr>
                <w:i/>
                <w:sz w:val="19"/>
              </w:rPr>
            </w:pPr>
            <w:r>
              <w:rPr>
                <w:i/>
                <w:sz w:val="19"/>
              </w:rPr>
              <w:t>Road Traffic Amendment</w:t>
            </w:r>
            <w:r>
              <w:rPr>
                <w:i/>
                <w:sz w:val="19"/>
              </w:rPr>
              <w:br/>
              <w:t>Act 2000</w:t>
            </w:r>
            <w:r>
              <w:rPr>
                <w:iCs/>
                <w:sz w:val="19"/>
              </w:rPr>
              <w:t xml:space="preserve"> </w:t>
            </w:r>
            <w:ins w:id="1506" w:author="svcMRProcess" w:date="2018-09-08T08:22:00Z">
              <w:r>
                <w:rPr>
                  <w:iCs/>
                  <w:sz w:val="19"/>
                </w:rPr>
                <w:t>Pt. 2</w:t>
              </w:r>
              <w:r>
                <w:rPr>
                  <w:sz w:val="19"/>
                </w:rPr>
                <w:t xml:space="preserve"> </w:t>
              </w:r>
            </w:ins>
            <w:r>
              <w:rPr>
                <w:sz w:val="19"/>
                <w:vertAlign w:val="superscript"/>
              </w:rPr>
              <w:t>17-20</w:t>
            </w:r>
          </w:p>
        </w:tc>
        <w:tc>
          <w:tcPr>
            <w:tcW w:w="1132" w:type="dxa"/>
          </w:tcPr>
          <w:p>
            <w:pPr>
              <w:pStyle w:val="nTable"/>
              <w:spacing w:after="40"/>
              <w:rPr>
                <w:sz w:val="19"/>
              </w:rPr>
            </w:pPr>
            <w:r>
              <w:rPr>
                <w:sz w:val="19"/>
              </w:rPr>
              <w:t>39 of 2000</w:t>
            </w:r>
            <w:r>
              <w:rPr>
                <w:sz w:val="19"/>
              </w:rPr>
              <w:br/>
              <w:t>(as amended by No. 5 of 2002 s. 15</w:t>
            </w:r>
            <w:del w:id="1507" w:author="svcMRProcess" w:date="2018-09-08T08:22:00Z">
              <w:r>
                <w:rPr>
                  <w:sz w:val="19"/>
                  <w:vertAlign w:val="superscript"/>
                </w:rPr>
                <w:delText> 21</w:delText>
              </w:r>
              <w:r>
                <w:rPr>
                  <w:sz w:val="19"/>
                </w:rPr>
                <w:delText xml:space="preserve">; </w:delText>
              </w:r>
            </w:del>
            <w:ins w:id="1508" w:author="svcMRProcess" w:date="2018-09-08T08:22:00Z">
              <w:r>
                <w:rPr>
                  <w:sz w:val="19"/>
                </w:rPr>
                <w:t>; No. </w:t>
              </w:r>
            </w:ins>
            <w:r>
              <w:rPr>
                <w:sz w:val="19"/>
              </w:rPr>
              <w:t xml:space="preserve">45 of 2002 s. 28(2); </w:t>
            </w:r>
            <w:r>
              <w:rPr>
                <w:sz w:val="19"/>
              </w:rPr>
              <w:br/>
            </w:r>
            <w:ins w:id="1509" w:author="svcMRProcess" w:date="2018-09-08T08:22:00Z">
              <w:r>
                <w:rPr>
                  <w:sz w:val="19"/>
                </w:rPr>
                <w:t>No. </w:t>
              </w:r>
            </w:ins>
            <w:r>
              <w:rPr>
                <w:sz w:val="19"/>
              </w:rPr>
              <w:t>84 of 2004 s. 80 (cl. 124))</w:t>
            </w:r>
          </w:p>
        </w:tc>
        <w:tc>
          <w:tcPr>
            <w:tcW w:w="1132" w:type="dxa"/>
          </w:tcPr>
          <w:p>
            <w:pPr>
              <w:pStyle w:val="nTable"/>
              <w:spacing w:after="40"/>
              <w:rPr>
                <w:sz w:val="19"/>
              </w:rPr>
            </w:pPr>
            <w:r>
              <w:rPr>
                <w:sz w:val="19"/>
              </w:rPr>
              <w:t>10 Oct 2000</w:t>
            </w:r>
          </w:p>
        </w:tc>
        <w:tc>
          <w:tcPr>
            <w:tcW w:w="2552" w:type="dxa"/>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1"/>
          <w:wAfter w:w="9" w:type="dxa"/>
          <w:cantSplit/>
        </w:trPr>
        <w:tc>
          <w:tcPr>
            <w:tcW w:w="2266" w:type="dxa"/>
          </w:tcPr>
          <w:p>
            <w:pPr>
              <w:pStyle w:val="nTable"/>
              <w:spacing w:after="40"/>
              <w:rPr>
                <w:sz w:val="19"/>
              </w:rPr>
            </w:pPr>
            <w:r>
              <w:rPr>
                <w:i/>
                <w:sz w:val="19"/>
              </w:rPr>
              <w:t>Acts Amendment (Fines Enforcement and Licence Suspension) Act 2000</w:t>
            </w:r>
            <w:r>
              <w:rPr>
                <w:sz w:val="19"/>
              </w:rPr>
              <w:t xml:space="preserve"> Pt. 3</w:t>
            </w:r>
          </w:p>
        </w:tc>
        <w:tc>
          <w:tcPr>
            <w:tcW w:w="1132" w:type="dxa"/>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552" w:type="dxa"/>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1"/>
          <w:wAfter w:w="9" w:type="dxa"/>
          <w:cantSplit/>
        </w:trPr>
        <w:tc>
          <w:tcPr>
            <w:tcW w:w="4530"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2" w:type="dxa"/>
          </w:tcPr>
          <w:p>
            <w:pPr>
              <w:pStyle w:val="nTable"/>
              <w:spacing w:after="40"/>
              <w:rPr>
                <w:sz w:val="19"/>
              </w:rPr>
            </w:pPr>
            <w:r>
              <w:rPr>
                <w:sz w:val="19"/>
              </w:rPr>
              <w:t>29 Jun 2001 (see r. 2)</w:t>
            </w:r>
          </w:p>
        </w:tc>
      </w:tr>
      <w:tr>
        <w:trPr>
          <w:gridAfter w:val="1"/>
          <w:wAfter w:w="9" w:type="dxa"/>
          <w:cantSplit/>
        </w:trPr>
        <w:tc>
          <w:tcPr>
            <w:tcW w:w="4530"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2" w:type="dxa"/>
          </w:tcPr>
          <w:p>
            <w:pPr>
              <w:pStyle w:val="nTable"/>
              <w:spacing w:after="40"/>
              <w:rPr>
                <w:sz w:val="19"/>
              </w:rPr>
            </w:pPr>
            <w:r>
              <w:rPr>
                <w:sz w:val="19"/>
              </w:rPr>
              <w:t>14 Aug 2001 (see r. 2)</w:t>
            </w:r>
          </w:p>
        </w:tc>
      </w:tr>
      <w:tr>
        <w:trPr>
          <w:gridAfter w:val="1"/>
          <w:wAfter w:w="9" w:type="dxa"/>
          <w:cantSplit/>
        </w:trPr>
        <w:tc>
          <w:tcPr>
            <w:tcW w:w="7082"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After w:val="1"/>
          <w:wAfter w:w="9" w:type="dxa"/>
          <w:cantSplit/>
        </w:trPr>
        <w:tc>
          <w:tcPr>
            <w:tcW w:w="2266" w:type="dxa"/>
          </w:tcPr>
          <w:p>
            <w:pPr>
              <w:pStyle w:val="nTable"/>
              <w:spacing w:after="40"/>
              <w:rPr>
                <w:i/>
                <w:sz w:val="19"/>
              </w:rPr>
            </w:pPr>
            <w:r>
              <w:rPr>
                <w:i/>
                <w:sz w:val="19"/>
              </w:rPr>
              <w:t>Road Traffic Amendment Act 2001</w:t>
            </w:r>
          </w:p>
        </w:tc>
        <w:tc>
          <w:tcPr>
            <w:tcW w:w="1132" w:type="dxa"/>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552" w:type="dxa"/>
          </w:tcPr>
          <w:p>
            <w:pPr>
              <w:pStyle w:val="nTable"/>
              <w:spacing w:after="40"/>
              <w:rPr>
                <w:sz w:val="19"/>
              </w:rPr>
            </w:pPr>
            <w:ins w:id="1510" w:author="svcMRProcess" w:date="2018-09-08T08:22:00Z">
              <w:r>
                <w:rPr>
                  <w:sz w:val="19"/>
                </w:rPr>
                <w:t>s. 1 and 2: 21 Dec 2001;</w:t>
              </w:r>
              <w:r>
                <w:rPr>
                  <w:sz w:val="19"/>
                </w:rPr>
                <w:br/>
                <w:t xml:space="preserve">Act other than s. 1 and 2: </w:t>
              </w:r>
            </w:ins>
            <w:r>
              <w:rPr>
                <w:sz w:val="19"/>
              </w:rPr>
              <w:t xml:space="preserve">10 Aug 2002 (see s. 2 and </w:t>
            </w:r>
            <w:r>
              <w:rPr>
                <w:i/>
                <w:sz w:val="19"/>
              </w:rPr>
              <w:t>Gazette</w:t>
            </w:r>
            <w:r>
              <w:rPr>
                <w:sz w:val="19"/>
              </w:rPr>
              <w:t xml:space="preserve"> 9 Aug 2002 p. 3853</w:t>
            </w:r>
            <w:r>
              <w:rPr>
                <w:sz w:val="19"/>
              </w:rPr>
              <w:noBreakHyphen/>
              <w:t>4)</w:t>
            </w:r>
          </w:p>
        </w:tc>
      </w:tr>
      <w:tr>
        <w:trPr>
          <w:gridAfter w:val="1"/>
          <w:wAfter w:w="9" w:type="dxa"/>
          <w:cantSplit/>
        </w:trPr>
        <w:tc>
          <w:tcPr>
            <w:tcW w:w="2266" w:type="dxa"/>
          </w:tcPr>
          <w:p>
            <w:pPr>
              <w:pStyle w:val="nTable"/>
              <w:spacing w:after="40"/>
              <w:rPr>
                <w:sz w:val="19"/>
              </w:rPr>
            </w:pPr>
            <w:r>
              <w:rPr>
                <w:i/>
                <w:sz w:val="19"/>
              </w:rPr>
              <w:t>Road Traffic Amendment (Vehicle Licensing) Act 2001</w:t>
            </w:r>
            <w:r>
              <w:rPr>
                <w:sz w:val="19"/>
              </w:rPr>
              <w:t xml:space="preserve"> Pt. 2</w:t>
            </w:r>
          </w:p>
        </w:tc>
        <w:tc>
          <w:tcPr>
            <w:tcW w:w="1132" w:type="dxa"/>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552" w:type="dxa"/>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1"/>
          <w:wAfter w:w="9" w:type="dxa"/>
          <w:cantSplit/>
        </w:trPr>
        <w:tc>
          <w:tcPr>
            <w:tcW w:w="4530"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2" w:type="dxa"/>
          </w:tcPr>
          <w:p>
            <w:pPr>
              <w:pStyle w:val="nTable"/>
              <w:spacing w:after="40"/>
              <w:rPr>
                <w:sz w:val="19"/>
              </w:rPr>
            </w:pPr>
            <w:r>
              <w:rPr>
                <w:sz w:val="19"/>
              </w:rPr>
              <w:t>17 May 2002 (see r. 2)</w:t>
            </w:r>
          </w:p>
        </w:tc>
      </w:tr>
      <w:tr>
        <w:trPr>
          <w:gridAfter w:val="1"/>
          <w:wAfter w:w="9" w:type="dxa"/>
          <w:cantSplit/>
        </w:trPr>
        <w:tc>
          <w:tcPr>
            <w:tcW w:w="2266" w:type="dxa"/>
          </w:tcPr>
          <w:p>
            <w:pPr>
              <w:pStyle w:val="nTable"/>
              <w:spacing w:after="40"/>
              <w:rPr>
                <w:i/>
                <w:sz w:val="19"/>
              </w:rPr>
            </w:pPr>
            <w:r>
              <w:rPr>
                <w:i/>
                <w:sz w:val="19"/>
              </w:rPr>
              <w:t>Motor Vehicle Dealers Amendment Act 2002</w:t>
            </w:r>
            <w:r>
              <w:rPr>
                <w:sz w:val="19"/>
              </w:rPr>
              <w:t xml:space="preserve"> s. 72</w:t>
            </w:r>
          </w:p>
        </w:tc>
        <w:tc>
          <w:tcPr>
            <w:tcW w:w="1132" w:type="dxa"/>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552" w:type="dxa"/>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1"/>
          <w:wAfter w:w="9" w:type="dxa"/>
          <w:cantSplit/>
        </w:trPr>
        <w:tc>
          <w:tcPr>
            <w:tcW w:w="2266" w:type="dxa"/>
          </w:tcPr>
          <w:p>
            <w:pPr>
              <w:pStyle w:val="nTable"/>
              <w:spacing w:after="40"/>
              <w:rPr>
                <w:sz w:val="19"/>
              </w:rPr>
            </w:pPr>
            <w:r>
              <w:rPr>
                <w:i/>
                <w:sz w:val="19"/>
              </w:rPr>
              <w:t>Road Safety Council Act 2002</w:t>
            </w:r>
            <w:r>
              <w:rPr>
                <w:sz w:val="19"/>
              </w:rPr>
              <w:t xml:space="preserve"> s. 15</w:t>
            </w:r>
          </w:p>
        </w:tc>
        <w:tc>
          <w:tcPr>
            <w:tcW w:w="1132" w:type="dxa"/>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552"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1"/>
          <w:wAfter w:w="9" w:type="dxa"/>
          <w:cantSplit/>
        </w:trPr>
        <w:tc>
          <w:tcPr>
            <w:tcW w:w="2266"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2" w:type="dxa"/>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552"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1"/>
          <w:wAfter w:w="9" w:type="dxa"/>
          <w:cantSplit/>
        </w:trPr>
        <w:tc>
          <w:tcPr>
            <w:tcW w:w="2266" w:type="dxa"/>
          </w:tcPr>
          <w:p>
            <w:pPr>
              <w:pStyle w:val="nTable"/>
              <w:spacing w:after="40"/>
              <w:rPr>
                <w:i/>
                <w:sz w:val="19"/>
                <w:vertAlign w:val="superscript"/>
              </w:rPr>
            </w:pPr>
            <w:r>
              <w:rPr>
                <w:i/>
                <w:sz w:val="19"/>
              </w:rPr>
              <w:t xml:space="preserve">Taxation Administration (Consequential Provisions) Act 2002 </w:t>
            </w:r>
            <w:r>
              <w:rPr>
                <w:sz w:val="19"/>
              </w:rPr>
              <w:t>s. 27 </w:t>
            </w:r>
            <w:del w:id="1511" w:author="svcMRProcess" w:date="2018-09-08T08:22:00Z">
              <w:r>
                <w:rPr>
                  <w:sz w:val="19"/>
                  <w:vertAlign w:val="superscript"/>
                </w:rPr>
                <w:delText>28</w:delText>
              </w:r>
            </w:del>
            <w:ins w:id="1512" w:author="svcMRProcess" w:date="2018-09-08T08:22:00Z">
              <w:r>
                <w:rPr>
                  <w:sz w:val="19"/>
                  <w:vertAlign w:val="superscript"/>
                </w:rPr>
                <w:t>21</w:t>
              </w:r>
            </w:ins>
          </w:p>
        </w:tc>
        <w:tc>
          <w:tcPr>
            <w:tcW w:w="1132" w:type="dxa"/>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552" w:type="dxa"/>
          </w:tcPr>
          <w:p>
            <w:pPr>
              <w:pStyle w:val="nTable"/>
              <w:keepNext/>
              <w:spacing w:after="40"/>
              <w:rPr>
                <w:sz w:val="19"/>
              </w:rPr>
            </w:pPr>
            <w:r>
              <w:rPr>
                <w:sz w:val="19"/>
              </w:rPr>
              <w:t xml:space="preserve">1 Jul 2003 (see s. 2(1) and (2) and </w:t>
            </w:r>
            <w:r>
              <w:rPr>
                <w:i/>
                <w:sz w:val="19"/>
              </w:rPr>
              <w:t>Gazette</w:t>
            </w:r>
            <w:r>
              <w:rPr>
                <w:sz w:val="19"/>
              </w:rPr>
              <w:t xml:space="preserve"> </w:t>
            </w:r>
            <w:del w:id="1513" w:author="svcMRProcess" w:date="2018-09-08T08:22:00Z">
              <w:r>
                <w:rPr>
                  <w:sz w:val="19"/>
                </w:rPr>
                <w:delText>22</w:delText>
              </w:r>
            </w:del>
            <w:ins w:id="1514" w:author="svcMRProcess" w:date="2018-09-08T08:22:00Z">
              <w:r>
                <w:rPr>
                  <w:sz w:val="19"/>
                </w:rPr>
                <w:t>27</w:t>
              </w:r>
            </w:ins>
            <w:r>
              <w:rPr>
                <w:sz w:val="19"/>
              </w:rPr>
              <w:t> Jun 2003 p. 2383)</w:t>
            </w:r>
          </w:p>
        </w:tc>
      </w:tr>
      <w:tr>
        <w:trPr>
          <w:gridAfter w:val="1"/>
          <w:wAfter w:w="9" w:type="dxa"/>
          <w:cantSplit/>
        </w:trPr>
        <w:tc>
          <w:tcPr>
            <w:tcW w:w="2266"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2" w:type="dxa"/>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552" w:type="dxa"/>
          </w:tcPr>
          <w:p>
            <w:pPr>
              <w:pStyle w:val="nTable"/>
              <w:spacing w:after="40"/>
              <w:rPr>
                <w:sz w:val="19"/>
              </w:rPr>
            </w:pPr>
            <w:r>
              <w:rPr>
                <w:sz w:val="19"/>
              </w:rPr>
              <w:t>9 Apr 2003 (see s. 2)</w:t>
            </w:r>
          </w:p>
        </w:tc>
      </w:tr>
      <w:tr>
        <w:trPr>
          <w:gridAfter w:val="1"/>
          <w:wAfter w:w="9" w:type="dxa"/>
          <w:cantSplit/>
        </w:trPr>
        <w:tc>
          <w:tcPr>
            <w:tcW w:w="4530"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2" w:type="dxa"/>
          </w:tcPr>
          <w:p>
            <w:pPr>
              <w:pStyle w:val="nTable"/>
              <w:spacing w:after="40"/>
              <w:rPr>
                <w:sz w:val="19"/>
              </w:rPr>
            </w:pPr>
            <w:r>
              <w:rPr>
                <w:sz w:val="19"/>
              </w:rPr>
              <w:t>31 May 2003 (see r. 2)</w:t>
            </w:r>
          </w:p>
        </w:tc>
      </w:tr>
      <w:tr>
        <w:trPr>
          <w:gridAfter w:val="1"/>
          <w:wAfter w:w="9" w:type="dxa"/>
          <w:cantSplit/>
        </w:trPr>
        <w:tc>
          <w:tcPr>
            <w:tcW w:w="2266" w:type="dxa"/>
          </w:tcPr>
          <w:p>
            <w:pPr>
              <w:pStyle w:val="nTable"/>
              <w:spacing w:after="40"/>
              <w:rPr>
                <w:sz w:val="19"/>
              </w:rPr>
            </w:pPr>
            <w:r>
              <w:rPr>
                <w:i/>
                <w:sz w:val="19"/>
              </w:rPr>
              <w:t>Sentencing Legislation Amendment and Repeal Act 2003</w:t>
            </w:r>
            <w:r>
              <w:rPr>
                <w:sz w:val="19"/>
              </w:rPr>
              <w:t xml:space="preserve"> Pt. 3 and s. 92</w:t>
            </w:r>
          </w:p>
        </w:tc>
        <w:tc>
          <w:tcPr>
            <w:tcW w:w="1132" w:type="dxa"/>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552" w:type="dxa"/>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1"/>
          <w:wAfter w:w="9" w:type="dxa"/>
          <w:cantSplit/>
        </w:trPr>
        <w:tc>
          <w:tcPr>
            <w:tcW w:w="2266"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2" w:type="dxa"/>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552" w:type="dxa"/>
          </w:tcPr>
          <w:p>
            <w:pPr>
              <w:pStyle w:val="nTable"/>
              <w:keepNext/>
              <w:spacing w:after="40"/>
              <w:rPr>
                <w:sz w:val="19"/>
              </w:rPr>
            </w:pPr>
            <w:r>
              <w:rPr>
                <w:spacing w:val="-2"/>
                <w:sz w:val="19"/>
              </w:rPr>
              <w:t>15 Dec 2003 (see s. 2)</w:t>
            </w:r>
          </w:p>
        </w:tc>
      </w:tr>
      <w:tr>
        <w:trPr>
          <w:gridAfter w:val="1"/>
          <w:wAfter w:w="9" w:type="dxa"/>
          <w:cantSplit/>
        </w:trPr>
        <w:tc>
          <w:tcPr>
            <w:tcW w:w="2266" w:type="dxa"/>
          </w:tcPr>
          <w:p>
            <w:pPr>
              <w:pStyle w:val="nTable"/>
              <w:spacing w:after="40"/>
              <w:rPr>
                <w:sz w:val="19"/>
                <w:vertAlign w:val="superscript"/>
              </w:rPr>
            </w:pPr>
            <w:r>
              <w:rPr>
                <w:i/>
                <w:sz w:val="19"/>
              </w:rPr>
              <w:t xml:space="preserve">Criminal Code Amendment Act 2004 </w:t>
            </w:r>
            <w:r>
              <w:rPr>
                <w:sz w:val="19"/>
              </w:rPr>
              <w:t>s. 58</w:t>
            </w:r>
          </w:p>
        </w:tc>
        <w:tc>
          <w:tcPr>
            <w:tcW w:w="1132" w:type="dxa"/>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552" w:type="dxa"/>
          </w:tcPr>
          <w:p>
            <w:pPr>
              <w:pStyle w:val="nTable"/>
              <w:keepNext/>
              <w:spacing w:after="40"/>
              <w:rPr>
                <w:sz w:val="19"/>
              </w:rPr>
            </w:pPr>
            <w:r>
              <w:rPr>
                <w:sz w:val="19"/>
              </w:rPr>
              <w:t>21 May 2004 (see s. 2)</w:t>
            </w:r>
          </w:p>
        </w:tc>
      </w:tr>
      <w:tr>
        <w:trPr>
          <w:gridAfter w:val="1"/>
          <w:wAfter w:w="9" w:type="dxa"/>
          <w:cantSplit/>
        </w:trPr>
        <w:tc>
          <w:tcPr>
            <w:tcW w:w="4530"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52" w:type="dxa"/>
          </w:tcPr>
          <w:p>
            <w:pPr>
              <w:pStyle w:val="nTable"/>
              <w:spacing w:after="40"/>
              <w:rPr>
                <w:sz w:val="19"/>
              </w:rPr>
            </w:pPr>
            <w:r>
              <w:rPr>
                <w:sz w:val="19"/>
              </w:rPr>
              <w:t>31 May 2004 (see r. 2)</w:t>
            </w:r>
          </w:p>
        </w:tc>
      </w:tr>
      <w:tr>
        <w:trPr>
          <w:gridAfter w:val="1"/>
          <w:wAfter w:w="9" w:type="dxa"/>
          <w:cantSplit/>
        </w:trPr>
        <w:tc>
          <w:tcPr>
            <w:tcW w:w="2266" w:type="dxa"/>
          </w:tcPr>
          <w:p>
            <w:pPr>
              <w:pStyle w:val="nTable"/>
              <w:spacing w:after="40"/>
              <w:rPr>
                <w:sz w:val="19"/>
              </w:rPr>
            </w:pPr>
            <w:r>
              <w:rPr>
                <w:i/>
                <w:sz w:val="19"/>
              </w:rPr>
              <w:t>Road Traffic Amendment Act 2004</w:t>
            </w:r>
          </w:p>
        </w:tc>
        <w:tc>
          <w:tcPr>
            <w:tcW w:w="1132" w:type="dxa"/>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552" w:type="dxa"/>
          </w:tcPr>
          <w:p>
            <w:pPr>
              <w:pStyle w:val="nTable"/>
              <w:spacing w:after="40"/>
              <w:rPr>
                <w:sz w:val="19"/>
              </w:rPr>
            </w:pPr>
            <w:r>
              <w:rPr>
                <w:sz w:val="19"/>
              </w:rPr>
              <w:t>10 Jun 2004 (see s. 2)</w:t>
            </w:r>
          </w:p>
        </w:tc>
      </w:tr>
      <w:tr>
        <w:trPr>
          <w:gridAfter w:val="1"/>
          <w:wAfter w:w="9" w:type="dxa"/>
          <w:cantSplit/>
        </w:trPr>
        <w:tc>
          <w:tcPr>
            <w:tcW w:w="2266" w:type="dxa"/>
          </w:tcPr>
          <w:p>
            <w:pPr>
              <w:pStyle w:val="nTable"/>
              <w:spacing w:after="40"/>
              <w:rPr>
                <w:sz w:val="19"/>
              </w:rPr>
            </w:pPr>
            <w:r>
              <w:rPr>
                <w:i/>
                <w:sz w:val="19"/>
              </w:rPr>
              <w:t>Road Traffic Amendment (Impounding and Confiscation of Vehicles) Act 2004</w:t>
            </w:r>
          </w:p>
        </w:tc>
        <w:tc>
          <w:tcPr>
            <w:tcW w:w="1132" w:type="dxa"/>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552" w:type="dxa"/>
          </w:tcPr>
          <w:p>
            <w:pPr>
              <w:pStyle w:val="nTable"/>
              <w:spacing w:after="40"/>
              <w:rPr>
                <w:sz w:val="19"/>
              </w:rPr>
            </w:pPr>
            <w:ins w:id="1515" w:author="svcMRProcess" w:date="2018-09-08T08:22:00Z">
              <w:r>
                <w:rPr>
                  <w:sz w:val="19"/>
                </w:rPr>
                <w:t>s. 1 and 2: 23 Jun 2004;</w:t>
              </w:r>
              <w:r>
                <w:rPr>
                  <w:sz w:val="19"/>
                </w:rPr>
                <w:br/>
                <w:t xml:space="preserve">Act other than s. 1 and 2: </w:t>
              </w:r>
            </w:ins>
            <w:r>
              <w:rPr>
                <w:sz w:val="19"/>
              </w:rPr>
              <w:t xml:space="preserve">4 Sep 2004 (see s. 2 and </w:t>
            </w:r>
            <w:r>
              <w:rPr>
                <w:i/>
                <w:sz w:val="19"/>
              </w:rPr>
              <w:t>Gazette</w:t>
            </w:r>
            <w:r>
              <w:rPr>
                <w:sz w:val="19"/>
              </w:rPr>
              <w:t xml:space="preserve"> 3 Sep 2004 p. 3849)</w:t>
            </w:r>
          </w:p>
        </w:tc>
      </w:tr>
      <w:tr>
        <w:trPr>
          <w:gridAfter w:val="1"/>
          <w:wAfter w:w="9" w:type="dxa"/>
          <w:cantSplit/>
        </w:trPr>
        <w:tc>
          <w:tcPr>
            <w:tcW w:w="7082" w:type="dxa"/>
            <w:gridSpan w:val="4"/>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 xml:space="preserve">Road Traffic Amendment </w:t>
            </w:r>
            <w:ins w:id="1516" w:author="svcMRProcess" w:date="2018-09-08T08:22:00Z">
              <w:r>
                <w:rPr>
                  <w:i/>
                  <w:sz w:val="19"/>
                </w:rPr>
                <w:t>Act 2000</w:t>
              </w:r>
              <w:r>
                <w:rPr>
                  <w:sz w:val="19"/>
                </w:rPr>
                <w:t xml:space="preserve"> s. 4, 5, 7-16, 17(2), 30-33, 38</w:t>
              </w:r>
              <w:r>
                <w:rPr>
                  <w:sz w:val="19"/>
                </w:rPr>
                <w:noBreakHyphen/>
                <w:t xml:space="preserve">44, 46, 47(1), (2) and (4), </w:t>
              </w:r>
              <w:r>
                <w:rPr>
                  <w:i/>
                  <w:sz w:val="19"/>
                </w:rPr>
                <w:t xml:space="preserve">Road Traffic Amendment </w:t>
              </w:r>
            </w:ins>
            <w:r>
              <w:rPr>
                <w:i/>
                <w:sz w:val="19"/>
              </w:rPr>
              <w:t>(Vehicle Licensing) Act 2001</w:t>
            </w:r>
            <w:r>
              <w:rPr>
                <w:sz w:val="19"/>
              </w:rPr>
              <w:t xml:space="preserve"> and the </w:t>
            </w:r>
            <w:r>
              <w:rPr>
                <w:i/>
                <w:sz w:val="19"/>
              </w:rPr>
              <w:t>Road Traffic Amendment (Impounding and Confiscation of Vehicles) Act 2004</w:t>
            </w:r>
            <w:r>
              <w:rPr>
                <w:sz w:val="19"/>
              </w:rPr>
              <w:t>)</w:t>
            </w:r>
          </w:p>
        </w:tc>
      </w:tr>
      <w:tr>
        <w:trPr>
          <w:gridAfter w:val="1"/>
          <w:wAfter w:w="9" w:type="dxa"/>
          <w:cantSplit/>
        </w:trPr>
        <w:tc>
          <w:tcPr>
            <w:tcW w:w="2266" w:type="dxa"/>
          </w:tcPr>
          <w:p>
            <w:pPr>
              <w:pStyle w:val="nTable"/>
              <w:spacing w:after="40"/>
              <w:rPr>
                <w:sz w:val="19"/>
              </w:rPr>
            </w:pPr>
            <w:r>
              <w:rPr>
                <w:i/>
                <w:sz w:val="19"/>
              </w:rPr>
              <w:t>Road Traffic Amendment (Dangerous Driving) Act 2004</w:t>
            </w:r>
            <w:r>
              <w:rPr>
                <w:sz w:val="19"/>
                <w:vertAlign w:val="superscript"/>
              </w:rPr>
              <w:t> 23</w:t>
            </w:r>
          </w:p>
        </w:tc>
        <w:tc>
          <w:tcPr>
            <w:tcW w:w="1132" w:type="dxa"/>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552" w:type="dxa"/>
          </w:tcPr>
          <w:p>
            <w:pPr>
              <w:pStyle w:val="nTable"/>
              <w:spacing w:after="40"/>
              <w:rPr>
                <w:sz w:val="19"/>
              </w:rPr>
            </w:pPr>
            <w:ins w:id="1517" w:author="svcMRProcess" w:date="2018-09-08T08:22:00Z">
              <w:r>
                <w:rPr>
                  <w:sz w:val="19"/>
                </w:rPr>
                <w:t>s. 1 and 2: 9 Nov 2004;</w:t>
              </w:r>
              <w:r>
                <w:rPr>
                  <w:sz w:val="19"/>
                </w:rPr>
                <w:br/>
                <w:t xml:space="preserve">Act other than s. 1 and 2: </w:t>
              </w:r>
            </w:ins>
            <w:r>
              <w:rPr>
                <w:sz w:val="19"/>
              </w:rPr>
              <w:t xml:space="preserve">1 Jan 2005 (see s. 2 and </w:t>
            </w:r>
            <w:r>
              <w:rPr>
                <w:i/>
                <w:sz w:val="19"/>
              </w:rPr>
              <w:t>Gazette</w:t>
            </w:r>
            <w:r>
              <w:rPr>
                <w:sz w:val="19"/>
              </w:rPr>
              <w:t xml:space="preserve"> 31 Dec 2004 p. 7132)</w:t>
            </w:r>
          </w:p>
        </w:tc>
      </w:tr>
      <w:tr>
        <w:trPr>
          <w:gridAfter w:val="1"/>
          <w:wAfter w:w="9" w:type="dxa"/>
          <w:cantSplit/>
        </w:trPr>
        <w:tc>
          <w:tcPr>
            <w:tcW w:w="2266"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del w:id="1518" w:author="svcMRProcess" w:date="2018-09-08T08:22:00Z">
              <w:r>
                <w:rPr>
                  <w:snapToGrid w:val="0"/>
                  <w:sz w:val="19"/>
                  <w:vertAlign w:val="superscript"/>
                  <w:lang w:val="en-US"/>
                </w:rPr>
                <w:delText>26</w:delText>
              </w:r>
            </w:del>
            <w:ins w:id="1519" w:author="svcMRProcess" w:date="2018-09-08T08:22:00Z">
              <w:r>
                <w:rPr>
                  <w:snapToGrid w:val="0"/>
                  <w:sz w:val="19"/>
                  <w:vertAlign w:val="superscript"/>
                  <w:lang w:val="en-US"/>
                </w:rPr>
                <w:t>24</w:t>
              </w:r>
            </w:ins>
          </w:p>
        </w:tc>
        <w:tc>
          <w:tcPr>
            <w:tcW w:w="1132" w:type="dxa"/>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552" w:type="dxa"/>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1"/>
          <w:wAfter w:w="9" w:type="dxa"/>
          <w:cantSplit/>
        </w:trPr>
        <w:tc>
          <w:tcPr>
            <w:tcW w:w="2266"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w:t>
            </w:r>
            <w:del w:id="1520" w:author="svcMRProcess" w:date="2018-09-08T08:22:00Z">
              <w:r>
                <w:rPr>
                  <w:sz w:val="19"/>
                  <w:vertAlign w:val="superscript"/>
                </w:rPr>
                <w:delText>24</w:delText>
              </w:r>
            </w:del>
            <w:ins w:id="1521" w:author="svcMRProcess" w:date="2018-09-08T08:22:00Z">
              <w:r>
                <w:rPr>
                  <w:sz w:val="19"/>
                  <w:vertAlign w:val="superscript"/>
                </w:rPr>
                <w:t>25</w:t>
              </w:r>
            </w:ins>
          </w:p>
        </w:tc>
        <w:tc>
          <w:tcPr>
            <w:tcW w:w="1132"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9" w:type="dxa"/>
          <w:cantSplit/>
        </w:trPr>
        <w:tc>
          <w:tcPr>
            <w:tcW w:w="2266"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2" w:type="dxa"/>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552" w:type="dxa"/>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9" w:type="dxa"/>
          <w:cantSplit/>
        </w:trPr>
        <w:tc>
          <w:tcPr>
            <w:tcW w:w="2266"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2" w:type="dxa"/>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552"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2" w:type="dxa"/>
          </w:tcPr>
          <w:p>
            <w:pPr>
              <w:pStyle w:val="nTable"/>
              <w:spacing w:after="40"/>
              <w:rPr>
                <w:snapToGrid w:val="0"/>
                <w:sz w:val="19"/>
                <w:lang w:val="en-US"/>
              </w:rPr>
            </w:pPr>
            <w:r>
              <w:rPr>
                <w:snapToGrid w:val="0"/>
                <w:sz w:val="19"/>
                <w:lang w:val="en-US"/>
              </w:rPr>
              <w:t>1 Feb 2005 (see r. 2)</w:t>
            </w:r>
          </w:p>
        </w:tc>
      </w:tr>
      <w:tr>
        <w:trPr>
          <w:gridAfter w:val="1"/>
          <w:wAfter w:w="9" w:type="dxa"/>
          <w:cantSplit/>
        </w:trPr>
        <w:tc>
          <w:tcPr>
            <w:tcW w:w="4530"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2" w:type="dxa"/>
          </w:tcPr>
          <w:p>
            <w:pPr>
              <w:pStyle w:val="nTable"/>
              <w:keepNext/>
              <w:spacing w:after="40"/>
              <w:rPr>
                <w:snapToGrid w:val="0"/>
                <w:sz w:val="19"/>
                <w:lang w:val="en-US"/>
              </w:rPr>
            </w:pPr>
            <w:r>
              <w:rPr>
                <w:sz w:val="19"/>
              </w:rPr>
              <w:t>31 May 2005 (see r. 2)</w:t>
            </w:r>
          </w:p>
        </w:tc>
      </w:tr>
      <w:tr>
        <w:trPr>
          <w:gridAfter w:val="1"/>
          <w:wAfter w:w="9" w:type="dxa"/>
          <w:cantSplit/>
        </w:trPr>
        <w:tc>
          <w:tcPr>
            <w:tcW w:w="7082" w:type="dxa"/>
            <w:gridSpan w:val="4"/>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1"/>
          <w:wAfter w:w="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2" w:type="dxa"/>
          </w:tcPr>
          <w:p>
            <w:pPr>
              <w:pStyle w:val="nTable"/>
              <w:spacing w:after="40"/>
              <w:rPr>
                <w:snapToGrid w:val="0"/>
                <w:sz w:val="19"/>
                <w:lang w:val="en-US"/>
              </w:rPr>
            </w:pPr>
            <w:r>
              <w:rPr>
                <w:snapToGrid w:val="0"/>
                <w:sz w:val="19"/>
                <w:lang w:val="en-US"/>
              </w:rPr>
              <w:t>31 May 2006 (see r. 2)</w:t>
            </w:r>
          </w:p>
        </w:tc>
      </w:tr>
      <w:tr>
        <w:trPr>
          <w:gridAfter w:val="1"/>
          <w:wAfter w:w="9" w:type="dxa"/>
          <w:ins w:id="1522" w:author="svcMRProcess" w:date="2018-09-08T08:22:00Z"/>
        </w:trPr>
        <w:tc>
          <w:tcPr>
            <w:tcW w:w="2266" w:type="dxa"/>
          </w:tcPr>
          <w:p>
            <w:pPr>
              <w:pStyle w:val="nTable"/>
              <w:spacing w:after="40"/>
              <w:rPr>
                <w:ins w:id="1523" w:author="svcMRProcess" w:date="2018-09-08T08:22:00Z"/>
                <w:i/>
                <w:sz w:val="19"/>
              </w:rPr>
            </w:pPr>
            <w:ins w:id="1524" w:author="svcMRProcess" w:date="2018-09-08T08:22:00Z">
              <w:r>
                <w:rPr>
                  <w:i/>
                  <w:snapToGrid w:val="0"/>
                  <w:sz w:val="19"/>
                  <w:lang w:val="en-US"/>
                </w:rPr>
                <w:t>Nurses and Midwives Act 2006</w:t>
              </w:r>
              <w:r>
                <w:rPr>
                  <w:snapToGrid w:val="0"/>
                  <w:sz w:val="19"/>
                  <w:lang w:val="en-US"/>
                </w:rPr>
                <w:t xml:space="preserve"> s. 114</w:t>
              </w:r>
            </w:ins>
          </w:p>
        </w:tc>
        <w:tc>
          <w:tcPr>
            <w:tcW w:w="1132" w:type="dxa"/>
          </w:tcPr>
          <w:p>
            <w:pPr>
              <w:pStyle w:val="nTable"/>
              <w:spacing w:after="40"/>
              <w:rPr>
                <w:ins w:id="1525" w:author="svcMRProcess" w:date="2018-09-08T08:22:00Z"/>
                <w:sz w:val="19"/>
              </w:rPr>
            </w:pPr>
            <w:ins w:id="1526" w:author="svcMRProcess" w:date="2018-09-08T08:22:00Z">
              <w:r>
                <w:rPr>
                  <w:snapToGrid w:val="0"/>
                  <w:sz w:val="19"/>
                  <w:lang w:val="en-US"/>
                </w:rPr>
                <w:t>50 of 2006</w:t>
              </w:r>
            </w:ins>
          </w:p>
        </w:tc>
        <w:tc>
          <w:tcPr>
            <w:tcW w:w="1132" w:type="dxa"/>
          </w:tcPr>
          <w:p>
            <w:pPr>
              <w:pStyle w:val="nTable"/>
              <w:spacing w:after="40"/>
              <w:rPr>
                <w:ins w:id="1527" w:author="svcMRProcess" w:date="2018-09-08T08:22:00Z"/>
                <w:sz w:val="19"/>
              </w:rPr>
            </w:pPr>
            <w:ins w:id="1528" w:author="svcMRProcess" w:date="2018-09-08T08:22:00Z">
              <w:r>
                <w:rPr>
                  <w:sz w:val="19"/>
                </w:rPr>
                <w:t>6 Oct 2006</w:t>
              </w:r>
            </w:ins>
          </w:p>
        </w:tc>
        <w:tc>
          <w:tcPr>
            <w:tcW w:w="2552" w:type="dxa"/>
          </w:tcPr>
          <w:p>
            <w:pPr>
              <w:pStyle w:val="nTable"/>
              <w:spacing w:after="40"/>
              <w:rPr>
                <w:ins w:id="1529" w:author="svcMRProcess" w:date="2018-09-08T08:22:00Z"/>
                <w:snapToGrid w:val="0"/>
                <w:sz w:val="19"/>
                <w:lang w:val="en-US"/>
              </w:rPr>
            </w:pPr>
            <w:ins w:id="1530" w:author="svcMRProcess" w:date="2018-09-08T08:22:00Z">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ins>
          </w:p>
        </w:tc>
      </w:tr>
      <w:tr>
        <w:trPr>
          <w:gridAfter w:val="1"/>
          <w:wAfter w:w="9" w:type="dxa"/>
          <w:cantSplit/>
        </w:trPr>
        <w:tc>
          <w:tcPr>
            <w:tcW w:w="2266" w:type="dxa"/>
          </w:tcPr>
          <w:p>
            <w:pPr>
              <w:pStyle w:val="nTable"/>
              <w:keepLines/>
              <w:spacing w:after="40"/>
              <w:rPr>
                <w:iCs/>
                <w:snapToGrid w:val="0"/>
                <w:sz w:val="19"/>
                <w:vertAlign w:val="superscript"/>
                <w:lang w:val="en-US"/>
              </w:rPr>
            </w:pPr>
            <w:r>
              <w:rPr>
                <w:i/>
                <w:sz w:val="19"/>
              </w:rPr>
              <w:t xml:space="preserve">Road Traffic Amendment Act 2006 </w:t>
            </w:r>
            <w:r>
              <w:rPr>
                <w:sz w:val="19"/>
              </w:rPr>
              <w:t xml:space="preserve">Pt. </w:t>
            </w:r>
            <w:del w:id="1531" w:author="svcMRProcess" w:date="2018-09-08T08:22:00Z">
              <w:r>
                <w:rPr>
                  <w:sz w:val="19"/>
                </w:rPr>
                <w:delText>2, 3 and 4 Div. 3 and 4</w:delText>
              </w:r>
              <w:r>
                <w:rPr>
                  <w:sz w:val="19"/>
                  <w:vertAlign w:val="superscript"/>
                </w:rPr>
                <w:delText> 25, 30, 31</w:delText>
              </w:r>
            </w:del>
            <w:ins w:id="1532" w:author="svcMRProcess" w:date="2018-09-08T08:22:00Z">
              <w:r>
                <w:rPr>
                  <w:sz w:val="19"/>
                </w:rPr>
                <w:t>2</w:t>
              </w:r>
              <w:r>
                <w:rPr>
                  <w:sz w:val="19"/>
                  <w:vertAlign w:val="superscript"/>
                </w:rPr>
                <w:t> 26-28</w:t>
              </w:r>
            </w:ins>
          </w:p>
        </w:tc>
        <w:tc>
          <w:tcPr>
            <w:tcW w:w="1132" w:type="dxa"/>
          </w:tcPr>
          <w:p>
            <w:pPr>
              <w:pStyle w:val="nTable"/>
              <w:keepLines/>
              <w:spacing w:after="40"/>
              <w:rPr>
                <w:snapToGrid w:val="0"/>
                <w:sz w:val="19"/>
                <w:lang w:val="en-US"/>
              </w:rPr>
            </w:pPr>
            <w:r>
              <w:rPr>
                <w:snapToGrid w:val="0"/>
                <w:sz w:val="19"/>
                <w:lang w:val="en-US"/>
              </w:rPr>
              <w:t>54 of 2006</w:t>
            </w:r>
          </w:p>
        </w:tc>
        <w:tc>
          <w:tcPr>
            <w:tcW w:w="1132" w:type="dxa"/>
          </w:tcPr>
          <w:p>
            <w:pPr>
              <w:pStyle w:val="nTable"/>
              <w:keepLines/>
              <w:spacing w:after="40"/>
              <w:rPr>
                <w:snapToGrid w:val="0"/>
                <w:sz w:val="19"/>
                <w:lang w:val="en-US"/>
              </w:rPr>
            </w:pPr>
            <w:r>
              <w:rPr>
                <w:snapToGrid w:val="0"/>
                <w:sz w:val="19"/>
                <w:lang w:val="en-US"/>
              </w:rPr>
              <w:t>26 Oct 2006</w:t>
            </w:r>
          </w:p>
        </w:tc>
        <w:tc>
          <w:tcPr>
            <w:tcW w:w="2552" w:type="dxa"/>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del w:id="1533" w:author="svcMRProcess" w:date="2018-09-08T08:22:00Z">
              <w:r>
                <w:rPr>
                  <w:snapToGrid w:val="0"/>
                  <w:sz w:val="19"/>
                  <w:lang w:val="en-US"/>
                </w:rPr>
                <w:delText>):</w:delText>
              </w:r>
            </w:del>
            <w:ins w:id="1534" w:author="svcMRProcess" w:date="2018-09-08T08:22:00Z">
              <w:r>
                <w:rPr>
                  <w:snapToGrid w:val="0"/>
                  <w:sz w:val="19"/>
                  <w:lang w:val="en-US"/>
                </w:rPr>
                <w:t>);</w:t>
              </w:r>
            </w:ins>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del w:id="1535" w:author="svcMRProcess" w:date="2018-09-08T08:22:00Z">
              <w:r>
                <w:rPr>
                  <w:snapToGrid w:val="0"/>
                  <w:sz w:val="19"/>
                  <w:lang w:val="en-US"/>
                </w:rPr>
                <w:delText>)</w:delText>
              </w:r>
            </w:del>
            <w:ins w:id="1536" w:author="svcMRProcess" w:date="2018-09-08T08:22:00Z">
              <w:r>
                <w:rPr>
                  <w:snapToGrid w:val="0"/>
                  <w:sz w:val="19"/>
                  <w:lang w:val="en-US"/>
                </w:rPr>
                <w:t>);</w:t>
              </w:r>
            </w:ins>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1"/>
          <w:wAfter w:w="9" w:type="dxa"/>
        </w:trPr>
        <w:tc>
          <w:tcPr>
            <w:tcW w:w="2266"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del w:id="1537" w:author="svcMRProcess" w:date="2018-09-08T08:22:00Z">
              <w:r>
                <w:rPr>
                  <w:snapToGrid w:val="0"/>
                  <w:sz w:val="19"/>
                  <w:lang w:val="en-US"/>
                </w:rPr>
                <w:delText xml:space="preserve"> </w:delText>
              </w:r>
            </w:del>
          </w:p>
        </w:tc>
        <w:tc>
          <w:tcPr>
            <w:tcW w:w="1132" w:type="dxa"/>
          </w:tcPr>
          <w:p>
            <w:pPr>
              <w:pStyle w:val="nTable"/>
              <w:spacing w:after="40"/>
              <w:rPr>
                <w:snapToGrid w:val="0"/>
                <w:sz w:val="19"/>
                <w:lang w:val="en-US"/>
              </w:rPr>
            </w:pPr>
            <w:r>
              <w:rPr>
                <w:snapToGrid w:val="0"/>
                <w:sz w:val="19"/>
                <w:lang w:val="en-US"/>
              </w:rPr>
              <w:t xml:space="preserve">77 of 2006 </w:t>
            </w:r>
          </w:p>
        </w:tc>
        <w:tc>
          <w:tcPr>
            <w:tcW w:w="1132"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1 Feb 2007 (see s. 2</w:t>
            </w:r>
            <w:ins w:id="1538" w:author="svcMRProcess" w:date="2018-09-08T08:22:00Z">
              <w:r>
                <w:rPr>
                  <w:snapToGrid w:val="0"/>
                  <w:sz w:val="19"/>
                  <w:lang w:val="en-US"/>
                </w:rPr>
                <w:t>(1)</w:t>
              </w:r>
            </w:ins>
            <w:r>
              <w:rPr>
                <w:snapToGrid w:val="0"/>
                <w:sz w:val="19"/>
                <w:lang w:val="en-US"/>
              </w:rPr>
              <w:t xml:space="preserve"> and </w:t>
            </w:r>
            <w:r>
              <w:rPr>
                <w:i/>
                <w:snapToGrid w:val="0"/>
                <w:sz w:val="19"/>
                <w:lang w:val="en-US"/>
              </w:rPr>
              <w:t>Gazette</w:t>
            </w:r>
            <w:r>
              <w:rPr>
                <w:snapToGrid w:val="0"/>
                <w:sz w:val="19"/>
                <w:lang w:val="en-US"/>
              </w:rPr>
              <w:t xml:space="preserve"> 19 Jan 2007 p. 137)</w:t>
            </w:r>
          </w:p>
        </w:tc>
      </w:tr>
      <w:tr>
        <w:trPr>
          <w:gridAfter w:val="1"/>
          <w:wAfter w:w="9" w:type="dxa"/>
        </w:trPr>
        <w:tc>
          <w:tcPr>
            <w:tcW w:w="2266" w:type="dxa"/>
          </w:tcPr>
          <w:p>
            <w:pPr>
              <w:pStyle w:val="nTable"/>
              <w:spacing w:after="40"/>
              <w:rPr>
                <w:i/>
                <w:snapToGrid w:val="0"/>
                <w:sz w:val="19"/>
                <w:lang w:val="en-US"/>
              </w:rPr>
            </w:pPr>
            <w:r>
              <w:rPr>
                <w:i/>
                <w:sz w:val="19"/>
              </w:rPr>
              <w:t>Road Traffic Amendment Act 2007</w:t>
            </w:r>
          </w:p>
        </w:tc>
        <w:tc>
          <w:tcPr>
            <w:tcW w:w="1132" w:type="dxa"/>
          </w:tcPr>
          <w:p>
            <w:pPr>
              <w:pStyle w:val="nTable"/>
              <w:spacing w:after="40"/>
              <w:rPr>
                <w:snapToGrid w:val="0"/>
                <w:sz w:val="19"/>
                <w:lang w:val="en-US"/>
              </w:rPr>
            </w:pPr>
            <w:r>
              <w:rPr>
                <w:snapToGrid w:val="0"/>
                <w:sz w:val="19"/>
                <w:lang w:val="en-US"/>
              </w:rPr>
              <w:t>4 of 2007</w:t>
            </w:r>
          </w:p>
        </w:tc>
        <w:tc>
          <w:tcPr>
            <w:tcW w:w="1132" w:type="dxa"/>
          </w:tcPr>
          <w:p>
            <w:pPr>
              <w:pStyle w:val="nTable"/>
              <w:spacing w:after="40"/>
              <w:rPr>
                <w:snapToGrid w:val="0"/>
                <w:sz w:val="19"/>
                <w:lang w:val="en-US"/>
              </w:rPr>
            </w:pPr>
            <w:r>
              <w:rPr>
                <w:snapToGrid w:val="0"/>
                <w:sz w:val="19"/>
                <w:lang w:val="en-US"/>
              </w:rPr>
              <w:t>11 Apr 2007</w:t>
            </w:r>
          </w:p>
        </w:tc>
        <w:tc>
          <w:tcPr>
            <w:tcW w:w="2552" w:type="dxa"/>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del w:id="1539" w:author="svcMRProcess" w:date="2018-09-08T08:22:00Z"/>
        </w:trPr>
        <w:tc>
          <w:tcPr>
            <w:tcW w:w="2267" w:type="dxa"/>
          </w:tcPr>
          <w:p>
            <w:pPr>
              <w:pStyle w:val="nTable"/>
              <w:spacing w:after="40"/>
              <w:rPr>
                <w:del w:id="1540" w:author="svcMRProcess" w:date="2018-09-08T08:22:00Z"/>
                <w:i/>
                <w:sz w:val="19"/>
              </w:rPr>
            </w:pPr>
            <w:del w:id="1541" w:author="svcMRProcess" w:date="2018-09-08T08:22:00Z">
              <w:r>
                <w:rPr>
                  <w:i/>
                  <w:sz w:val="19"/>
                </w:rPr>
                <w:delText>Chemistry Centre (WA) Act 2007</w:delText>
              </w:r>
              <w:r>
                <w:rPr>
                  <w:iCs/>
                  <w:sz w:val="19"/>
                </w:rPr>
                <w:delText> s. 43</w:delText>
              </w:r>
            </w:del>
          </w:p>
        </w:tc>
        <w:tc>
          <w:tcPr>
            <w:tcW w:w="1134" w:type="dxa"/>
          </w:tcPr>
          <w:p>
            <w:pPr>
              <w:pStyle w:val="nTable"/>
              <w:spacing w:after="40"/>
              <w:rPr>
                <w:del w:id="1542" w:author="svcMRProcess" w:date="2018-09-08T08:22:00Z"/>
                <w:snapToGrid w:val="0"/>
                <w:sz w:val="19"/>
                <w:lang w:val="en-US"/>
              </w:rPr>
            </w:pPr>
            <w:del w:id="1543" w:author="svcMRProcess" w:date="2018-09-08T08:22:00Z">
              <w:r>
                <w:rPr>
                  <w:sz w:val="19"/>
                </w:rPr>
                <w:delText>10 of 2007</w:delText>
              </w:r>
            </w:del>
          </w:p>
        </w:tc>
        <w:tc>
          <w:tcPr>
            <w:tcW w:w="1134" w:type="dxa"/>
          </w:tcPr>
          <w:p>
            <w:pPr>
              <w:pStyle w:val="nTable"/>
              <w:spacing w:after="40"/>
              <w:rPr>
                <w:del w:id="1544" w:author="svcMRProcess" w:date="2018-09-08T08:22:00Z"/>
                <w:snapToGrid w:val="0"/>
                <w:sz w:val="19"/>
                <w:lang w:val="en-US"/>
              </w:rPr>
            </w:pPr>
            <w:del w:id="1545" w:author="svcMRProcess" w:date="2018-09-08T08:22:00Z">
              <w:r>
                <w:rPr>
                  <w:sz w:val="19"/>
                </w:rPr>
                <w:delText>29 Jun 2007</w:delText>
              </w:r>
            </w:del>
          </w:p>
        </w:tc>
        <w:tc>
          <w:tcPr>
            <w:tcW w:w="2556" w:type="dxa"/>
            <w:gridSpan w:val="2"/>
          </w:tcPr>
          <w:p>
            <w:pPr>
              <w:pStyle w:val="nTable"/>
              <w:spacing w:after="40"/>
              <w:rPr>
                <w:del w:id="1546" w:author="svcMRProcess" w:date="2018-09-08T08:22:00Z"/>
                <w:snapToGrid w:val="0"/>
                <w:sz w:val="19"/>
                <w:lang w:val="en-US"/>
              </w:rPr>
            </w:pPr>
            <w:del w:id="1547" w:author="svcMRProcess" w:date="2018-09-08T08:22:00Z">
              <w:r>
                <w:rPr>
                  <w:snapToGrid w:val="0"/>
                  <w:sz w:val="19"/>
                  <w:lang w:val="en-US"/>
                </w:rPr>
                <w:delText xml:space="preserve">1 Aug 2007 (see s. 2 and </w:delText>
              </w:r>
              <w:r>
                <w:rPr>
                  <w:i/>
                  <w:iCs/>
                  <w:snapToGrid w:val="0"/>
                  <w:sz w:val="19"/>
                  <w:lang w:val="en-US"/>
                </w:rPr>
                <w:delText>Gazette</w:delText>
              </w:r>
              <w:r>
                <w:rPr>
                  <w:snapToGrid w:val="0"/>
                  <w:sz w:val="19"/>
                  <w:lang w:val="en-US"/>
                </w:rPr>
                <w:delText xml:space="preserve"> 27 Jul 2007 p. 3735)</w:delText>
              </w:r>
            </w:del>
          </w:p>
        </w:tc>
      </w:tr>
      <w:tr>
        <w:trPr>
          <w:del w:id="1548" w:author="svcMRProcess" w:date="2018-09-08T08:22:00Z"/>
        </w:trPr>
        <w:tc>
          <w:tcPr>
            <w:tcW w:w="2267" w:type="dxa"/>
          </w:tcPr>
          <w:p>
            <w:pPr>
              <w:pStyle w:val="nTable"/>
              <w:spacing w:after="40"/>
              <w:rPr>
                <w:del w:id="1549" w:author="svcMRProcess" w:date="2018-09-08T08:22:00Z"/>
                <w:i/>
                <w:sz w:val="19"/>
              </w:rPr>
            </w:pPr>
            <w:del w:id="1550" w:author="svcMRProcess" w:date="2018-09-08T08:22:00Z">
              <w:r>
                <w:rPr>
                  <w:i/>
                  <w:snapToGrid w:val="0"/>
                  <w:sz w:val="19"/>
                  <w:lang w:val="en-US"/>
                </w:rPr>
                <w:delText>Nurses and Midwives Act 2006</w:delText>
              </w:r>
              <w:r>
                <w:rPr>
                  <w:snapToGrid w:val="0"/>
                  <w:sz w:val="19"/>
                  <w:lang w:val="en-US"/>
                </w:rPr>
                <w:delText xml:space="preserve"> s. 114</w:delText>
              </w:r>
            </w:del>
          </w:p>
        </w:tc>
        <w:tc>
          <w:tcPr>
            <w:tcW w:w="1134" w:type="dxa"/>
          </w:tcPr>
          <w:p>
            <w:pPr>
              <w:pStyle w:val="nTable"/>
              <w:spacing w:after="40"/>
              <w:rPr>
                <w:del w:id="1551" w:author="svcMRProcess" w:date="2018-09-08T08:22:00Z"/>
                <w:sz w:val="19"/>
              </w:rPr>
            </w:pPr>
            <w:del w:id="1552" w:author="svcMRProcess" w:date="2018-09-08T08:22:00Z">
              <w:r>
                <w:rPr>
                  <w:snapToGrid w:val="0"/>
                  <w:sz w:val="19"/>
                  <w:lang w:val="en-US"/>
                </w:rPr>
                <w:delText>50 of 2006</w:delText>
              </w:r>
            </w:del>
          </w:p>
        </w:tc>
        <w:tc>
          <w:tcPr>
            <w:tcW w:w="1134" w:type="dxa"/>
          </w:tcPr>
          <w:p>
            <w:pPr>
              <w:pStyle w:val="nTable"/>
              <w:spacing w:after="40"/>
              <w:rPr>
                <w:del w:id="1553" w:author="svcMRProcess" w:date="2018-09-08T08:22:00Z"/>
                <w:sz w:val="19"/>
              </w:rPr>
            </w:pPr>
            <w:del w:id="1554" w:author="svcMRProcess" w:date="2018-09-08T08:22:00Z">
              <w:r>
                <w:rPr>
                  <w:sz w:val="19"/>
                </w:rPr>
                <w:delText>6 Oct 2006</w:delText>
              </w:r>
            </w:del>
          </w:p>
        </w:tc>
        <w:tc>
          <w:tcPr>
            <w:tcW w:w="2556" w:type="dxa"/>
            <w:gridSpan w:val="2"/>
          </w:tcPr>
          <w:p>
            <w:pPr>
              <w:pStyle w:val="nTable"/>
              <w:spacing w:after="40"/>
              <w:rPr>
                <w:del w:id="1555" w:author="svcMRProcess" w:date="2018-09-08T08:22:00Z"/>
                <w:snapToGrid w:val="0"/>
                <w:sz w:val="19"/>
                <w:lang w:val="en-US"/>
              </w:rPr>
            </w:pPr>
            <w:del w:id="1556" w:author="svcMRProcess" w:date="2018-09-08T08:22:00Z">
              <w:r>
                <w:rPr>
                  <w:snapToGrid w:val="0"/>
                  <w:sz w:val="19"/>
                  <w:lang w:val="en-US"/>
                </w:rPr>
                <w:delText xml:space="preserve">19 Sep 2007 (see s. 2 and </w:delText>
              </w:r>
              <w:r>
                <w:rPr>
                  <w:i/>
                  <w:iCs/>
                  <w:snapToGrid w:val="0"/>
                  <w:sz w:val="19"/>
                  <w:lang w:val="en-US"/>
                </w:rPr>
                <w:delText>Gazette</w:delText>
              </w:r>
              <w:r>
                <w:rPr>
                  <w:snapToGrid w:val="0"/>
                  <w:sz w:val="19"/>
                  <w:lang w:val="en-US"/>
                </w:rPr>
                <w:delText xml:space="preserve"> 18 Sep 2007 p. 4711)</w:delText>
              </w:r>
            </w:del>
          </w:p>
        </w:tc>
      </w:tr>
      <w:tr>
        <w:trPr>
          <w:gridAfter w:val="1"/>
          <w:wAfter w:w="9" w:type="dxa"/>
        </w:trPr>
        <w:tc>
          <w:tcPr>
            <w:tcW w:w="2266" w:type="dxa"/>
          </w:tcPr>
          <w:p>
            <w:pPr>
              <w:pStyle w:val="nTable"/>
              <w:spacing w:after="40"/>
              <w:rPr>
                <w:i/>
                <w:snapToGrid w:val="0"/>
                <w:sz w:val="19"/>
                <w:lang w:val="en-US"/>
              </w:rPr>
            </w:pPr>
            <w:r>
              <w:rPr>
                <w:i/>
                <w:sz w:val="19"/>
              </w:rPr>
              <w:t>Road Traffic Amendment (Drugs) Act 2007</w:t>
            </w:r>
            <w:r>
              <w:rPr>
                <w:iCs/>
                <w:sz w:val="19"/>
              </w:rPr>
              <w:t xml:space="preserve"> Pt. 2</w:t>
            </w:r>
          </w:p>
        </w:tc>
        <w:tc>
          <w:tcPr>
            <w:tcW w:w="1132" w:type="dxa"/>
          </w:tcPr>
          <w:p>
            <w:pPr>
              <w:pStyle w:val="nTable"/>
              <w:spacing w:after="40"/>
              <w:rPr>
                <w:snapToGrid w:val="0"/>
                <w:sz w:val="19"/>
                <w:lang w:val="en-US"/>
              </w:rPr>
            </w:pPr>
            <w:r>
              <w:rPr>
                <w:snapToGrid w:val="0"/>
                <w:sz w:val="19"/>
                <w:lang w:val="en-US"/>
              </w:rPr>
              <w:t>6 of 2007</w:t>
            </w:r>
          </w:p>
        </w:tc>
        <w:tc>
          <w:tcPr>
            <w:tcW w:w="1132" w:type="dxa"/>
          </w:tcPr>
          <w:p>
            <w:pPr>
              <w:pStyle w:val="nTable"/>
              <w:spacing w:after="40"/>
              <w:rPr>
                <w:sz w:val="19"/>
              </w:rPr>
            </w:pPr>
            <w:r>
              <w:rPr>
                <w:sz w:val="19"/>
              </w:rPr>
              <w:t>23 May 2007</w:t>
            </w:r>
          </w:p>
        </w:tc>
        <w:tc>
          <w:tcPr>
            <w:tcW w:w="2552" w:type="dxa"/>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1"/>
          <w:wAfter w:w="9" w:type="dxa"/>
          <w:ins w:id="1557" w:author="svcMRProcess" w:date="2018-09-08T08:22:00Z"/>
        </w:trPr>
        <w:tc>
          <w:tcPr>
            <w:tcW w:w="2266" w:type="dxa"/>
          </w:tcPr>
          <w:p>
            <w:pPr>
              <w:pStyle w:val="nTable"/>
              <w:spacing w:after="40"/>
              <w:rPr>
                <w:ins w:id="1558" w:author="svcMRProcess" w:date="2018-09-08T08:22:00Z"/>
                <w:i/>
                <w:sz w:val="19"/>
              </w:rPr>
            </w:pPr>
            <w:ins w:id="1559" w:author="svcMRProcess" w:date="2018-09-08T08:22:00Z">
              <w:r>
                <w:rPr>
                  <w:i/>
                  <w:sz w:val="19"/>
                </w:rPr>
                <w:t>Chemistry Centre (WA) Act 2007</w:t>
              </w:r>
              <w:r>
                <w:rPr>
                  <w:iCs/>
                  <w:sz w:val="19"/>
                </w:rPr>
                <w:t> s. 43</w:t>
              </w:r>
            </w:ins>
          </w:p>
        </w:tc>
        <w:tc>
          <w:tcPr>
            <w:tcW w:w="1132" w:type="dxa"/>
          </w:tcPr>
          <w:p>
            <w:pPr>
              <w:pStyle w:val="nTable"/>
              <w:spacing w:after="40"/>
              <w:rPr>
                <w:ins w:id="1560" w:author="svcMRProcess" w:date="2018-09-08T08:22:00Z"/>
                <w:snapToGrid w:val="0"/>
                <w:sz w:val="19"/>
                <w:lang w:val="en-US"/>
              </w:rPr>
            </w:pPr>
            <w:ins w:id="1561" w:author="svcMRProcess" w:date="2018-09-08T08:22:00Z">
              <w:r>
                <w:rPr>
                  <w:sz w:val="19"/>
                </w:rPr>
                <w:t>10 of 2007</w:t>
              </w:r>
            </w:ins>
          </w:p>
        </w:tc>
        <w:tc>
          <w:tcPr>
            <w:tcW w:w="1132" w:type="dxa"/>
          </w:tcPr>
          <w:p>
            <w:pPr>
              <w:pStyle w:val="nTable"/>
              <w:spacing w:after="40"/>
              <w:rPr>
                <w:ins w:id="1562" w:author="svcMRProcess" w:date="2018-09-08T08:22:00Z"/>
                <w:snapToGrid w:val="0"/>
                <w:sz w:val="19"/>
                <w:lang w:val="en-US"/>
              </w:rPr>
            </w:pPr>
            <w:ins w:id="1563" w:author="svcMRProcess" w:date="2018-09-08T08:22:00Z">
              <w:r>
                <w:rPr>
                  <w:sz w:val="19"/>
                </w:rPr>
                <w:t>29 Jun 2007</w:t>
              </w:r>
            </w:ins>
          </w:p>
        </w:tc>
        <w:tc>
          <w:tcPr>
            <w:tcW w:w="2552" w:type="dxa"/>
          </w:tcPr>
          <w:p>
            <w:pPr>
              <w:pStyle w:val="nTable"/>
              <w:spacing w:after="40"/>
              <w:rPr>
                <w:ins w:id="1564" w:author="svcMRProcess" w:date="2018-09-08T08:22:00Z"/>
                <w:snapToGrid w:val="0"/>
                <w:sz w:val="19"/>
                <w:lang w:val="en-US"/>
              </w:rPr>
            </w:pPr>
            <w:ins w:id="1565" w:author="svcMRProcess" w:date="2018-09-08T08:22:00Z">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ins>
          </w:p>
        </w:tc>
      </w:tr>
      <w:tr>
        <w:trPr>
          <w:gridAfter w:val="1"/>
          <w:wAfter w:w="9" w:type="dxa"/>
        </w:trPr>
        <w:tc>
          <w:tcPr>
            <w:tcW w:w="2266" w:type="dxa"/>
          </w:tcPr>
          <w:p>
            <w:pPr>
              <w:pStyle w:val="nTable"/>
              <w:spacing w:after="40"/>
              <w:rPr>
                <w:iCs/>
                <w:sz w:val="19"/>
              </w:rPr>
            </w:pPr>
            <w:r>
              <w:rPr>
                <w:i/>
                <w:sz w:val="19"/>
              </w:rPr>
              <w:t xml:space="preserve">Road Traffic Amendment Act (No. 2) 2007 </w:t>
            </w:r>
            <w:r>
              <w:rPr>
                <w:iCs/>
                <w:sz w:val="19"/>
              </w:rPr>
              <w:t>Pt.</w:t>
            </w:r>
            <w:del w:id="1566" w:author="svcMRProcess" w:date="2018-09-08T08:22:00Z">
              <w:r>
                <w:rPr>
                  <w:iCs/>
                  <w:sz w:val="19"/>
                </w:rPr>
                <w:delText xml:space="preserve"> 1 and Pt.</w:delText>
              </w:r>
            </w:del>
            <w:r>
              <w:rPr>
                <w:iCs/>
                <w:sz w:val="19"/>
              </w:rPr>
              <w:t> 2 (except s. 27-30)</w:t>
            </w:r>
          </w:p>
        </w:tc>
        <w:tc>
          <w:tcPr>
            <w:tcW w:w="1132" w:type="dxa"/>
          </w:tcPr>
          <w:p>
            <w:pPr>
              <w:pStyle w:val="nTable"/>
              <w:spacing w:after="40"/>
              <w:rPr>
                <w:snapToGrid w:val="0"/>
                <w:sz w:val="19"/>
                <w:lang w:val="en-US"/>
              </w:rPr>
            </w:pPr>
            <w:r>
              <w:rPr>
                <w:snapToGrid w:val="0"/>
                <w:sz w:val="19"/>
                <w:lang w:val="en-US"/>
              </w:rPr>
              <w:t>39 of 2007</w:t>
            </w:r>
          </w:p>
        </w:tc>
        <w:tc>
          <w:tcPr>
            <w:tcW w:w="1132" w:type="dxa"/>
          </w:tcPr>
          <w:p>
            <w:pPr>
              <w:pStyle w:val="nTable"/>
              <w:spacing w:after="40"/>
              <w:rPr>
                <w:sz w:val="19"/>
              </w:rPr>
            </w:pPr>
            <w:r>
              <w:rPr>
                <w:snapToGrid w:val="0"/>
                <w:sz w:val="19"/>
                <w:lang w:val="en-US"/>
              </w:rPr>
              <w:t>21 Dec 2007</w:t>
            </w:r>
          </w:p>
        </w:tc>
        <w:tc>
          <w:tcPr>
            <w:tcW w:w="2552" w:type="dxa"/>
          </w:tcPr>
          <w:p>
            <w:pPr>
              <w:pStyle w:val="nTable"/>
              <w:spacing w:after="40"/>
              <w:rPr>
                <w:del w:id="1567" w:author="svcMRProcess" w:date="2018-09-08T08:22:00Z"/>
                <w:iCs/>
                <w:sz w:val="19"/>
              </w:rPr>
            </w:pPr>
            <w:del w:id="1568" w:author="svcMRProcess" w:date="2018-09-08T08:22:00Z">
              <w:r>
                <w:rPr>
                  <w:iCs/>
                  <w:sz w:val="19"/>
                </w:rPr>
                <w:delText>Pt. 1: 21 Dec 2007 (see s. 2(a));</w:delText>
              </w:r>
            </w:del>
          </w:p>
          <w:p>
            <w:pPr>
              <w:pStyle w:val="nTable"/>
              <w:spacing w:before="0" w:after="40"/>
              <w:rPr>
                <w:del w:id="1569" w:author="svcMRProcess" w:date="2018-09-08T08:22:00Z"/>
                <w:snapToGrid w:val="0"/>
                <w:sz w:val="19"/>
                <w:lang w:val="en-US"/>
              </w:rPr>
            </w:pPr>
            <w:r>
              <w:rPr>
                <w:snapToGrid w:val="0"/>
                <w:sz w:val="19"/>
                <w:lang w:val="en-US"/>
              </w:rPr>
              <w:t>Pt. 2 Div. 6: 22 Dec 2007 (see s. 2(j));</w:t>
            </w:r>
          </w:p>
          <w:p>
            <w:pPr>
              <w:pStyle w:val="nTable"/>
              <w:spacing w:after="40"/>
              <w:rPr>
                <w:snapToGrid w:val="0"/>
                <w:sz w:val="19"/>
                <w:lang w:val="en-US"/>
              </w:rPr>
            </w:pPr>
            <w:ins w:id="1570" w:author="svcMRProcess" w:date="2018-09-08T08:22:00Z">
              <w:r>
                <w:rPr>
                  <w:snapToGrid w:val="0"/>
                  <w:sz w:val="19"/>
                  <w:lang w:val="en-US"/>
                </w:rPr>
                <w:br/>
              </w:r>
            </w:ins>
            <w:r>
              <w:rPr>
                <w:snapToGrid w:val="0"/>
                <w:sz w:val="19"/>
                <w:lang w:val="en-US"/>
              </w:rPr>
              <w:t xml:space="preserve">Pt. 2 (other than s. 6(2)(b)(ii), 17, 18 &amp; 25 and Div. 4, 5 &amp; 6): 15 Mar 2008 (see s. 2(b)-(j) and </w:t>
            </w:r>
            <w:r>
              <w:rPr>
                <w:i/>
                <w:iCs/>
                <w:snapToGrid w:val="0"/>
                <w:sz w:val="19"/>
                <w:lang w:val="en-US"/>
              </w:rPr>
              <w:t>Gazette</w:t>
            </w:r>
            <w:r>
              <w:rPr>
                <w:snapToGrid w:val="0"/>
                <w:sz w:val="19"/>
                <w:lang w:val="en-US"/>
              </w:rPr>
              <w:t xml:space="preserve"> 14 Mar 2008 p. 829);</w:t>
            </w:r>
            <w:r>
              <w:rPr>
                <w:snapToGrid w:val="0"/>
                <w:sz w:val="19"/>
                <w:lang w:val="en-US"/>
              </w:rPr>
              <w:br/>
              <w:t>Pt. 2 s. 6(2)(b)(ii): 15 Mar 2008 (see s. 2(c));</w:t>
            </w:r>
            <w:r>
              <w:rPr>
                <w:snapToGrid w:val="0"/>
                <w:sz w:val="19"/>
                <w:lang w:val="en-US"/>
              </w:rPr>
              <w:br/>
              <w:t xml:space="preserve">Pt. 2 s. 17, 18 </w:t>
            </w:r>
            <w:del w:id="1571" w:author="svcMRProcess" w:date="2018-09-08T08:22:00Z">
              <w:r>
                <w:rPr>
                  <w:snapToGrid w:val="0"/>
                  <w:sz w:val="19"/>
                  <w:lang w:val="en-US"/>
                </w:rPr>
                <w:delText>&amp;</w:delText>
              </w:r>
            </w:del>
            <w:ins w:id="1572" w:author="svcMRProcess" w:date="2018-09-08T08:22:00Z">
              <w:r>
                <w:rPr>
                  <w:snapToGrid w:val="0"/>
                  <w:sz w:val="19"/>
                  <w:lang w:val="en-US"/>
                </w:rPr>
                <w:t>and</w:t>
              </w:r>
            </w:ins>
            <w:r>
              <w:rPr>
                <w:snapToGrid w:val="0"/>
                <w:sz w:val="19"/>
                <w:lang w:val="en-US"/>
              </w:rPr>
              <w:t xml:space="preserve"> 25: 30 Jun 2008 (see s. 2(d)-(f));</w:t>
            </w:r>
            <w:r>
              <w:rPr>
                <w:snapToGrid w:val="0"/>
                <w:sz w:val="19"/>
                <w:lang w:val="en-US"/>
              </w:rPr>
              <w:br/>
              <w:t>Pt. 2 (s. 26) and Pt. 2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p>
        </w:tc>
      </w:tr>
      <w:tr>
        <w:trPr>
          <w:gridAfter w:val="1"/>
          <w:wAfter w:w="9" w:type="dxa"/>
        </w:trPr>
        <w:tc>
          <w:tcPr>
            <w:tcW w:w="2266" w:type="dxa"/>
          </w:tcPr>
          <w:p>
            <w:pPr>
              <w:pStyle w:val="nTable"/>
              <w:spacing w:after="40"/>
              <w:rPr>
                <w:i/>
                <w:sz w:val="19"/>
              </w:rPr>
            </w:pPr>
            <w:r>
              <w:rPr>
                <w:i/>
                <w:snapToGrid w:val="0"/>
                <w:sz w:val="19"/>
              </w:rPr>
              <w:t>Acts Amendment (Justice) Act 2008</w:t>
            </w:r>
            <w:r>
              <w:rPr>
                <w:iCs/>
                <w:snapToGrid w:val="0"/>
                <w:sz w:val="19"/>
              </w:rPr>
              <w:t xml:space="preserve"> s. 131</w:t>
            </w:r>
          </w:p>
        </w:tc>
        <w:tc>
          <w:tcPr>
            <w:tcW w:w="1132" w:type="dxa"/>
          </w:tcPr>
          <w:p>
            <w:pPr>
              <w:pStyle w:val="nTable"/>
              <w:spacing w:after="40"/>
              <w:rPr>
                <w:snapToGrid w:val="0"/>
                <w:sz w:val="19"/>
                <w:lang w:val="en-US"/>
              </w:rPr>
            </w:pPr>
            <w:r>
              <w:rPr>
                <w:sz w:val="19"/>
              </w:rPr>
              <w:t>5 of 2008</w:t>
            </w:r>
          </w:p>
        </w:tc>
        <w:tc>
          <w:tcPr>
            <w:tcW w:w="1132"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1"/>
          <w:wAfter w:w="9" w:type="dxa"/>
        </w:trPr>
        <w:tc>
          <w:tcPr>
            <w:tcW w:w="2266" w:type="dxa"/>
          </w:tcPr>
          <w:p>
            <w:pPr>
              <w:pStyle w:val="nTable"/>
              <w:spacing w:after="40"/>
              <w:rPr>
                <w:i/>
                <w:snapToGrid w:val="0"/>
                <w:sz w:val="19"/>
              </w:rPr>
            </w:pPr>
            <w:r>
              <w:rPr>
                <w:i/>
                <w:sz w:val="19"/>
              </w:rPr>
              <w:t>Duties Legislation Amendment Act 2008</w:t>
            </w:r>
            <w:r>
              <w:rPr>
                <w:iCs/>
                <w:sz w:val="19"/>
              </w:rPr>
              <w:t xml:space="preserve"> s. 52</w:t>
            </w:r>
          </w:p>
        </w:tc>
        <w:tc>
          <w:tcPr>
            <w:tcW w:w="1132" w:type="dxa"/>
          </w:tcPr>
          <w:p>
            <w:pPr>
              <w:pStyle w:val="nTable"/>
              <w:spacing w:after="40"/>
              <w:rPr>
                <w:sz w:val="19"/>
              </w:rPr>
            </w:pPr>
            <w:r>
              <w:rPr>
                <w:sz w:val="19"/>
              </w:rPr>
              <w:t>12 of 2008</w:t>
            </w:r>
          </w:p>
        </w:tc>
        <w:tc>
          <w:tcPr>
            <w:tcW w:w="1132"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z w:val="19"/>
              </w:rPr>
              <w:t>1 Jul 2008 (see s. 2(d))</w:t>
            </w:r>
          </w:p>
        </w:tc>
      </w:tr>
      <w:tr>
        <w:trPr>
          <w:gridAfter w:val="1"/>
          <w:wAfter w:w="9" w:type="dxa"/>
        </w:trPr>
        <w:tc>
          <w:tcPr>
            <w:tcW w:w="2266" w:type="dxa"/>
          </w:tcPr>
          <w:p>
            <w:pPr>
              <w:pStyle w:val="nTable"/>
              <w:spacing w:after="40"/>
              <w:rPr>
                <w:iCs/>
                <w:sz w:val="19"/>
              </w:rPr>
            </w:pPr>
            <w:r>
              <w:rPr>
                <w:i/>
                <w:sz w:val="19"/>
              </w:rPr>
              <w:t>Road Traffic Amendment Act 2008</w:t>
            </w:r>
            <w:r>
              <w:rPr>
                <w:iCs/>
                <w:sz w:val="19"/>
              </w:rPr>
              <w:t xml:space="preserve"> (except s. 5(a) and</w:t>
            </w:r>
            <w:del w:id="1573" w:author="svcMRProcess" w:date="2018-09-08T08:22:00Z">
              <w:r>
                <w:rPr>
                  <w:iCs/>
                  <w:sz w:val="19"/>
                </w:rPr>
                <w:delText xml:space="preserve"> </w:delText>
              </w:r>
            </w:del>
            <w:ins w:id="1574" w:author="svcMRProcess" w:date="2018-09-08T08:22:00Z">
              <w:r>
                <w:rPr>
                  <w:iCs/>
                  <w:sz w:val="19"/>
                </w:rPr>
                <w:t> </w:t>
              </w:r>
            </w:ins>
            <w:r>
              <w:rPr>
                <w:iCs/>
                <w:sz w:val="19"/>
              </w:rPr>
              <w:t>8)</w:t>
            </w:r>
          </w:p>
        </w:tc>
        <w:tc>
          <w:tcPr>
            <w:tcW w:w="1132" w:type="dxa"/>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52" w:type="dxa"/>
          </w:tcPr>
          <w:p>
            <w:pPr>
              <w:pStyle w:val="nTable"/>
              <w:spacing w:after="40"/>
              <w:rPr>
                <w:sz w:val="19"/>
              </w:rPr>
            </w:pPr>
            <w:r>
              <w:rPr>
                <w:sz w:val="19"/>
              </w:rPr>
              <w:t>s. 1 and 2: 13 Jun 2008 (see s. 2(1)(a));</w:t>
            </w:r>
            <w:r>
              <w:rPr>
                <w:sz w:val="19"/>
              </w:rPr>
              <w:br/>
              <w:t xml:space="preserve">s. 3, 4, 5(b)-(f), 6, 7, 9-25: 19 Jul 2008 (see s. 2(1)(b) and </w:t>
            </w:r>
            <w:r>
              <w:rPr>
                <w:i/>
                <w:iCs/>
                <w:sz w:val="19"/>
              </w:rPr>
              <w:t>Gazette</w:t>
            </w:r>
            <w:r>
              <w:rPr>
                <w:sz w:val="19"/>
              </w:rPr>
              <w:t xml:space="preserve"> 18 Jul 2008 p. 3329)</w:t>
            </w:r>
          </w:p>
        </w:tc>
      </w:tr>
      <w:tr>
        <w:trPr>
          <w:gridAfter w:val="1"/>
          <w:wAfter w:w="9" w:type="dxa"/>
          <w:cantSplit/>
        </w:trPr>
        <w:tc>
          <w:tcPr>
            <w:tcW w:w="2266" w:type="dxa"/>
          </w:tcPr>
          <w:p>
            <w:pPr>
              <w:pStyle w:val="nTable"/>
              <w:spacing w:after="40"/>
              <w:rPr>
                <w:i/>
                <w:sz w:val="19"/>
              </w:rPr>
            </w:pPr>
            <w:r>
              <w:rPr>
                <w:i/>
                <w:snapToGrid w:val="0"/>
                <w:sz w:val="19"/>
              </w:rPr>
              <w:t>Criminal Law Amendment (Homicide) Act 2008</w:t>
            </w:r>
            <w:r>
              <w:rPr>
                <w:iCs/>
                <w:snapToGrid w:val="0"/>
                <w:sz w:val="19"/>
              </w:rPr>
              <w:t xml:space="preserve"> s. 38 </w:t>
            </w:r>
          </w:p>
        </w:tc>
        <w:tc>
          <w:tcPr>
            <w:tcW w:w="1132" w:type="dxa"/>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52"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1"/>
          <w:wAfter w:w="9" w:type="dxa"/>
          <w:cantSplit/>
          <w:ins w:id="1575" w:author="svcMRProcess" w:date="2018-09-08T08:22:00Z"/>
        </w:trPr>
        <w:tc>
          <w:tcPr>
            <w:tcW w:w="7082" w:type="dxa"/>
            <w:gridSpan w:val="4"/>
            <w:tcBorders>
              <w:bottom w:val="single" w:sz="8" w:space="0" w:color="auto"/>
            </w:tcBorders>
          </w:tcPr>
          <w:p>
            <w:pPr>
              <w:pStyle w:val="nTable"/>
              <w:spacing w:after="40"/>
              <w:rPr>
                <w:ins w:id="1576" w:author="svcMRProcess" w:date="2018-09-08T08:22:00Z"/>
                <w:snapToGrid w:val="0"/>
                <w:sz w:val="19"/>
                <w:lang w:val="en-US"/>
              </w:rPr>
            </w:pPr>
            <w:ins w:id="1577" w:author="svcMRProcess" w:date="2018-09-08T08:22:00Z">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(Correction to Reprint in </w:t>
              </w:r>
              <w:r>
                <w:rPr>
                  <w:i/>
                  <w:iCs/>
                  <w:sz w:val="19"/>
                </w:rPr>
                <w:t>Gazette</w:t>
              </w:r>
              <w:r>
                <w:rPr>
                  <w:sz w:val="19"/>
                </w:rPr>
                <w:t xml:space="preserve"> 19 Oct 2010 p. 5202)</w:t>
              </w:r>
            </w:ins>
          </w:p>
        </w:tc>
      </w:tr>
    </w:tbl>
    <w:p>
      <w:pPr>
        <w:pStyle w:val="nSubsection"/>
        <w:spacing w:before="360"/>
        <w:ind w:left="482" w:hanging="482"/>
      </w:pPr>
      <w:r>
        <w:rPr>
          <w:vertAlign w:val="superscript"/>
        </w:rPr>
        <w:t>1a</w:t>
      </w:r>
      <w:r>
        <w:tab/>
        <w:t>On the date as at which thi</w:t>
      </w:r>
      <w:bookmarkStart w:id="1578" w:name="_Hlt507390729"/>
      <w:bookmarkEnd w:id="1578"/>
      <w:r>
        <w:t xml:space="preserve">s </w:t>
      </w:r>
      <w:del w:id="1579" w:author="svcMRProcess" w:date="2018-09-08T08:22:00Z">
        <w:r>
          <w:delText>compilation</w:delText>
        </w:r>
      </w:del>
      <w:ins w:id="1580" w:author="svcMRProcess" w:date="2018-09-08T08:22:00Z">
        <w:r>
          <w:t>reprint</w:t>
        </w:r>
      </w:ins>
      <w:r>
        <w:t xml:space="preserve"> was prepared, provisions referred to in the following table had not come into operation and were therefore not included in </w:t>
      </w:r>
      <w:del w:id="1581" w:author="svcMRProcess" w:date="2018-09-08T08:22:00Z">
        <w:r>
          <w:delText>this compilation.</w:delText>
        </w:r>
      </w:del>
      <w:ins w:id="1582" w:author="svcMRProcess" w:date="2018-09-08T08:22:00Z">
        <w:r>
          <w:t>compiling the reprint.</w:t>
        </w:r>
      </w:ins>
      <w:r>
        <w:t xml:space="preserve">  For the text of the provisions see the endnotes referred to in the table.</w:t>
      </w:r>
    </w:p>
    <w:p>
      <w:pPr>
        <w:pStyle w:val="nHeading3"/>
        <w:outlineLvl w:val="0"/>
      </w:pPr>
      <w:bookmarkStart w:id="1583" w:name="_Toc276038872"/>
      <w:bookmarkStart w:id="1584" w:name="_Toc210120118"/>
      <w:r>
        <w:t>Provisions that have not come into operation</w:t>
      </w:r>
      <w:bookmarkEnd w:id="1583"/>
      <w:bookmarkEnd w:id="158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51" w:type="dxa"/>
            <w:tcBorders>
              <w:top w:val="single" w:sz="8" w:space="0" w:color="auto"/>
            </w:tcBorders>
          </w:tcPr>
          <w:p>
            <w:pPr>
              <w:pStyle w:val="nTable"/>
              <w:keepNext/>
              <w:spacing w:after="40"/>
              <w:rPr>
                <w:sz w:val="19"/>
              </w:rPr>
            </w:pPr>
            <w:r>
              <w:rPr>
                <w:sz w:val="19"/>
              </w:rPr>
              <w:t>To be proclaimed (see s. 2)</w:t>
            </w:r>
          </w:p>
        </w:tc>
      </w:tr>
      <w:tr>
        <w:tc>
          <w:tcPr>
            <w:tcW w:w="2268" w:type="dxa"/>
          </w:tcPr>
          <w:p>
            <w:pPr>
              <w:pStyle w:val="nTable"/>
              <w:spacing w:after="40"/>
              <w:rPr>
                <w:b/>
                <w:bCs/>
                <w:iCs/>
                <w:sz w:val="19"/>
                <w:vertAlign w:val="superscript"/>
              </w:rPr>
            </w:pPr>
            <w:r>
              <w:rPr>
                <w:i/>
                <w:sz w:val="19"/>
              </w:rPr>
              <w:t>Road Traffic Amendment Act (No. 2) 2007</w:t>
            </w:r>
            <w:r>
              <w:rPr>
                <w:iCs/>
                <w:sz w:val="19"/>
              </w:rPr>
              <w:t xml:space="preserve"> Pt.</w:t>
            </w:r>
            <w:ins w:id="1585" w:author="svcMRProcess" w:date="2018-09-08T08:22:00Z">
              <w:r>
                <w:rPr>
                  <w:iCs/>
                  <w:sz w:val="19"/>
                </w:rPr>
                <w:t> </w:t>
              </w:r>
            </w:ins>
            <w:r>
              <w:rPr>
                <w:iCs/>
                <w:sz w:val="19"/>
              </w:rPr>
              <w:t>2 Div. 4 (s. 27-30) </w:t>
            </w:r>
            <w:del w:id="1586" w:author="svcMRProcess" w:date="2018-09-08T08:22:00Z">
              <w:r>
                <w:rPr>
                  <w:iCs/>
                  <w:sz w:val="19"/>
                  <w:vertAlign w:val="superscript"/>
                </w:rPr>
                <w:delText>32</w:delText>
              </w:r>
            </w:del>
            <w:ins w:id="1587" w:author="svcMRProcess" w:date="2018-09-08T08:22:00Z">
              <w:r>
                <w:rPr>
                  <w:iCs/>
                  <w:sz w:val="19"/>
                  <w:vertAlign w:val="superscript"/>
                </w:rPr>
                <w:t>29</w:t>
              </w:r>
            </w:ins>
          </w:p>
        </w:tc>
        <w:tc>
          <w:tcPr>
            <w:tcW w:w="1134" w:type="dxa"/>
          </w:tcPr>
          <w:p>
            <w:pPr>
              <w:pStyle w:val="nTable"/>
              <w:spacing w:after="40"/>
              <w:rPr>
                <w:snapToGrid w:val="0"/>
                <w:sz w:val="19"/>
                <w:lang w:val="en-US"/>
              </w:rPr>
            </w:pPr>
            <w:r>
              <w:rPr>
                <w:snapToGrid w:val="0"/>
                <w:sz w:val="19"/>
                <w:lang w:val="en-US"/>
              </w:rPr>
              <w:t>39 of 2007</w:t>
            </w:r>
          </w:p>
        </w:tc>
        <w:tc>
          <w:tcPr>
            <w:tcW w:w="1134" w:type="dxa"/>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To be proclaimed (see s. 2(g))</w:t>
            </w:r>
          </w:p>
        </w:tc>
      </w:tr>
      <w:tr>
        <w:trPr>
          <w:cantSplit/>
        </w:trPr>
        <w:tc>
          <w:tcPr>
            <w:tcW w:w="2268" w:type="dxa"/>
          </w:tcPr>
          <w:p>
            <w:pPr>
              <w:pStyle w:val="nTable"/>
              <w:spacing w:after="40"/>
              <w:rPr>
                <w:i/>
                <w:sz w:val="19"/>
                <w:vertAlign w:val="superscript"/>
              </w:rPr>
            </w:pPr>
            <w:r>
              <w:rPr>
                <w:i/>
                <w:snapToGrid w:val="0"/>
                <w:sz w:val="19"/>
              </w:rPr>
              <w:t>Medical Practitioners Act 2008</w:t>
            </w:r>
            <w:r>
              <w:rPr>
                <w:iCs/>
                <w:snapToGrid w:val="0"/>
                <w:sz w:val="19"/>
              </w:rPr>
              <w:t xml:space="preserve"> s. 162 </w:t>
            </w:r>
            <w:del w:id="1588" w:author="svcMRProcess" w:date="2018-09-08T08:22:00Z">
              <w:r>
                <w:rPr>
                  <w:iCs/>
                  <w:snapToGrid w:val="0"/>
                  <w:sz w:val="19"/>
                  <w:vertAlign w:val="superscript"/>
                </w:rPr>
                <w:delText>36</w:delText>
              </w:r>
            </w:del>
            <w:ins w:id="1589" w:author="svcMRProcess" w:date="2018-09-08T08:22:00Z">
              <w:r>
                <w:rPr>
                  <w:iCs/>
                  <w:snapToGrid w:val="0"/>
                  <w:sz w:val="19"/>
                  <w:vertAlign w:val="superscript"/>
                </w:rPr>
                <w:t>30</w:t>
              </w:r>
            </w:ins>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rPr>
                <w:sz w:val="19"/>
              </w:rPr>
            </w:pPr>
            <w:r>
              <w:rPr>
                <w:sz w:val="19"/>
              </w:rPr>
              <w:t>To be proclaimed (see s. 2)</w:t>
            </w:r>
          </w:p>
        </w:tc>
      </w:tr>
      <w:tr>
        <w:tc>
          <w:tcPr>
            <w:tcW w:w="2268" w:type="dxa"/>
            <w:tcBorders>
              <w:bottom w:val="single" w:sz="8" w:space="0" w:color="auto"/>
            </w:tcBorders>
          </w:tcPr>
          <w:p>
            <w:pPr>
              <w:pStyle w:val="nTable"/>
              <w:spacing w:after="40"/>
              <w:rPr>
                <w:iCs/>
                <w:snapToGrid w:val="0"/>
                <w:sz w:val="19"/>
                <w:vertAlign w:val="superscript"/>
              </w:rPr>
            </w:pPr>
            <w:r>
              <w:rPr>
                <w:i/>
                <w:sz w:val="19"/>
              </w:rPr>
              <w:t>Road Traffic Amendment Act 2008</w:t>
            </w:r>
            <w:r>
              <w:rPr>
                <w:iCs/>
                <w:sz w:val="19"/>
              </w:rPr>
              <w:t xml:space="preserve"> </w:t>
            </w:r>
            <w:r>
              <w:rPr>
                <w:iCs/>
                <w:snapToGrid w:val="0"/>
                <w:sz w:val="19"/>
              </w:rPr>
              <w:t>s. 5(a) and 8</w:t>
            </w:r>
            <w:r>
              <w:rPr>
                <w:iCs/>
                <w:sz w:val="19"/>
              </w:rPr>
              <w:t> </w:t>
            </w:r>
            <w:del w:id="1590" w:author="svcMRProcess" w:date="2018-09-08T08:22:00Z">
              <w:r>
                <w:rPr>
                  <w:iCs/>
                  <w:sz w:val="19"/>
                  <w:vertAlign w:val="superscript"/>
                </w:rPr>
                <w:delText>37</w:delText>
              </w:r>
            </w:del>
            <w:ins w:id="1591" w:author="svcMRProcess" w:date="2018-09-08T08:22:00Z">
              <w:r>
                <w:rPr>
                  <w:iCs/>
                  <w:sz w:val="19"/>
                  <w:vertAlign w:val="superscript"/>
                </w:rPr>
                <w:t>31</w:t>
              </w:r>
            </w:ins>
          </w:p>
        </w:tc>
        <w:tc>
          <w:tcPr>
            <w:tcW w:w="1134" w:type="dxa"/>
            <w:tcBorders>
              <w:bottom w:val="single" w:sz="8" w:space="0" w:color="auto"/>
            </w:tcBorders>
          </w:tcPr>
          <w:p>
            <w:pPr>
              <w:pStyle w:val="nTable"/>
              <w:spacing w:after="40"/>
              <w:rPr>
                <w:sz w:val="19"/>
              </w:rPr>
            </w:pPr>
            <w:r>
              <w:rPr>
                <w:sz w:val="19"/>
              </w:rPr>
              <w:t>24 of 2008</w:t>
            </w:r>
          </w:p>
        </w:tc>
        <w:tc>
          <w:tcPr>
            <w:tcW w:w="1134" w:type="dxa"/>
            <w:tcBorders>
              <w:bottom w:val="single" w:sz="8" w:space="0" w:color="auto"/>
            </w:tcBorders>
          </w:tcPr>
          <w:p>
            <w:pPr>
              <w:pStyle w:val="nTable"/>
              <w:spacing w:after="40"/>
              <w:rPr>
                <w:sz w:val="19"/>
              </w:rPr>
            </w:pPr>
            <w:r>
              <w:rPr>
                <w:sz w:val="19"/>
              </w:rPr>
              <w:t>13 Jun 2008</w:t>
            </w:r>
          </w:p>
        </w:tc>
        <w:tc>
          <w:tcPr>
            <w:tcW w:w="2551" w:type="dxa"/>
            <w:tcBorders>
              <w:bottom w:val="single" w:sz="8" w:space="0" w:color="auto"/>
            </w:tcBorders>
          </w:tcPr>
          <w:p>
            <w:pPr>
              <w:pStyle w:val="nTable"/>
              <w:spacing w:after="40"/>
              <w:rPr>
                <w:sz w:val="19"/>
              </w:rPr>
            </w:pPr>
            <w:r>
              <w:rPr>
                <w:sz w:val="19"/>
              </w:rPr>
              <w:t>To be proclaimed (see s.</w:t>
            </w:r>
            <w:del w:id="1592" w:author="svcMRProcess" w:date="2018-09-08T08:22:00Z">
              <w:r>
                <w:rPr>
                  <w:sz w:val="19"/>
                </w:rPr>
                <w:delText xml:space="preserve"> </w:delText>
              </w:r>
            </w:del>
            <w:ins w:id="1593" w:author="svcMRProcess" w:date="2018-09-08T08:22:00Z">
              <w:r>
                <w:rPr>
                  <w:sz w:val="19"/>
                </w:rPr>
                <w:t> </w:t>
              </w:r>
            </w:ins>
            <w:r>
              <w:rPr>
                <w:sz w:val="19"/>
              </w:rPr>
              <w:t>2(1)(b) and (2))</w:t>
            </w:r>
          </w:p>
        </w:tc>
      </w:tr>
    </w:tbl>
    <w:p>
      <w:pPr>
        <w:pStyle w:val="nSubsection"/>
        <w:rPr>
          <w:ins w:id="1594" w:author="svcMRProcess" w:date="2018-09-08T08:22:00Z"/>
          <w:snapToGrid w:val="0"/>
        </w:rPr>
      </w:pPr>
      <w:r>
        <w:rPr>
          <w:snapToGrid w:val="0"/>
          <w:vertAlign w:val="superscript"/>
        </w:rPr>
        <w:t>2</w:t>
      </w:r>
      <w:r>
        <w:rPr>
          <w:snapToGrid w:val="0"/>
        </w:rPr>
        <w:tab/>
        <w:t xml:space="preserve">Repealed by the </w:t>
      </w:r>
      <w:ins w:id="1595" w:author="svcMRProcess" w:date="2018-09-08T08:22:00Z">
        <w:r>
          <w:rPr>
            <w:i/>
            <w:color w:val="000000"/>
          </w:rPr>
          <w:t>Nurses and Midwives Act 2006</w:t>
        </w:r>
        <w:r>
          <w:rPr>
            <w:snapToGrid w:val="0"/>
          </w:rPr>
          <w:t>.</w:t>
        </w:r>
      </w:ins>
    </w:p>
    <w:p>
      <w:pPr>
        <w:pStyle w:val="nSubsection"/>
        <w:spacing w:before="120"/>
        <w:rPr>
          <w:snapToGrid w:val="0"/>
        </w:rPr>
      </w:pPr>
      <w:ins w:id="1596" w:author="svcMRProcess" w:date="2018-09-08T08:22:00Z">
        <w:r>
          <w:rPr>
            <w:snapToGrid w:val="0"/>
            <w:vertAlign w:val="superscript"/>
          </w:rPr>
          <w:t>3</w:t>
        </w:r>
        <w:r>
          <w:rPr>
            <w:snapToGrid w:val="0"/>
          </w:rPr>
          <w:tab/>
        </w:r>
        <w:r>
          <w:t>Repealed by</w:t>
        </w:r>
        <w:r>
          <w:rPr>
            <w:snapToGrid w:val="0"/>
          </w:rPr>
          <w:t xml:space="preserve"> the </w:t>
        </w:r>
      </w:ins>
      <w:r>
        <w:rPr>
          <w:i/>
          <w:snapToGrid w:val="0"/>
        </w:rPr>
        <w:t>Interpretation Act 1984</w:t>
      </w:r>
      <w:r>
        <w:rPr>
          <w:snapToGrid w:val="0"/>
        </w:rPr>
        <w:t>.</w:t>
      </w:r>
    </w:p>
    <w:p>
      <w:pPr>
        <w:pStyle w:val="nSubsection"/>
        <w:spacing w:before="120"/>
        <w:rPr>
          <w:del w:id="1597" w:author="svcMRProcess" w:date="2018-09-08T08:22:00Z"/>
          <w:snapToGrid w:val="0"/>
        </w:rPr>
      </w:pPr>
      <w:del w:id="1598" w:author="svcMRProcess" w:date="2018-09-08T08:22:00Z">
        <w:r>
          <w:rPr>
            <w:snapToGrid w:val="0"/>
            <w:vertAlign w:val="superscript"/>
          </w:rPr>
          <w:delText>3</w:delText>
        </w:r>
        <w:r>
          <w:rPr>
            <w:snapToGrid w:val="0"/>
            <w:vertAlign w:val="superscript"/>
          </w:rPr>
          <w:tab/>
        </w:r>
        <w:r>
          <w:rPr>
            <w:snapToGrid w:val="0"/>
          </w:rPr>
          <w:delText>Footnote no longer applicable.</w:delText>
        </w:r>
      </w:del>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keepNext/>
      </w:pPr>
      <w:r>
        <w:rPr>
          <w:vertAlign w:val="superscript"/>
        </w:rPr>
        <w:t>9</w:t>
      </w:r>
      <w:r>
        <w:tab/>
        <w:t xml:space="preserve">On the date as at which this </w:t>
      </w:r>
      <w:del w:id="1599" w:author="svcMRProcess" w:date="2018-09-08T08:22:00Z">
        <w:r>
          <w:delText>compilation</w:delText>
        </w:r>
      </w:del>
      <w:ins w:id="1600" w:author="svcMRProcess" w:date="2018-09-08T08:22:00Z">
        <w:r>
          <w:t>reprint</w:t>
        </w:r>
      </w:ins>
      <w:r>
        <w:t xml:space="preserve"> was prepared, the </w:t>
      </w:r>
      <w:r>
        <w:rPr>
          <w:i/>
        </w:rPr>
        <w:t>Road Traffic Amendment Act (No. 2) 1987</w:t>
      </w:r>
      <w:r>
        <w:t xml:space="preserve"> s. 11(b) (as amended by the </w:t>
      </w:r>
      <w:r>
        <w:rPr>
          <w:i/>
          <w:snapToGrid w:val="0"/>
          <w:lang w:val="en-US"/>
        </w:rPr>
        <w:t>Criminal Procedure and Appeals (Consequential and Other Provisions) Act 2004</w:t>
      </w:r>
      <w:r>
        <w:rPr>
          <w:snapToGrid w:val="0"/>
          <w:lang w:val="en-US"/>
        </w:rPr>
        <w:t xml:space="preserve"> </w:t>
      </w:r>
      <w:r>
        <w:t>s. 80 (cl. 123)) 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spacing w:before="0"/>
        <w:ind w:left="2891"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rStyle w:val="CharDefText"/>
        </w:rPr>
        <w:t>owner of the vehicle</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rPr>
          <w:ins w:id="1601" w:author="svcMRProcess" w:date="2018-09-08T08:22:00Z"/>
          <w:snapToGrid w:val="0"/>
        </w:rPr>
      </w:pPr>
      <w:ins w:id="1602" w:author="svcMRProcess" w:date="2018-09-08T08:22:00Z">
        <w:r>
          <w:rPr>
            <w:snapToGrid w:val="0"/>
          </w:rPr>
          <w:tab/>
          <w:t xml:space="preserve">The amendment to s. 89 in the </w:t>
        </w:r>
        <w:r>
          <w:rPr>
            <w:i/>
          </w:rPr>
          <w:t>Road Traffic Amendment Act (No. 2) 1987</w:t>
        </w:r>
        <w:r>
          <w:rPr>
            <w:snapToGrid w:val="0"/>
          </w:rPr>
          <w:t xml:space="preserve"> </w:t>
        </w:r>
        <w:r>
          <w:t xml:space="preserve">s. 11(b) has not been proclaimed because the section </w:t>
        </w:r>
        <w:r>
          <w:rPr>
            <w:snapToGrid w:val="0"/>
          </w:rPr>
          <w:t xml:space="preserve">it sought to amend was repealed by the </w:t>
        </w:r>
        <w:r>
          <w:rPr>
            <w:i/>
            <w:snapToGrid w:val="0"/>
            <w:lang w:val="en-US"/>
          </w:rPr>
          <w:t>Criminal Law Amendment (Simple Offences) Act 2004</w:t>
        </w:r>
        <w:r>
          <w:rPr>
            <w:snapToGrid w:val="0"/>
            <w:lang w:val="en-US"/>
          </w:rPr>
          <w:t xml:space="preserve"> s. 82</w:t>
        </w:r>
        <w:r>
          <w:rPr>
            <w:snapToGrid w:val="0"/>
          </w:rPr>
          <w:t>.</w:t>
        </w:r>
      </w:ins>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Road Traffic Amendment (Random Breath Tests) Act </w:t>
      </w:r>
      <w:del w:id="1603" w:author="svcMRProcess" w:date="2018-09-08T08:22:00Z">
        <w:r>
          <w:rPr>
            <w:i/>
            <w:snapToGrid w:val="0"/>
          </w:rPr>
          <w:delText>1988</w:delText>
        </w:r>
      </w:del>
      <w:ins w:id="1604" w:author="svcMRProcess" w:date="2018-09-08T08:22:00Z">
        <w:r>
          <w:rPr>
            <w:i/>
            <w:snapToGrid w:val="0"/>
          </w:rPr>
          <w:t>1989</w:t>
        </w:r>
      </w:ins>
      <w:r>
        <w:rPr>
          <w:i/>
          <w:snapToGrid w:val="0"/>
        </w:rPr>
        <w:t xml:space="preserve">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w:t>
      </w:r>
      <w:ins w:id="1605" w:author="svcMRProcess" w:date="2018-09-08T08:22:00Z">
        <w:r>
          <w:rPr>
            <w:snapToGrid w:val="0"/>
          </w:rPr>
          <w:t xml:space="preserve"> was</w:t>
        </w:r>
      </w:ins>
      <w:r>
        <w:rPr>
          <w:snapToGrid w:val="0"/>
        </w:rPr>
        <w:t xml:space="preserve"> repealed by the </w:t>
      </w:r>
      <w:r>
        <w:rPr>
          <w:i/>
          <w:iCs/>
          <w:snapToGrid w:val="0"/>
        </w:rPr>
        <w:t>Road Traffic Amendment Act 2006</w:t>
      </w:r>
      <w:r>
        <w:rPr>
          <w:snapToGrid w:val="0"/>
        </w:rPr>
        <w:t xml:space="preserve"> s.</w:t>
      </w:r>
      <w:ins w:id="1606" w:author="svcMRProcess" w:date="2018-09-08T08:22:00Z">
        <w:r>
          <w:rPr>
            <w:snapToGrid w:val="0"/>
          </w:rPr>
          <w:t> </w:t>
        </w:r>
      </w:ins>
      <w:r>
        <w:rPr>
          <w:snapToGrid w:val="0"/>
        </w:rPr>
        <w:t>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keepNext/>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outlineLvl w:val="0"/>
        <w:rPr>
          <w:b/>
          <w:bCs/>
          <w:sz w:val="26"/>
        </w:rPr>
      </w:pPr>
      <w:r>
        <w:rPr>
          <w:b/>
          <w:bCs/>
          <w:sz w:val="26"/>
        </w:rPr>
        <w:t>Schedule 1 — Savings and transitional</w:t>
      </w:r>
    </w:p>
    <w:p>
      <w:pPr>
        <w:pStyle w:val="nzMiscellaneousBody"/>
        <w:keepNext/>
        <w:keepLines/>
        <w:jc w:val="right"/>
      </w:pPr>
      <w:r>
        <w:t>[s. 48]</w:t>
      </w:r>
    </w:p>
    <w:p>
      <w:pPr>
        <w:pStyle w:val="nzHeading5"/>
        <w:outlineLvl w:val="0"/>
      </w:pPr>
      <w:r>
        <w:t>1.</w:t>
      </w:r>
      <w:r>
        <w:tab/>
        <w:t>Interpretation</w:t>
      </w:r>
    </w:p>
    <w:p>
      <w:pPr>
        <w:pStyle w:val="nzSubsection"/>
      </w:pPr>
      <w:ins w:id="1607" w:author="svcMRProcess" w:date="2018-09-08T08:22:00Z">
        <w:r>
          <w:tab/>
        </w:r>
      </w:ins>
      <w:r>
        <w:tab/>
        <w:t>In this Part —</w:t>
      </w:r>
    </w:p>
    <w:p>
      <w:pPr>
        <w:pStyle w:val="nzDefstart"/>
      </w:pPr>
      <w:ins w:id="1608" w:author="svcMRProcess" w:date="2018-09-08T08:22:00Z">
        <w:r>
          <w:rPr>
            <w:b/>
          </w:rPr>
          <w:tab/>
        </w:r>
      </w:ins>
      <w:r>
        <w:rPr>
          <w:rStyle w:val="CharDefText"/>
        </w:rPr>
        <w:t>commencement day</w:t>
      </w:r>
      <w:r>
        <w:t xml:space="preserve"> means the day on which this Act comes into operation under section 2.</w:t>
      </w:r>
    </w:p>
    <w:p>
      <w:pPr>
        <w:pStyle w:val="nzHeading5"/>
        <w:outlineLvl w:val="0"/>
      </w:pPr>
      <w:r>
        <w:t>2.</w:t>
      </w:r>
      <w:r>
        <w:tab/>
        <w:t>Section 18 amendments have no effect in relation to certain applications</w:t>
      </w:r>
    </w:p>
    <w:p>
      <w:pPr>
        <w:pStyle w:val="nzSubsection"/>
      </w:pPr>
      <w:ins w:id="1609" w:author="svcMRProcess" w:date="2018-09-08T08:22:00Z">
        <w:r>
          <w:tab/>
        </w:r>
      </w:ins>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outlineLvl w:val="0"/>
      </w:pPr>
      <w:r>
        <w:t>3.</w:t>
      </w:r>
      <w:r>
        <w:tab/>
        <w:t>Licences to drive vehicles formerly classified by reference to use</w:t>
      </w:r>
    </w:p>
    <w:p>
      <w:pPr>
        <w:pStyle w:val="nzSubsection"/>
      </w:pPr>
      <w:ins w:id="1610" w:author="svcMRProcess" w:date="2018-09-08T08:22:00Z">
        <w:r>
          <w:tab/>
        </w:r>
      </w:ins>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ins w:id="1611" w:author="svcMRProcess" w:date="2018-09-08T08:22:00Z">
        <w:r>
          <w:tab/>
        </w:r>
      </w:ins>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outlineLvl w:val="0"/>
      </w:pPr>
      <w:r>
        <w:t>4.</w:t>
      </w:r>
      <w:r>
        <w:tab/>
        <w:t>Section 23 amendments have effect only in relation to licences issued after commencement</w:t>
      </w:r>
    </w:p>
    <w:p>
      <w:pPr>
        <w:pStyle w:val="nzSubsection"/>
      </w:pPr>
      <w:ins w:id="1612" w:author="svcMRProcess" w:date="2018-09-08T08:22:00Z">
        <w:r>
          <w:tab/>
        </w:r>
      </w:ins>
      <w:r>
        <w:tab/>
        <w:t>The amendments made by section 23 have effect only in relation to a driver’s licence issued after the commencement day.</w:t>
      </w:r>
    </w:p>
    <w:p>
      <w:pPr>
        <w:pStyle w:val="nzHeading5"/>
        <w:outlineLvl w:val="0"/>
      </w:pPr>
      <w:r>
        <w:t>5.</w:t>
      </w:r>
      <w:r>
        <w:tab/>
        <w:t>Duplicate licences</w:t>
      </w:r>
    </w:p>
    <w:p>
      <w:pPr>
        <w:pStyle w:val="nzSubsection"/>
      </w:pPr>
      <w:ins w:id="1613" w:author="svcMRProcess" w:date="2018-09-08T08:22:00Z">
        <w:r>
          <w:tab/>
        </w:r>
      </w:ins>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ins w:id="1614" w:author="svcMRProcess" w:date="2018-09-08T08:22:00Z">
        <w:r>
          <w:tab/>
        </w:r>
      </w:ins>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lang w:val="en-US"/>
        </w:rPr>
        <w:t>Criminal Law Amendment (Simple Offences) Act 2004</w:t>
      </w:r>
      <w:r>
        <w:rPr>
          <w:snapToGrid w:val="0"/>
          <w:lang w:val="en-US"/>
        </w:rPr>
        <w:t xml:space="preserve"> s. 82.</w:t>
      </w:r>
    </w:p>
    <w:p>
      <w:pPr>
        <w:pStyle w:val="nSubsection"/>
      </w:pPr>
      <w:r>
        <w:rPr>
          <w:vertAlign w:val="superscript"/>
        </w:rPr>
        <w:t>21</w:t>
      </w:r>
      <w:r>
        <w:tab/>
        <w:t>The</w:t>
      </w:r>
      <w:r>
        <w:rPr>
          <w:i/>
        </w:rPr>
        <w:t xml:space="preserve"> </w:t>
      </w:r>
      <w:del w:id="1615" w:author="svcMRProcess" w:date="2018-09-08T08:22:00Z">
        <w:r>
          <w:rPr>
            <w:i/>
          </w:rPr>
          <w:delText>Road Traffic Amendment Act 2000</w:delText>
        </w:r>
        <w:r>
          <w:delText xml:space="preserve"> s. 6 was repealed by the </w:delText>
        </w:r>
        <w:r>
          <w:rPr>
            <w:i/>
          </w:rPr>
          <w:delText>Road Safety Council</w:delText>
        </w:r>
      </w:del>
      <w:ins w:id="1616" w:author="svcMRProcess" w:date="2018-09-08T08:22:00Z">
        <w:r>
          <w:rPr>
            <w:i/>
          </w:rPr>
          <w:t>Taxation Administration (Consequential Provisions)</w:t>
        </w:r>
      </w:ins>
      <w:r>
        <w:rPr>
          <w:i/>
        </w:rPr>
        <w:t xml:space="preserve"> Act 2002</w:t>
      </w:r>
      <w:r>
        <w:t xml:space="preserve"> s.</w:t>
      </w:r>
      <w:del w:id="1617" w:author="svcMRProcess" w:date="2018-09-08T08:22:00Z">
        <w:r>
          <w:delText> 15.</w:delText>
        </w:r>
      </w:del>
      <w:ins w:id="1618" w:author="svcMRProcess" w:date="2018-09-08T08:22:00Z">
        <w:r>
          <w:t xml:space="preserve"> 30 and 32 will not come into operation (see s. 2(2)).</w:t>
        </w:r>
      </w:ins>
    </w:p>
    <w:p>
      <w:pPr>
        <w:pStyle w:val="nSubsection"/>
      </w:pPr>
      <w:r>
        <w:rPr>
          <w:vertAlign w:val="superscript"/>
        </w:rPr>
        <w:t>22</w:t>
      </w:r>
      <w:r>
        <w:tab/>
        <w:t xml:space="preserve">The </w:t>
      </w:r>
      <w:del w:id="1619" w:author="svcMRProcess" w:date="2018-09-08T08:22:00Z">
        <w:r>
          <w:delText>amendments</w:delText>
        </w:r>
      </w:del>
      <w:ins w:id="1620" w:author="svcMRProcess" w:date="2018-09-08T08:22:00Z">
        <w:r>
          <w:t>amendment</w:t>
        </w:r>
      </w:ins>
      <w:r>
        <w:t xml:space="preserve">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rPr>
          <w:ins w:id="1621" w:author="svcMRProcess" w:date="2018-09-08T08:22:00Z"/>
          <w:snapToGrid w:val="0"/>
        </w:rPr>
      </w:pPr>
      <w:del w:id="1622" w:author="svcMRProcess" w:date="2018-09-08T08:22:00Z">
        <w:r>
          <w:rPr>
            <w:vertAlign w:val="superscript"/>
          </w:rPr>
          <w:delText>24</w:delText>
        </w:r>
      </w:del>
      <w:ins w:id="1623" w:author="svcMRProcess" w:date="2018-09-08T08:22:00Z">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ins>
    </w:p>
    <w:p>
      <w:pPr>
        <w:pStyle w:val="nSubsection"/>
      </w:pPr>
      <w:ins w:id="1624" w:author="svcMRProcess" w:date="2018-09-08T08:22:00Z">
        <w:r>
          <w:rPr>
            <w:vertAlign w:val="superscript"/>
          </w:rPr>
          <w:t>25</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del w:id="1625" w:author="svcMRProcess" w:date="2018-09-08T08:22:00Z">
        <w:r>
          <w:rPr>
            <w:snapToGrid w:val="0"/>
            <w:vertAlign w:val="superscript"/>
          </w:rPr>
          <w:delText>25</w:delText>
        </w:r>
      </w:del>
      <w:ins w:id="1626" w:author="svcMRProcess" w:date="2018-09-08T08:22:00Z">
        <w:r>
          <w:rPr>
            <w:snapToGrid w:val="0"/>
            <w:vertAlign w:val="superscript"/>
          </w:rPr>
          <w:t>26</w:t>
        </w:r>
      </w:ins>
      <w:r>
        <w:rPr>
          <w:snapToGrid w:val="0"/>
          <w:vertAlign w:val="superscript"/>
        </w:rPr>
        <w:tab/>
      </w:r>
      <w:r>
        <w:rPr>
          <w:snapToGrid w:val="0"/>
        </w:rPr>
        <w:t xml:space="preserve">The </w:t>
      </w:r>
      <w:del w:id="1627" w:author="svcMRProcess" w:date="2018-09-08T08:22:00Z">
        <w:r>
          <w:rPr>
            <w:snapToGrid w:val="0"/>
          </w:rPr>
          <w:delText>amendments</w:delText>
        </w:r>
      </w:del>
      <w:ins w:id="1628" w:author="svcMRProcess" w:date="2018-09-08T08:22:00Z">
        <w:r>
          <w:rPr>
            <w:snapToGrid w:val="0"/>
          </w:rPr>
          <w:t>amendment</w:t>
        </w:r>
      </w:ins>
      <w:r>
        <w:rPr>
          <w:snapToGrid w:val="0"/>
        </w:rPr>
        <w:t xml:space="preserve"> in the </w:t>
      </w:r>
      <w:r>
        <w:rPr>
          <w:i/>
          <w:snapToGrid w:val="0"/>
        </w:rPr>
        <w:t>Road Traffic Amendment Act 2006 </w:t>
      </w:r>
      <w:r>
        <w:rPr>
          <w:iCs/>
          <w:snapToGrid w:val="0"/>
        </w:rPr>
        <w:t xml:space="preserve">— </w:t>
      </w:r>
    </w:p>
    <w:p>
      <w:pPr>
        <w:pStyle w:val="nSubsection"/>
        <w:tabs>
          <w:tab w:val="clear" w:pos="454"/>
          <w:tab w:val="left" w:pos="840"/>
        </w:tabs>
        <w:ind w:left="840" w:hanging="840"/>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tabs>
          <w:tab w:val="clear" w:pos="454"/>
          <w:tab w:val="left" w:pos="840"/>
        </w:tabs>
        <w:ind w:left="840" w:hanging="840"/>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del w:id="1629" w:author="svcMRProcess" w:date="2018-09-08T08:22:00Z"/>
          <w:snapToGrid w:val="0"/>
        </w:rPr>
      </w:pPr>
      <w:del w:id="1630" w:author="svcMRProcess" w:date="2018-09-08T08:22:00Z">
        <w:r>
          <w:rPr>
            <w:snapToGrid w:val="0"/>
            <w:vertAlign w:val="superscript"/>
          </w:rPr>
          <w:delText>26</w:delText>
        </w:r>
        <w:r>
          <w:rPr>
            <w:snapToGrid w:val="0"/>
          </w:rPr>
          <w:tab/>
          <w:delText xml:space="preserve">The </w:delText>
        </w:r>
        <w:r>
          <w:rPr>
            <w:i/>
            <w:snapToGrid w:val="0"/>
            <w:lang w:val="en-US"/>
          </w:rPr>
          <w:delText>Courts Legislation Amendment and Repeal Act 2004</w:delText>
        </w:r>
        <w:r>
          <w:rPr>
            <w:snapToGrid w:val="0"/>
            <w:lang w:val="en-US"/>
          </w:rPr>
          <w:delText xml:space="preserve"> Sch. 2 cl. 46</w:delText>
        </w:r>
        <w:r>
          <w:rPr>
            <w:snapToGrid w:val="0"/>
          </w:rPr>
          <w:delText xml:space="preserve"> was repealed by the </w:delText>
        </w:r>
        <w:r>
          <w:rPr>
            <w:i/>
            <w:iCs/>
            <w:snapToGrid w:val="0"/>
          </w:rPr>
          <w:delText>Criminal Law and Evidence Amendment Act 2008</w:delText>
        </w:r>
        <w:r>
          <w:rPr>
            <w:snapToGrid w:val="0"/>
          </w:rPr>
          <w:delText xml:space="preserve"> s. 77(13).</w:delText>
        </w:r>
      </w:del>
    </w:p>
    <w:p>
      <w:pPr>
        <w:pStyle w:val="nSubsection"/>
        <w:rPr>
          <w:del w:id="1631" w:author="svcMRProcess" w:date="2018-09-08T08:22:00Z"/>
          <w:snapToGrid w:val="0"/>
        </w:rPr>
      </w:pPr>
      <w:del w:id="1632" w:author="svcMRProcess" w:date="2018-09-08T08:22:00Z">
        <w:r>
          <w:rPr>
            <w:vertAlign w:val="superscript"/>
          </w:rPr>
          <w:delText>27</w:delText>
        </w:r>
        <w:r>
          <w:tab/>
        </w:r>
        <w:r>
          <w:rPr>
            <w:snapToGrid w:val="0"/>
          </w:rPr>
          <w:delText>Footnote no longer applicable.</w:delText>
        </w:r>
      </w:del>
    </w:p>
    <w:p>
      <w:pPr>
        <w:pStyle w:val="nSubsection"/>
        <w:rPr>
          <w:del w:id="1633" w:author="svcMRProcess" w:date="2018-09-08T08:22:00Z"/>
        </w:rPr>
      </w:pPr>
      <w:del w:id="1634" w:author="svcMRProcess" w:date="2018-09-08T08:22:00Z">
        <w:r>
          <w:rPr>
            <w:vertAlign w:val="superscript"/>
          </w:rPr>
          <w:delText>28</w:delText>
        </w:r>
        <w:r>
          <w:tab/>
          <w:delText>The</w:delText>
        </w:r>
        <w:r>
          <w:rPr>
            <w:i/>
          </w:rPr>
          <w:delText xml:space="preserve"> Taxation Administration (Consequential Provisions) Act 2002</w:delText>
        </w:r>
        <w:r>
          <w:delText xml:space="preserve"> s. 30 &amp; 32 will not come into operation (see s. 2(2))</w:delText>
        </w:r>
      </w:del>
    </w:p>
    <w:p>
      <w:pPr>
        <w:pStyle w:val="nSubsection"/>
        <w:rPr>
          <w:del w:id="1635" w:author="svcMRProcess" w:date="2018-09-08T08:22:00Z"/>
          <w:snapToGrid w:val="0"/>
        </w:rPr>
      </w:pPr>
      <w:del w:id="1636" w:author="svcMRProcess" w:date="2018-09-08T08:22:00Z">
        <w:r>
          <w:rPr>
            <w:snapToGrid w:val="0"/>
            <w:vertAlign w:val="superscript"/>
          </w:rPr>
          <w:delText>29</w:delText>
        </w:r>
        <w:r>
          <w:rPr>
            <w:snapToGrid w:val="0"/>
          </w:rPr>
          <w:tab/>
          <w:delText>Footnote no longer applicable.</w:delText>
        </w:r>
      </w:del>
    </w:p>
    <w:p>
      <w:pPr>
        <w:pStyle w:val="nSubsection"/>
        <w:rPr>
          <w:snapToGrid w:val="0"/>
        </w:rPr>
      </w:pPr>
      <w:del w:id="1637" w:author="svcMRProcess" w:date="2018-09-08T08:22:00Z">
        <w:r>
          <w:rPr>
            <w:snapToGrid w:val="0"/>
            <w:vertAlign w:val="superscript"/>
          </w:rPr>
          <w:delText>30</w:delText>
        </w:r>
      </w:del>
      <w:ins w:id="1638" w:author="svcMRProcess" w:date="2018-09-08T08:22:00Z">
        <w:r>
          <w:rPr>
            <w:snapToGrid w:val="0"/>
            <w:vertAlign w:val="superscript"/>
          </w:rPr>
          <w:t>27</w:t>
        </w:r>
      </w:ins>
      <w:r>
        <w:rPr>
          <w:snapToGrid w:val="0"/>
        </w:rPr>
        <w:tab/>
        <w:t xml:space="preserve">The </w:t>
      </w:r>
      <w:r>
        <w:rPr>
          <w:i/>
          <w:snapToGrid w:val="0"/>
        </w:rPr>
        <w:t>Road Traffic Amendment Act 2006</w:t>
      </w:r>
      <w:r>
        <w:rPr>
          <w:snapToGrid w:val="0"/>
        </w:rPr>
        <w:t xml:space="preserve"> s. 35(2) and Pt. 3 read as follows:</w:t>
      </w:r>
    </w:p>
    <w:p>
      <w:pPr>
        <w:pStyle w:val="MiscOpen"/>
        <w:keepNext w:val="0"/>
        <w:spacing w:before="60"/>
        <w:rPr>
          <w:ins w:id="1639" w:author="svcMRProcess" w:date="2018-09-08T08:22:00Z"/>
        </w:rPr>
      </w:pPr>
      <w:bookmarkStart w:id="1640" w:name="PartIVADiv1"/>
      <w:bookmarkStart w:id="1641" w:name="PartIVADiv3"/>
      <w:bookmarkStart w:id="1642" w:name="ExchInformation"/>
      <w:bookmarkEnd w:id="1640"/>
      <w:bookmarkEnd w:id="1641"/>
      <w:bookmarkEnd w:id="1642"/>
      <w:ins w:id="1643" w:author="svcMRProcess" w:date="2018-09-08T08:22:00Z">
        <w:r>
          <w:t>“</w:t>
        </w:r>
      </w:ins>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outlineLvl w:val="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MiscClose"/>
        <w:rPr>
          <w:ins w:id="1644" w:author="svcMRProcess" w:date="2018-09-08T08:22:00Z"/>
        </w:rPr>
      </w:pPr>
      <w:del w:id="1645" w:author="svcMRProcess" w:date="2018-09-08T08:22:00Z">
        <w:r>
          <w:rPr>
            <w:vertAlign w:val="superscript"/>
          </w:rPr>
          <w:delText>31</w:delText>
        </w:r>
      </w:del>
      <w:ins w:id="1646" w:author="svcMRProcess" w:date="2018-09-08T08:22:00Z">
        <w:r>
          <w:t>”.</w:t>
        </w:r>
      </w:ins>
    </w:p>
    <w:p>
      <w:pPr>
        <w:pStyle w:val="nSubsection"/>
      </w:pPr>
      <w:ins w:id="1647" w:author="svcMRProcess" w:date="2018-09-08T08:22:00Z">
        <w:r>
          <w:rPr>
            <w:vertAlign w:val="superscript"/>
          </w:rPr>
          <w:t>28</w:t>
        </w:r>
      </w:ins>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w:t>
      </w:r>
      <w:del w:id="1648" w:author="svcMRProcess" w:date="2018-09-08T08:22:00Z">
        <w:r>
          <w:delText>had</w:delText>
        </w:r>
      </w:del>
      <w:ins w:id="1649" w:author="svcMRProcess" w:date="2018-09-08T08:22:00Z">
        <w:r>
          <w:t>has</w:t>
        </w:r>
      </w:ins>
      <w:r>
        <w:t xml:space="preserve"> already commenced (see s. 45-48).</w:t>
      </w:r>
    </w:p>
    <w:p>
      <w:pPr>
        <w:pStyle w:val="nSubsection"/>
        <w:keepNext/>
        <w:keepLines/>
        <w:rPr>
          <w:snapToGrid w:val="0"/>
        </w:rPr>
      </w:pPr>
      <w:del w:id="1650" w:author="svcMRProcess" w:date="2018-09-08T08:22:00Z">
        <w:r>
          <w:rPr>
            <w:snapToGrid w:val="0"/>
            <w:vertAlign w:val="superscript"/>
          </w:rPr>
          <w:delText>32</w:delText>
        </w:r>
      </w:del>
      <w:ins w:id="1651" w:author="svcMRProcess" w:date="2018-09-08T08:22:00Z">
        <w:r>
          <w:rPr>
            <w:snapToGrid w:val="0"/>
            <w:vertAlign w:val="superscript"/>
          </w:rPr>
          <w:t>29</w:t>
        </w:r>
      </w:ins>
      <w:r>
        <w:rPr>
          <w:snapToGrid w:val="0"/>
        </w:rPr>
        <w:tab/>
      </w:r>
      <w:r>
        <w:t xml:space="preserve">On the date as at which this </w:t>
      </w:r>
      <w:del w:id="1652" w:author="svcMRProcess" w:date="2018-09-08T08:22:00Z">
        <w:r>
          <w:delText>compilation</w:delText>
        </w:r>
      </w:del>
      <w:ins w:id="1653" w:author="svcMRProcess" w:date="2018-09-08T08:22:00Z">
        <w:r>
          <w:t>reprint</w:t>
        </w:r>
      </w:ins>
      <w:r>
        <w:t xml:space="preserve"> was prepared, </w:t>
      </w:r>
      <w:r>
        <w:rPr>
          <w:snapToGrid w:val="0"/>
        </w:rPr>
        <w:t xml:space="preserve">the </w:t>
      </w:r>
      <w:r>
        <w:rPr>
          <w:i/>
        </w:rPr>
        <w:t>Road Traffic Amendment Act (No. 2) 2007</w:t>
      </w:r>
      <w:r>
        <w:rPr>
          <w:iCs/>
        </w:rPr>
        <w:t xml:space="preserve"> Pt.</w:t>
      </w:r>
      <w:ins w:id="1654" w:author="svcMRProcess" w:date="2018-09-08T08:22:00Z">
        <w:r>
          <w:rPr>
            <w:iCs/>
          </w:rPr>
          <w:t> </w:t>
        </w:r>
      </w:ins>
      <w:r>
        <w:rPr>
          <w:iCs/>
        </w:rPr>
        <w:t>2 Div. 4</w:t>
      </w:r>
      <w:r>
        <w:rPr>
          <w:snapToGrid w:val="0"/>
        </w:rPr>
        <w:t xml:space="preserve"> </w:t>
      </w:r>
      <w:del w:id="1655" w:author="svcMRProcess" w:date="2018-09-08T08:22:00Z">
        <w:r>
          <w:rPr>
            <w:snapToGrid w:val="0"/>
          </w:rPr>
          <w:delText>hade</w:delText>
        </w:r>
      </w:del>
      <w:ins w:id="1656" w:author="svcMRProcess" w:date="2018-09-08T08:22:00Z">
        <w:r>
          <w:rPr>
            <w:snapToGrid w:val="0"/>
          </w:rPr>
          <w:t>had</w:t>
        </w:r>
      </w:ins>
      <w:r>
        <w:rPr>
          <w:snapToGrid w:val="0"/>
        </w:rPr>
        <w:t xml:space="preserve"> not come into operation.  It reads as follows:</w:t>
      </w:r>
    </w:p>
    <w:p>
      <w:pPr>
        <w:pStyle w:val="MiscOpen"/>
        <w:spacing w:before="60"/>
      </w:pPr>
      <w:r>
        <w:t>“</w:t>
      </w:r>
    </w:p>
    <w:p>
      <w:pPr>
        <w:pStyle w:val="nzHeading2"/>
        <w:outlineLvl w:val="0"/>
      </w:pPr>
      <w:r>
        <w:rPr>
          <w:rStyle w:val="CharPartNo"/>
        </w:rPr>
        <w:t>Part 2</w:t>
      </w:r>
      <w:r>
        <w:t> — </w:t>
      </w:r>
      <w:r>
        <w:rPr>
          <w:rStyle w:val="CharPartText"/>
          <w:i/>
          <w:iCs/>
        </w:rPr>
        <w:t>Road Traffic Act 1974</w:t>
      </w:r>
      <w:r>
        <w:rPr>
          <w:rStyle w:val="CharPartText"/>
        </w:rPr>
        <w:t xml:space="preserve"> amended</w:t>
      </w:r>
    </w:p>
    <w:p>
      <w:pPr>
        <w:pStyle w:val="nzHeading3"/>
      </w:pPr>
      <w:r>
        <w:rPr>
          <w:rStyle w:val="CharDivNo"/>
        </w:rPr>
        <w:t>Division 4</w:t>
      </w:r>
      <w:r>
        <w:t> — </w:t>
      </w:r>
      <w:r>
        <w:rPr>
          <w:rStyle w:val="CharDivText"/>
        </w:rPr>
        <w:t>Amendments about graduated demerit point system for novice drivers</w:t>
      </w:r>
    </w:p>
    <w:p>
      <w:pPr>
        <w:pStyle w:val="nzHeading5"/>
      </w:pPr>
      <w:r>
        <w:rPr>
          <w:rStyle w:val="CharSectno"/>
        </w:rPr>
        <w:t>27</w:t>
      </w:r>
      <w:r>
        <w:t>.</w:t>
      </w:r>
      <w:r>
        <w:tab/>
        <w:t>Section 104IA inserted</w:t>
      </w:r>
    </w:p>
    <w:p>
      <w:pPr>
        <w:pStyle w:val="nzSubsection"/>
      </w:pPr>
      <w:r>
        <w:tab/>
      </w:r>
      <w:r>
        <w:tab/>
        <w:t xml:space="preserve">After section 104I the following section is inserted — </w:t>
      </w:r>
    </w:p>
    <w:p>
      <w:pPr>
        <w:pStyle w:val="MiscOpen"/>
      </w:pPr>
      <w:r>
        <w:t xml:space="preserve">“    </w:t>
      </w:r>
    </w:p>
    <w:p>
      <w:pPr>
        <w:pStyle w:val="nzHeading5"/>
      </w:pPr>
      <w:r>
        <w:t>104IA.</w:t>
      </w:r>
      <w:r>
        <w:tab/>
        <w:t>Excessive demerit points (novice driver) notice</w:t>
      </w:r>
    </w:p>
    <w:p>
      <w:pPr>
        <w:pStyle w:val="nzSubsection"/>
      </w:pPr>
      <w:r>
        <w:tab/>
        <w:t>(1)</w:t>
      </w:r>
      <w:r>
        <w:tab/>
        <w:t xml:space="preserve">In this section — </w:t>
      </w:r>
    </w:p>
    <w:p>
      <w:pPr>
        <w:pStyle w:val="nz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r>
        <w:rPr>
          <w:rStyle w:val="CharSectno"/>
        </w:rPr>
        <w:t>28</w:t>
      </w:r>
      <w:r>
        <w:t>.</w:t>
      </w:r>
      <w:r>
        <w:tab/>
        <w:t>Section 104J amended</w:t>
      </w:r>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r>
        <w:rPr>
          <w:rStyle w:val="CharSectno"/>
        </w:rPr>
        <w:t>29</w:t>
      </w:r>
      <w:r>
        <w:t>.</w:t>
      </w:r>
      <w:r>
        <w:tab/>
        <w:t>Section 104O amended</w:t>
      </w:r>
    </w:p>
    <w:p>
      <w:pPr>
        <w:pStyle w:val="nzSubsection"/>
      </w:pPr>
      <w:r>
        <w:tab/>
        <w:t>(1)</w:t>
      </w:r>
      <w:r>
        <w:tab/>
        <w:t>Section 104O(2) is amended as follows:</w:t>
      </w:r>
    </w:p>
    <w:p>
      <w:pPr>
        <w:pStyle w:val="nzIndenta"/>
        <w:outlineLvl w:val="0"/>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outlineLvl w:val="0"/>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r>
        <w:rPr>
          <w:rStyle w:val="CharSectno"/>
        </w:rPr>
        <w:t>30</w:t>
      </w:r>
      <w:r>
        <w:t>.</w:t>
      </w:r>
      <w:r>
        <w:tab/>
        <w:t>Section 104R amended</w:t>
      </w:r>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MiscClose"/>
      </w:pPr>
      <w:r>
        <w:t>”.</w:t>
      </w:r>
    </w:p>
    <w:p>
      <w:pPr>
        <w:pStyle w:val="nSubsection"/>
        <w:keepLines/>
        <w:rPr>
          <w:del w:id="1657" w:author="svcMRProcess" w:date="2018-09-08T08:22:00Z"/>
          <w:snapToGrid w:val="0"/>
        </w:rPr>
      </w:pPr>
      <w:bookmarkStart w:id="1658" w:name="AutoSch"/>
      <w:bookmarkEnd w:id="1658"/>
      <w:del w:id="1659" w:author="svcMRProcess" w:date="2018-09-08T08:22:00Z">
        <w:r>
          <w:rPr>
            <w:snapToGrid w:val="0"/>
            <w:vertAlign w:val="superscript"/>
          </w:rPr>
          <w:delText>33-35</w:delText>
        </w:r>
        <w:r>
          <w:rPr>
            <w:snapToGrid w:val="0"/>
            <w:vertAlign w:val="superscript"/>
          </w:rPr>
          <w:tab/>
        </w:r>
        <w:r>
          <w:rPr>
            <w:snapToGrid w:val="0"/>
          </w:rPr>
          <w:delText>Footnote no longer applicable.</w:delText>
        </w:r>
      </w:del>
    </w:p>
    <w:p>
      <w:pPr>
        <w:pStyle w:val="nSubsection"/>
        <w:keepNext/>
        <w:keepLines/>
        <w:rPr>
          <w:snapToGrid w:val="0"/>
        </w:rPr>
      </w:pPr>
      <w:bookmarkStart w:id="1660" w:name="UpToHere"/>
      <w:bookmarkEnd w:id="1660"/>
      <w:del w:id="1661" w:author="svcMRProcess" w:date="2018-09-08T08:22:00Z">
        <w:r>
          <w:rPr>
            <w:snapToGrid w:val="0"/>
            <w:vertAlign w:val="superscript"/>
          </w:rPr>
          <w:delText>36</w:delText>
        </w:r>
      </w:del>
      <w:ins w:id="1662" w:author="svcMRProcess" w:date="2018-09-08T08:22:00Z">
        <w:r>
          <w:rPr>
            <w:snapToGrid w:val="0"/>
            <w:vertAlign w:val="superscript"/>
          </w:rPr>
          <w:t>30</w:t>
        </w:r>
      </w:ins>
      <w:r>
        <w:rPr>
          <w:snapToGrid w:val="0"/>
          <w:vertAlign w:val="superscript"/>
        </w:rPr>
        <w:tab/>
      </w:r>
      <w:r>
        <w:t xml:space="preserve">On the date as at which this </w:t>
      </w:r>
      <w:del w:id="1663" w:author="svcMRProcess" w:date="2018-09-08T08:22:00Z">
        <w:r>
          <w:delText>compilation</w:delText>
        </w:r>
      </w:del>
      <w:ins w:id="1664" w:author="svcMRProcess" w:date="2018-09-08T08:22:00Z">
        <w:r>
          <w:t>reprint</w:t>
        </w:r>
      </w:ins>
      <w:r>
        <w:t xml:space="preserve"> was prepared, </w:t>
      </w:r>
      <w:r>
        <w:rPr>
          <w:snapToGrid w:val="0"/>
        </w:rPr>
        <w:t xml:space="preserve">the </w:t>
      </w:r>
      <w:r>
        <w:rPr>
          <w:i/>
          <w:snapToGrid w:val="0"/>
        </w:rPr>
        <w:t>Medical Practitioners Act 2008</w:t>
      </w:r>
      <w:r>
        <w:rPr>
          <w:iCs/>
          <w:snapToGrid w:val="0"/>
        </w:rPr>
        <w:t xml:space="preserve"> s. 162, which gives effect to Sch. 3</w:t>
      </w:r>
      <w:del w:id="1665" w:author="svcMRProcess" w:date="2018-09-08T08:22:00Z">
        <w:r>
          <w:rPr>
            <w:iCs/>
            <w:snapToGrid w:val="0"/>
          </w:rPr>
          <w:delText xml:space="preserve"> cl. 51</w:delText>
        </w:r>
      </w:del>
      <w:r>
        <w:rPr>
          <w:iCs/>
          <w:snapToGrid w:val="0"/>
        </w:rPr>
        <w:t xml:space="preserve">, </w:t>
      </w:r>
      <w:r>
        <w:rPr>
          <w:snapToGrid w:val="0"/>
        </w:rPr>
        <w:t>had not come into operation.  It reads as follows:</w:t>
      </w:r>
    </w:p>
    <w:p>
      <w:pPr>
        <w:pStyle w:val="MiscOpen"/>
      </w:pPr>
      <w:r>
        <w:t>“</w:t>
      </w:r>
    </w:p>
    <w:p>
      <w:pPr>
        <w:pStyle w:val="nzHeading5"/>
      </w:pPr>
      <w:r>
        <w:rPr>
          <w:rStyle w:val="CharSectno"/>
        </w:rPr>
        <w:t>162</w:t>
      </w:r>
      <w:r>
        <w:t>.</w:t>
      </w:r>
      <w:r>
        <w:tab/>
        <w:t>Consequential amendments</w:t>
      </w:r>
    </w:p>
    <w:p>
      <w:pPr>
        <w:pStyle w:val="nzSubsection"/>
      </w:pPr>
      <w:r>
        <w:tab/>
      </w:r>
      <w:r>
        <w:tab/>
        <w:t>Schedule 3 sets out consequential amendments.</w:t>
      </w:r>
    </w:p>
    <w:p>
      <w:pPr>
        <w:pStyle w:val="MiscClose"/>
      </w:pPr>
      <w:r>
        <w:t>”.</w:t>
      </w:r>
    </w:p>
    <w:p>
      <w:pPr>
        <w:pStyle w:val="nSubsection"/>
      </w:pPr>
      <w:ins w:id="1666" w:author="svcMRProcess" w:date="2018-09-08T08:22:00Z">
        <w:r>
          <w:tab/>
        </w:r>
      </w:ins>
      <w:r>
        <w:t>Schedule 3 cl. 51 reads as follows:</w:t>
      </w:r>
    </w:p>
    <w:p>
      <w:pPr>
        <w:pStyle w:val="MiscOpen"/>
      </w:pPr>
      <w:r>
        <w:t>“</w:t>
      </w:r>
    </w:p>
    <w:p>
      <w:pPr>
        <w:pStyle w:val="nzHeading2"/>
        <w:outlineLvl w:val="0"/>
      </w:pPr>
      <w:r>
        <w:rPr>
          <w:rStyle w:val="CharSchNo"/>
        </w:rPr>
        <w:t>Schedule 3</w:t>
      </w:r>
      <w:r>
        <w:t> — </w:t>
      </w:r>
      <w:r>
        <w:rPr>
          <w:rStyle w:val="CharSchText"/>
        </w:rPr>
        <w:t>Consequential amendments</w:t>
      </w:r>
    </w:p>
    <w:p>
      <w:pPr>
        <w:pStyle w:val="nzHeading5"/>
      </w:pPr>
      <w:r>
        <w:rPr>
          <w:rStyle w:val="CharSClsNo"/>
        </w:rPr>
        <w:t>51</w:t>
      </w:r>
      <w:r>
        <w:t>.</w:t>
      </w:r>
      <w:r>
        <w:tab/>
      </w:r>
      <w:r>
        <w:rPr>
          <w:i/>
          <w:iCs/>
        </w:rPr>
        <w:t>Road Traffic Act 1974</w:t>
      </w:r>
      <w:r>
        <w:t xml:space="preserve"> amended</w:t>
      </w:r>
    </w:p>
    <w:p>
      <w:pPr>
        <w:pStyle w:val="nzSubsection"/>
      </w:pPr>
      <w:r>
        <w:tab/>
        <w:t>(1)</w:t>
      </w:r>
      <w:r>
        <w:tab/>
        <w:t xml:space="preserve">The amendments in this clause are to the </w:t>
      </w:r>
      <w:r>
        <w:rPr>
          <w:i/>
        </w:rPr>
        <w:t>Road Traffic Act 1974</w:t>
      </w:r>
      <w:r>
        <w:t>.</w:t>
      </w:r>
    </w:p>
    <w:p>
      <w:pPr>
        <w:pStyle w:val="nzSubsection"/>
      </w:pPr>
      <w:r>
        <w:tab/>
        <w:t>(2)</w:t>
      </w:r>
      <w:r>
        <w:tab/>
        <w:t xml:space="preserve">Section 65 is amended by deleting the definition of “medical practitioner” and inserting instead — </w:t>
      </w:r>
    </w:p>
    <w:p>
      <w:pPr>
        <w:pStyle w:val="MiscOpen"/>
        <w:ind w:left="880"/>
      </w:pPr>
      <w:r>
        <w:t xml:space="preserve">“    </w:t>
      </w:r>
    </w:p>
    <w:p>
      <w:pPr>
        <w:pStyle w:val="zDefstart"/>
        <w:spacing w:before="0"/>
        <w:rPr>
          <w:sz w:val="20"/>
        </w:rPr>
      </w:pPr>
      <w:r>
        <w:rPr>
          <w:b/>
          <w:sz w:val="20"/>
        </w:rPr>
        <w:tab/>
      </w:r>
      <w:ins w:id="1667" w:author="svcMRProcess" w:date="2018-09-08T08:22:00Z">
        <w:r>
          <w:rPr>
            <w:b/>
            <w:sz w:val="20"/>
          </w:rPr>
          <w:t>“</w:t>
        </w:r>
      </w:ins>
      <w:r>
        <w:rPr>
          <w:b/>
          <w:bCs/>
          <w:sz w:val="20"/>
        </w:rPr>
        <w:t>medical practitioner</w:t>
      </w:r>
      <w:ins w:id="1668" w:author="svcMRProcess" w:date="2018-09-08T08:22:00Z">
        <w:r>
          <w:rPr>
            <w:b/>
            <w:sz w:val="20"/>
          </w:rPr>
          <w:t>”</w:t>
        </w:r>
      </w:ins>
      <w:r>
        <w:rPr>
          <w:sz w:val="20"/>
        </w:rPr>
        <w:t xml:space="preserve"> has the meaning given to that term in the </w:t>
      </w:r>
      <w:r>
        <w:rPr>
          <w:i/>
          <w:sz w:val="20"/>
        </w:rPr>
        <w:t>Medical Practitioners Act 2008</w:t>
      </w:r>
      <w:r>
        <w:rPr>
          <w:sz w:val="20"/>
        </w:rPr>
        <w:t xml:space="preserve"> section 4;</w:t>
      </w:r>
    </w:p>
    <w:p>
      <w:pPr>
        <w:pStyle w:val="MiscClose"/>
        <w:ind w:right="256"/>
      </w:pPr>
      <w:r>
        <w:t xml:space="preserve">    ”.</w:t>
      </w:r>
    </w:p>
    <w:p>
      <w:pPr>
        <w:pStyle w:val="MiscClose"/>
      </w:pPr>
      <w:r>
        <w:t>”.</w:t>
      </w:r>
    </w:p>
    <w:p>
      <w:pPr>
        <w:pStyle w:val="nSubsection"/>
        <w:keepLines/>
        <w:rPr>
          <w:snapToGrid w:val="0"/>
        </w:rPr>
      </w:pPr>
      <w:del w:id="1669" w:author="svcMRProcess" w:date="2018-09-08T08:22:00Z">
        <w:r>
          <w:rPr>
            <w:snapToGrid w:val="0"/>
            <w:vertAlign w:val="superscript"/>
          </w:rPr>
          <w:delText>37</w:delText>
        </w:r>
      </w:del>
      <w:ins w:id="1670" w:author="svcMRProcess" w:date="2018-09-08T08:22:00Z">
        <w:r>
          <w:rPr>
            <w:snapToGrid w:val="0"/>
            <w:vertAlign w:val="superscript"/>
          </w:rPr>
          <w:t>31</w:t>
        </w:r>
      </w:ins>
      <w:r>
        <w:rPr>
          <w:snapToGrid w:val="0"/>
          <w:vertAlign w:val="superscript"/>
        </w:rPr>
        <w:tab/>
      </w:r>
      <w:r>
        <w:t xml:space="preserve">On the date as at which this </w:t>
      </w:r>
      <w:del w:id="1671" w:author="svcMRProcess" w:date="2018-09-08T08:22:00Z">
        <w:r>
          <w:delText>compilation</w:delText>
        </w:r>
      </w:del>
      <w:ins w:id="1672" w:author="svcMRProcess" w:date="2018-09-08T08:22:00Z">
        <w:r>
          <w:t>reprint</w:t>
        </w:r>
      </w:ins>
      <w:r>
        <w:t xml:space="preserve"> was prepared, </w:t>
      </w:r>
      <w:r>
        <w:rPr>
          <w:snapToGrid w:val="0"/>
        </w:rPr>
        <w:t xml:space="preserve">the </w:t>
      </w:r>
      <w:r>
        <w:rPr>
          <w:i/>
          <w:snapToGrid w:val="0"/>
        </w:rPr>
        <w:t>Road Traffic Amendment Act</w:t>
      </w:r>
      <w:del w:id="1673" w:author="svcMRProcess" w:date="2018-09-08T08:22:00Z">
        <w:r>
          <w:rPr>
            <w:i/>
            <w:snapToGrid w:val="0"/>
          </w:rPr>
          <w:delText xml:space="preserve"> </w:delText>
        </w:r>
      </w:del>
      <w:ins w:id="1674" w:author="svcMRProcess" w:date="2018-09-08T08:22:00Z">
        <w:r>
          <w:rPr>
            <w:i/>
            <w:snapToGrid w:val="0"/>
          </w:rPr>
          <w:t> </w:t>
        </w:r>
      </w:ins>
      <w:r>
        <w:rPr>
          <w:i/>
          <w:snapToGrid w:val="0"/>
        </w:rPr>
        <w:t xml:space="preserve">2008 </w:t>
      </w:r>
      <w:r>
        <w:rPr>
          <w:iCs/>
          <w:snapToGrid w:val="0"/>
        </w:rPr>
        <w:t xml:space="preserve">s. 5(a) and 8 </w:t>
      </w:r>
      <w:r>
        <w:rPr>
          <w:snapToGrid w:val="0"/>
        </w:rPr>
        <w:t>had not come into operation.  They read as follows:</w:t>
      </w:r>
    </w:p>
    <w:p>
      <w:pPr>
        <w:pStyle w:val="MiscOpen"/>
      </w:pPr>
      <w:r>
        <w:t>“</w:t>
      </w:r>
    </w:p>
    <w:p>
      <w:pPr>
        <w:pStyle w:val="nzHeading5"/>
        <w:outlineLvl w:val="0"/>
      </w:pPr>
      <w:bookmarkStart w:id="1675" w:name="_Toc195424399"/>
      <w:bookmarkStart w:id="1676" w:name="_Toc201380917"/>
      <w:r>
        <w:rPr>
          <w:rStyle w:val="CharSectno"/>
        </w:rPr>
        <w:t>5</w:t>
      </w:r>
      <w:r>
        <w:t>.</w:t>
      </w:r>
      <w:r>
        <w:tab/>
        <w:t>Section 78A amended</w:t>
      </w:r>
      <w:bookmarkEnd w:id="1675"/>
      <w:bookmarkEnd w:id="1676"/>
    </w:p>
    <w:p>
      <w:pPr>
        <w:pStyle w:val="nzSubsection"/>
      </w:pPr>
      <w:r>
        <w:tab/>
      </w:r>
      <w:r>
        <w:tab/>
        <w:t>Section 78A is amended as follows:</w:t>
      </w:r>
    </w:p>
    <w:p>
      <w:pPr>
        <w:pStyle w:val="nzIndenta"/>
      </w:pPr>
      <w:r>
        <w:tab/>
        <w:t>(a)</w:t>
      </w:r>
      <w:r>
        <w:tab/>
        <w:t xml:space="preserve">by deleting the definition of “impounding offence (driver’s licence)” and inserting instead — </w:t>
      </w:r>
    </w:p>
    <w:p>
      <w:pPr>
        <w:pStyle w:val="MiscOpen"/>
        <w:ind w:left="880"/>
      </w:pPr>
      <w:r>
        <w:t xml:space="preserve">“    </w:t>
      </w:r>
    </w:p>
    <w:p>
      <w:pPr>
        <w:pStyle w:val="nzDefstart"/>
      </w:pPr>
      <w:r>
        <w:rPr>
          <w:b/>
        </w:rPr>
        <w:tab/>
      </w:r>
      <w:r>
        <w:rPr>
          <w:rStyle w:val="CharDefText"/>
        </w:rPr>
        <w:t>impounding offence (driver’s licence)</w:t>
      </w:r>
      <w:r>
        <w:t xml:space="preserve"> means — </w:t>
      </w:r>
    </w:p>
    <w:p>
      <w:pPr>
        <w:pStyle w:val="nzDefpara"/>
      </w:pPr>
      <w:r>
        <w:tab/>
        <w:t>(a)</w:t>
      </w:r>
      <w:r>
        <w:tab/>
        <w:t>an offence against section 49(1)(a) that is committed by a person described in section 49(3)(a), (b) or (c); or</w:t>
      </w:r>
    </w:p>
    <w:p>
      <w:pPr>
        <w:pStyle w:val="nzDefpara"/>
      </w:pPr>
      <w:r>
        <w:tab/>
        <w:t>(b)</w:t>
      </w:r>
      <w:r>
        <w:tab/>
        <w:t>an offence against section 77(1)(a); or</w:t>
      </w:r>
    </w:p>
    <w:p>
      <w:pPr>
        <w:pStyle w:val="nzDefpara"/>
        <w:rPr>
          <w:iCs/>
        </w:rPr>
      </w:pPr>
      <w:r>
        <w:tab/>
        <w:t>(c)</w:t>
      </w:r>
      <w:r>
        <w:tab/>
        <w:t xml:space="preserve">an offence committed before the coming into operation of the </w:t>
      </w:r>
      <w:r>
        <w:rPr>
          <w:i/>
        </w:rPr>
        <w:t>Road Traffic Amendment Act 2008</w:t>
      </w:r>
      <w:r>
        <w:rPr>
          <w:iCs/>
        </w:rPr>
        <w:t xml:space="preserve"> section 5(a) that was an impounding offence (driver’s licence) as defined in this section as in force when the offence was committed;</w:t>
      </w:r>
    </w:p>
    <w:p>
      <w:pPr>
        <w:pStyle w:val="MiscClose"/>
      </w:pPr>
      <w:r>
        <w:t xml:space="preserve">    ”;</w:t>
      </w:r>
    </w:p>
    <w:p>
      <w:pPr>
        <w:pStyle w:val="nzHeading5"/>
      </w:pPr>
      <w:bookmarkStart w:id="1677" w:name="_Toc195424402"/>
      <w:bookmarkStart w:id="1678" w:name="_Toc201380920"/>
      <w:r>
        <w:rPr>
          <w:rStyle w:val="CharSectno"/>
        </w:rPr>
        <w:t>8</w:t>
      </w:r>
      <w:r>
        <w:t>.</w:t>
      </w:r>
      <w:r>
        <w:tab/>
        <w:t>Section 79A amended</w:t>
      </w:r>
      <w:bookmarkEnd w:id="1677"/>
      <w:bookmarkEnd w:id="1678"/>
    </w:p>
    <w:p>
      <w:pPr>
        <w:pStyle w:val="nzSubsection"/>
      </w:pPr>
      <w:r>
        <w:tab/>
      </w:r>
      <w:r>
        <w:tab/>
        <w:t>Section 79A is amended as follows:</w:t>
      </w:r>
    </w:p>
    <w:p>
      <w:pPr>
        <w:pStyle w:val="nzIndenta"/>
        <w:outlineLvl w:val="0"/>
      </w:pPr>
      <w:r>
        <w:tab/>
        <w:t>(a)</w:t>
      </w:r>
      <w:r>
        <w:tab/>
        <w:t xml:space="preserve">by deleting “48 hours” and inserting instead — </w:t>
      </w:r>
    </w:p>
    <w:p>
      <w:pPr>
        <w:pStyle w:val="nzIndenta"/>
      </w:pPr>
      <w:r>
        <w:tab/>
      </w:r>
      <w:r>
        <w:tab/>
        <w:t>“    28 days    ”;</w:t>
      </w:r>
    </w:p>
    <w:p>
      <w:pPr>
        <w:pStyle w:val="nzIndenta"/>
        <w:outlineLvl w:val="0"/>
      </w:pPr>
      <w:r>
        <w:tab/>
        <w:t>(b)</w:t>
      </w:r>
      <w:r>
        <w:tab/>
        <w:t xml:space="preserve">by inserting at the end of paragraph (a) — </w:t>
      </w:r>
    </w:p>
    <w:p>
      <w:pPr>
        <w:pStyle w:val="nzIndenta"/>
      </w:pPr>
      <w:r>
        <w:tab/>
      </w:r>
      <w:r>
        <w:tab/>
        <w:t>“    and    ”;</w:t>
      </w:r>
    </w:p>
    <w:p>
      <w:pPr>
        <w:pStyle w:val="nzIndenta"/>
        <w:outlineLvl w:val="0"/>
      </w:pPr>
      <w:r>
        <w:tab/>
        <w:t>(c)</w:t>
      </w:r>
      <w:r>
        <w:tab/>
        <w:t>by deleting all of the section after “offence” in paragraph (b) and inserting instead a full stop.</w:t>
      </w:r>
    </w:p>
    <w:p>
      <w:pPr>
        <w:pStyle w:val="MiscClose"/>
      </w:pPr>
      <w:r>
        <w:t>”.</w:t>
      </w:r>
    </w:p>
    <w:p>
      <w:pPr>
        <w:rPr>
          <w:del w:id="1679" w:author="svcMRProcess" w:date="2018-09-08T08:22:00Z"/>
        </w:rPr>
      </w:pP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056"/>
    <w:docVar w:name="WAFER_20151209113056" w:val="RemoveTrackChanges"/>
    <w:docVar w:name="WAFER_20151209113056_GUID" w:val="9815fea0-43bd-4f7c-b9eb-a34b40c265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74885</Words>
  <Characters>343724</Characters>
  <Application>Microsoft Office Word</Application>
  <DocSecurity>0</DocSecurity>
  <Lines>9045</Lines>
  <Paragraphs>4271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414338</CharactersWithSpaces>
  <SharedDoc>false</SharedDoc>
  <HLinks>
    <vt:vector size="6" baseType="variant">
      <vt:variant>
        <vt:i4>3014716</vt:i4>
      </vt:variant>
      <vt:variant>
        <vt:i4>20280</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09-ac0-03 - 10-a0-04</dc:title>
  <dc:subject/>
  <dc:creator/>
  <cp:keywords/>
  <dc:description/>
  <cp:lastModifiedBy>svcMRProcess</cp:lastModifiedBy>
  <cp:revision>2</cp:revision>
  <cp:lastPrinted>2008-10-03T01:57:00Z</cp:lastPrinted>
  <dcterms:created xsi:type="dcterms:W3CDTF">2018-09-08T00:22:00Z</dcterms:created>
  <dcterms:modified xsi:type="dcterms:W3CDTF">2018-09-08T00:22:00Z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20081003</vt:lpwstr>
  </property>
  <property fmtid="{D5CDD505-2E9C-101B-9397-08002B2CF9AE}" pid="4" name="DocumentType">
    <vt:lpwstr>Act</vt:lpwstr>
  </property>
  <property fmtid="{D5CDD505-2E9C-101B-9397-08002B2CF9AE}" pid="5" name="OwlsUID">
    <vt:i4>703</vt:i4>
  </property>
  <property fmtid="{D5CDD505-2E9C-101B-9397-08002B2CF9AE}" pid="6" name="ReprintNo">
    <vt:lpwstr>10</vt:lpwstr>
  </property>
  <property fmtid="{D5CDD505-2E9C-101B-9397-08002B2CF9AE}" pid="7" name="FromSuffix">
    <vt:lpwstr>09-ac0-03</vt:lpwstr>
  </property>
  <property fmtid="{D5CDD505-2E9C-101B-9397-08002B2CF9AE}" pid="8" name="FromAsAtDate">
    <vt:lpwstr>30 Sep 2008</vt:lpwstr>
  </property>
  <property fmtid="{D5CDD505-2E9C-101B-9397-08002B2CF9AE}" pid="9" name="ToSuffix">
    <vt:lpwstr>10-a0-04</vt:lpwstr>
  </property>
  <property fmtid="{D5CDD505-2E9C-101B-9397-08002B2CF9AE}" pid="10" name="ToAsAtDate">
    <vt:lpwstr>03 Oct 2008</vt:lpwstr>
  </property>
</Properties>
</file>