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Library Board of Western Australia Act 1951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2006</w:t>
      </w:r>
      <w:r>
        <w:fldChar w:fldCharType="end"/>
      </w:r>
      <w:r>
        <w:t xml:space="preserve">, </w:t>
      </w:r>
      <w:r>
        <w:fldChar w:fldCharType="begin"/>
      </w:r>
      <w:r>
        <w:instrText xml:space="preserve"> DocProperty FromSuffix </w:instrText>
      </w:r>
      <w:r>
        <w:fldChar w:fldCharType="separate"/>
      </w:r>
      <w:r>
        <w:t>04-a0-03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04-b0-07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8T09:16:00Z"/>
        </w:trPr>
        <w:tc>
          <w:tcPr>
            <w:tcW w:w="2434" w:type="dxa"/>
            <w:vMerge w:val="restart"/>
          </w:tcPr>
          <w:p>
            <w:pPr>
              <w:rPr>
                <w:del w:id="1" w:author="svcMRProcess" w:date="2015-12-08T09:16:00Z"/>
              </w:rPr>
            </w:pPr>
          </w:p>
        </w:tc>
        <w:tc>
          <w:tcPr>
            <w:tcW w:w="2434" w:type="dxa"/>
            <w:vMerge w:val="restart"/>
          </w:tcPr>
          <w:p>
            <w:pPr>
              <w:jc w:val="center"/>
              <w:rPr>
                <w:del w:id="2" w:author="svcMRProcess" w:date="2015-12-08T09:16:00Z"/>
              </w:rPr>
            </w:pPr>
            <w:del w:id="3" w:author="svcMRProcess" w:date="2015-12-08T09: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08T09:16:00Z"/>
              </w:rPr>
            </w:pPr>
          </w:p>
        </w:tc>
      </w:tr>
      <w:tr>
        <w:trPr>
          <w:cantSplit/>
          <w:del w:id="5" w:author="svcMRProcess" w:date="2015-12-08T09:16:00Z"/>
        </w:trPr>
        <w:tc>
          <w:tcPr>
            <w:tcW w:w="2434" w:type="dxa"/>
            <w:vMerge/>
          </w:tcPr>
          <w:p>
            <w:pPr>
              <w:rPr>
                <w:del w:id="6" w:author="svcMRProcess" w:date="2015-12-08T09:16:00Z"/>
              </w:rPr>
            </w:pPr>
          </w:p>
        </w:tc>
        <w:tc>
          <w:tcPr>
            <w:tcW w:w="2434" w:type="dxa"/>
            <w:vMerge/>
          </w:tcPr>
          <w:p>
            <w:pPr>
              <w:jc w:val="center"/>
              <w:rPr>
                <w:del w:id="7" w:author="svcMRProcess" w:date="2015-12-08T09:16:00Z"/>
              </w:rPr>
            </w:pPr>
          </w:p>
        </w:tc>
        <w:tc>
          <w:tcPr>
            <w:tcW w:w="2434" w:type="dxa"/>
          </w:tcPr>
          <w:p>
            <w:pPr>
              <w:keepNext/>
              <w:rPr>
                <w:del w:id="8" w:author="svcMRProcess" w:date="2015-12-08T09:16:00Z"/>
                <w:b/>
                <w:sz w:val="22"/>
              </w:rPr>
            </w:pPr>
            <w:del w:id="9" w:author="svcMRProcess" w:date="2015-12-08T09:16:00Z">
              <w:r>
                <w:rPr>
                  <w:b/>
                  <w:sz w:val="22"/>
                </w:rPr>
                <w:delText xml:space="preserve">Reprinted under the </w:delText>
              </w:r>
              <w:r>
                <w:rPr>
                  <w:b/>
                  <w:i/>
                  <w:sz w:val="22"/>
                </w:rPr>
                <w:delText>Reprints Act 1984</w:delText>
              </w:r>
              <w:r>
                <w:rPr>
                  <w:b/>
                  <w:sz w:val="22"/>
                </w:rPr>
                <w:delText xml:space="preserve"> as </w:delText>
              </w:r>
              <w:r>
                <w:rPr>
                  <w:b/>
                  <w:sz w:val="22"/>
                </w:rPr>
                <w:br/>
                <w:delText>at 10</w:delText>
              </w:r>
              <w:r>
                <w:rPr>
                  <w:b/>
                  <w:snapToGrid w:val="0"/>
                  <w:sz w:val="22"/>
                </w:rPr>
                <w:delText xml:space="preserve"> February 2006</w:delText>
              </w:r>
            </w:del>
          </w:p>
        </w:tc>
      </w:tr>
    </w:tbl>
    <w:p>
      <w:pPr>
        <w:pStyle w:val="WA"/>
        <w:spacing w:before="120"/>
      </w:pPr>
      <w:r>
        <w:t>Western Australia</w:t>
      </w:r>
    </w:p>
    <w:p>
      <w:pPr>
        <w:pStyle w:val="NameofActReg"/>
      </w:pPr>
      <w:r>
        <w:t>Library Board of Western Australia Act 1951</w:t>
      </w:r>
    </w:p>
    <w:p>
      <w:pPr>
        <w:pStyle w:val="LongTitle"/>
        <w:rPr>
          <w:snapToGrid w:val="0"/>
        </w:rPr>
      </w:pPr>
      <w:r>
        <w:rPr>
          <w:snapToGrid w:val="0"/>
        </w:rPr>
        <w:t>A</w:t>
      </w:r>
      <w:bookmarkStart w:id="10" w:name="_GoBack"/>
      <w:bookmarkEnd w:id="10"/>
      <w:r>
        <w:rPr>
          <w:snapToGrid w:val="0"/>
        </w:rPr>
        <w:t>n Act to provide for the constitution and functions of a Library Board and for other purposes.</w:t>
      </w:r>
    </w:p>
    <w:p>
      <w:pPr>
        <w:pStyle w:val="Heading5"/>
        <w:rPr>
          <w:snapToGrid w:val="0"/>
        </w:rPr>
      </w:pPr>
      <w:bookmarkStart w:id="11" w:name="_Toc411311966"/>
      <w:bookmarkStart w:id="12" w:name="_Toc516381089"/>
      <w:bookmarkStart w:id="13" w:name="_Toc157922024"/>
      <w:bookmarkStart w:id="14" w:name="_Toc125866902"/>
      <w:r>
        <w:rPr>
          <w:rStyle w:val="CharSectno"/>
        </w:rPr>
        <w:t>1</w:t>
      </w:r>
      <w:r>
        <w:rPr>
          <w:snapToGrid w:val="0"/>
        </w:rPr>
        <w:t>.</w:t>
      </w:r>
      <w:r>
        <w:rPr>
          <w:snapToGrid w:val="0"/>
        </w:rPr>
        <w:tab/>
        <w:t>Short title</w:t>
      </w:r>
      <w:bookmarkEnd w:id="11"/>
      <w:bookmarkEnd w:id="12"/>
      <w:bookmarkEnd w:id="13"/>
      <w:bookmarkEnd w:id="14"/>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pPr>
        <w:pStyle w:val="Heading5"/>
        <w:rPr>
          <w:snapToGrid w:val="0"/>
        </w:rPr>
      </w:pPr>
      <w:bookmarkStart w:id="15" w:name="_Toc411311967"/>
      <w:bookmarkStart w:id="16" w:name="_Toc516381090"/>
      <w:bookmarkStart w:id="17" w:name="_Toc157922025"/>
      <w:bookmarkStart w:id="18" w:name="_Toc125866903"/>
      <w:r>
        <w:rPr>
          <w:rStyle w:val="CharSectno"/>
        </w:rPr>
        <w:t>2</w:t>
      </w:r>
      <w:r>
        <w:rPr>
          <w:snapToGrid w:val="0"/>
        </w:rPr>
        <w:t>.</w:t>
      </w:r>
      <w:r>
        <w:rPr>
          <w:snapToGrid w:val="0"/>
        </w:rPr>
        <w:tab/>
        <w:t>Commencement</w:t>
      </w:r>
      <w:bookmarkEnd w:id="15"/>
      <w:bookmarkEnd w:id="16"/>
      <w:bookmarkEnd w:id="17"/>
      <w:bookmarkEnd w:id="18"/>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9" w:name="_Toc411311968"/>
      <w:bookmarkStart w:id="20" w:name="_Toc516381091"/>
      <w:bookmarkStart w:id="21" w:name="_Toc157922026"/>
      <w:bookmarkStart w:id="22" w:name="_Toc125866904"/>
      <w:r>
        <w:rPr>
          <w:rStyle w:val="CharSectno"/>
        </w:rPr>
        <w:t>3</w:t>
      </w:r>
      <w:r>
        <w:rPr>
          <w:snapToGrid w:val="0"/>
        </w:rPr>
        <w:t>.</w:t>
      </w:r>
      <w:r>
        <w:rPr>
          <w:snapToGrid w:val="0"/>
        </w:rPr>
        <w:tab/>
        <w:t>Interpretation</w:t>
      </w:r>
      <w:bookmarkEnd w:id="19"/>
      <w:bookmarkEnd w:id="20"/>
      <w:bookmarkEnd w:id="21"/>
      <w:bookmarkEnd w:id="22"/>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rPr>
          <w:ins w:id="23" w:author="svcMRProcess" w:date="2015-12-08T09:16:00Z"/>
        </w:rPr>
      </w:pPr>
      <w:r>
        <w:rPr>
          <w:b/>
        </w:rPr>
        <w:tab/>
      </w:r>
      <w:del w:id="24" w:author="svcMRProcess" w:date="2015-12-08T09:16:00Z">
        <w:r>
          <w:rPr>
            <w:b/>
          </w:rPr>
          <w:delText>“</w:delText>
        </w:r>
      </w:del>
      <w:ins w:id="25" w:author="svcMRProcess" w:date="2015-12-08T09:16:00Z">
        <w:r>
          <w:rPr>
            <w:rStyle w:val="CharDefText"/>
          </w:rPr>
          <w:t>Account</w:t>
        </w:r>
        <w:r>
          <w:t xml:space="preserve"> means The Library Board of Western Australia Account established by section 16;</w:t>
        </w:r>
      </w:ins>
    </w:p>
    <w:p>
      <w:pPr>
        <w:pStyle w:val="Defstart"/>
      </w:pPr>
      <w:ins w:id="26" w:author="svcMRProcess" w:date="2015-12-08T09:16:00Z">
        <w:r>
          <w:rPr>
            <w:b/>
          </w:rPr>
          <w:tab/>
        </w:r>
      </w:ins>
      <w:r>
        <w:rPr>
          <w:rStyle w:val="CharDefText"/>
        </w:rPr>
        <w:t>approved body</w:t>
      </w:r>
      <w:del w:id="27" w:author="svcMRProcess" w:date="2015-12-08T09:16:00Z">
        <w:r>
          <w:rPr>
            <w:b/>
          </w:rPr>
          <w:delText>”</w:delText>
        </w:r>
      </w:del>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r>
      <w:del w:id="28" w:author="svcMRProcess" w:date="2015-12-08T09:16:00Z">
        <w:r>
          <w:rPr>
            <w:b/>
          </w:rPr>
          <w:delText>“</w:delText>
        </w:r>
      </w:del>
      <w:r>
        <w:rPr>
          <w:rStyle w:val="CharDefText"/>
        </w:rPr>
        <w:t>Board</w:t>
      </w:r>
      <w:del w:id="29" w:author="svcMRProcess" w:date="2015-12-08T09:16:00Z">
        <w:r>
          <w:rPr>
            <w:b/>
          </w:rPr>
          <w:delText>”</w:delText>
        </w:r>
      </w:del>
      <w:r>
        <w:t xml:space="preserve"> means The Library Board of Western Australia, constituted pursuant to the provisions of this Act;</w:t>
      </w:r>
    </w:p>
    <w:p>
      <w:pPr>
        <w:pStyle w:val="Defstart"/>
        <w:rPr>
          <w:del w:id="30" w:author="svcMRProcess" w:date="2015-12-08T09:16:00Z"/>
        </w:rPr>
      </w:pPr>
      <w:del w:id="31" w:author="svcMRProcess" w:date="2015-12-08T09:16:00Z">
        <w:r>
          <w:rPr>
            <w:b/>
          </w:rPr>
          <w:tab/>
          <w:delText>“</w:delText>
        </w:r>
        <w:r>
          <w:rPr>
            <w:rStyle w:val="CharDefText"/>
          </w:rPr>
          <w:delText>Fund</w:delText>
        </w:r>
        <w:r>
          <w:rPr>
            <w:b/>
          </w:rPr>
          <w:delText>”</w:delText>
        </w:r>
        <w:r>
          <w:delText xml:space="preserve"> means The Library Board of Western Australia Fund;</w:delText>
        </w:r>
      </w:del>
    </w:p>
    <w:p>
      <w:pPr>
        <w:pStyle w:val="Defstart"/>
      </w:pPr>
      <w:del w:id="32" w:author="svcMRProcess" w:date="2015-12-08T09:16:00Z">
        <w:r>
          <w:rPr>
            <w:b/>
          </w:rPr>
          <w:tab/>
          <w:delText>“</w:delText>
        </w:r>
      </w:del>
      <w:ins w:id="33" w:author="svcMRProcess" w:date="2015-12-08T09:16:00Z">
        <w:r>
          <w:rPr>
            <w:b/>
          </w:rPr>
          <w:tab/>
        </w:r>
      </w:ins>
      <w:r>
        <w:rPr>
          <w:rStyle w:val="CharDefText"/>
        </w:rPr>
        <w:t>library</w:t>
      </w:r>
      <w:del w:id="34" w:author="svcMRProcess" w:date="2015-12-08T09:16:00Z">
        <w:r>
          <w:rPr>
            <w:b/>
          </w:rPr>
          <w:delText>”</w:delText>
        </w:r>
      </w:del>
      <w:r>
        <w:t xml:space="preserve"> includes a children’s library, but does not include a library conducted by private enterprise for profit;</w:t>
      </w:r>
    </w:p>
    <w:p>
      <w:pPr>
        <w:pStyle w:val="Defstart"/>
      </w:pPr>
      <w:r>
        <w:rPr>
          <w:b/>
        </w:rPr>
        <w:tab/>
      </w:r>
      <w:del w:id="35" w:author="svcMRProcess" w:date="2015-12-08T09:16:00Z">
        <w:r>
          <w:rPr>
            <w:b/>
          </w:rPr>
          <w:delText>“</w:delText>
        </w:r>
      </w:del>
      <w:r>
        <w:rPr>
          <w:rStyle w:val="CharDefText"/>
        </w:rPr>
        <w:t>library service</w:t>
      </w:r>
      <w:del w:id="36" w:author="svcMRProcess" w:date="2015-12-08T09:16:00Z">
        <w:r>
          <w:rPr>
            <w:b/>
          </w:rPr>
          <w:delText>”</w:delText>
        </w:r>
      </w:del>
      <w:r>
        <w:t xml:space="preserve"> does not include a library service conducted by private enterprise for profit;</w:t>
      </w:r>
    </w:p>
    <w:p>
      <w:pPr>
        <w:pStyle w:val="Defstart"/>
      </w:pPr>
      <w:r>
        <w:rPr>
          <w:b/>
        </w:rPr>
        <w:tab/>
      </w:r>
      <w:del w:id="37" w:author="svcMRProcess" w:date="2015-12-08T09:16:00Z">
        <w:r>
          <w:rPr>
            <w:b/>
          </w:rPr>
          <w:delText>“</w:delText>
        </w:r>
      </w:del>
      <w:r>
        <w:rPr>
          <w:rStyle w:val="CharDefText"/>
        </w:rPr>
        <w:t>nominee member</w:t>
      </w:r>
      <w:del w:id="38" w:author="svcMRProcess" w:date="2015-12-08T09:16:00Z">
        <w:r>
          <w:rPr>
            <w:b/>
          </w:rPr>
          <w:delText>”</w:delText>
        </w:r>
      </w:del>
      <w:r>
        <w:t xml:space="preserve"> means a person appointed as a member of the Board under section 5(3);</w:t>
      </w:r>
    </w:p>
    <w:p>
      <w:pPr>
        <w:pStyle w:val="Defstart"/>
      </w:pPr>
      <w:r>
        <w:rPr>
          <w:b/>
        </w:rPr>
        <w:tab/>
      </w:r>
      <w:del w:id="39" w:author="svcMRProcess" w:date="2015-12-08T09:16:00Z">
        <w:r>
          <w:rPr>
            <w:b/>
          </w:rPr>
          <w:delText>“</w:delText>
        </w:r>
      </w:del>
      <w:r>
        <w:rPr>
          <w:rStyle w:val="CharDefText"/>
        </w:rPr>
        <w:t>participating body</w:t>
      </w:r>
      <w:del w:id="40" w:author="svcMRProcess" w:date="2015-12-08T09:16:00Z">
        <w:r>
          <w:rPr>
            <w:b/>
          </w:rPr>
          <w:delText>”</w:delText>
        </w:r>
      </w:del>
      <w:r>
        <w:t xml:space="preserve"> means —</w:t>
      </w:r>
    </w:p>
    <w:p>
      <w:pPr>
        <w:pStyle w:val="Defpara"/>
      </w:pPr>
      <w:r>
        <w:tab/>
        <w:t>(i)</w:t>
      </w:r>
      <w:r>
        <w:tab/>
        <w:t>a local government; or</w:t>
      </w:r>
    </w:p>
    <w:p>
      <w:pPr>
        <w:pStyle w:val="Defpara"/>
      </w:pPr>
      <w:r>
        <w:tab/>
        <w:t>(ii)</w:t>
      </w:r>
      <w:r>
        <w:tab/>
        <w:t>an approved body;</w:t>
      </w:r>
    </w:p>
    <w:p>
      <w:pPr>
        <w:pStyle w:val="Defstart"/>
      </w:pPr>
      <w:del w:id="41" w:author="svcMRProcess" w:date="2015-12-08T09:16:00Z">
        <w:r>
          <w:tab/>
        </w:r>
      </w:del>
      <w:r>
        <w:tab/>
        <w:t>which elects and is declared to be a participating body pursuant to the provisions of this Act, during such time as it continues to be and to participate as such in a scheme;</w:t>
      </w:r>
    </w:p>
    <w:p>
      <w:pPr>
        <w:pStyle w:val="Defstart"/>
      </w:pPr>
      <w:r>
        <w:rPr>
          <w:b/>
        </w:rPr>
        <w:tab/>
      </w:r>
      <w:del w:id="42" w:author="svcMRProcess" w:date="2015-12-08T09:16:00Z">
        <w:r>
          <w:rPr>
            <w:b/>
          </w:rPr>
          <w:delText>“</w:delText>
        </w:r>
      </w:del>
      <w:r>
        <w:rPr>
          <w:rStyle w:val="CharDefText"/>
        </w:rPr>
        <w:t>registered public library</w:t>
      </w:r>
      <w:del w:id="43" w:author="svcMRProcess" w:date="2015-12-08T09:16:00Z">
        <w:r>
          <w:rPr>
            <w:b/>
          </w:rPr>
          <w:delText>”</w:delText>
        </w:r>
      </w:del>
      <w:r>
        <w:t xml:space="preserve"> means a free library registered by the Board in pursuance of the provisions of this Act;</w:t>
      </w:r>
    </w:p>
    <w:p>
      <w:pPr>
        <w:pStyle w:val="Defstart"/>
      </w:pPr>
      <w:r>
        <w:rPr>
          <w:b/>
        </w:rPr>
        <w:tab/>
      </w:r>
      <w:del w:id="44" w:author="svcMRProcess" w:date="2015-12-08T09:16:00Z">
        <w:r>
          <w:rPr>
            <w:b/>
          </w:rPr>
          <w:delText>“</w:delText>
        </w:r>
      </w:del>
      <w:r>
        <w:rPr>
          <w:rStyle w:val="CharDefText"/>
        </w:rPr>
        <w:t>scheme</w:t>
      </w:r>
      <w:del w:id="45" w:author="svcMRProcess" w:date="2015-12-08T09:16:00Z">
        <w:r>
          <w:rPr>
            <w:b/>
          </w:rPr>
          <w:delText>”</w:delText>
        </w:r>
      </w:del>
      <w:r>
        <w:t xml:space="preserve"> means a scheme for the promotion, organisation, or supervision, generally or in any particular case, pursuant to the provisions of this Act, of free libraries and free library services;</w:t>
      </w:r>
    </w:p>
    <w:p>
      <w:pPr>
        <w:pStyle w:val="Defstart"/>
      </w:pPr>
      <w:r>
        <w:rPr>
          <w:b/>
        </w:rPr>
        <w:tab/>
      </w:r>
      <w:del w:id="46" w:author="svcMRProcess" w:date="2015-12-08T09:16:00Z">
        <w:r>
          <w:rPr>
            <w:b/>
          </w:rPr>
          <w:delText>“</w:delText>
        </w:r>
      </w:del>
      <w:r>
        <w:rPr>
          <w:rStyle w:val="CharDefText"/>
        </w:rPr>
        <w:t>State Reference Library</w:t>
      </w:r>
      <w:del w:id="47" w:author="svcMRProcess" w:date="2015-12-08T09:16:00Z">
        <w:r>
          <w:rPr>
            <w:b/>
          </w:rPr>
          <w:delText>”</w:delText>
        </w:r>
      </w:del>
      <w:r>
        <w:t xml:space="preserve"> means The State Reference Library of Western Australia, known prior to the coming into operation —</w:t>
      </w:r>
    </w:p>
    <w:p>
      <w:pPr>
        <w:pStyle w:val="Defpara"/>
      </w:pPr>
      <w:r>
        <w:tab/>
        <w:t>(a)</w:t>
      </w:r>
      <w:r>
        <w:tab/>
        <w:t xml:space="preserve">of the </w:t>
      </w:r>
      <w:r>
        <w:rPr>
          <w:i/>
        </w:rPr>
        <w:t>Acts Amendment (Libraries) Act 1955</w:t>
      </w:r>
      <w:r>
        <w:t xml:space="preserve"> </w:t>
      </w:r>
      <w:r>
        <w:rPr>
          <w:vertAlign w:val="superscript"/>
        </w:rPr>
        <w:t>1</w:t>
      </w:r>
      <w:r>
        <w:t>, as the Public Library of Western Australia; and</w:t>
      </w:r>
    </w:p>
    <w:p>
      <w:pPr>
        <w:pStyle w:val="Defpara"/>
      </w:pPr>
      <w:r>
        <w:tab/>
        <w:t>(b)</w:t>
      </w:r>
      <w:r>
        <w:tab/>
        <w:t xml:space="preserve">of the </w:t>
      </w:r>
      <w:r>
        <w:rPr>
          <w:i/>
        </w:rPr>
        <w:t>Library Board of Western Australia Act Amendment Act 1974</w:t>
      </w:r>
      <w:r>
        <w:t xml:space="preserve"> </w:t>
      </w:r>
      <w:r>
        <w:rPr>
          <w:vertAlign w:val="superscript"/>
        </w:rPr>
        <w:t>1</w:t>
      </w:r>
      <w:r>
        <w:t>, as The State Library of Western Australia.</w:t>
      </w:r>
    </w:p>
    <w:p>
      <w:pPr>
        <w:pStyle w:val="Ednotesubsection"/>
      </w:pPr>
      <w:r>
        <w:tab/>
        <w:t>[(2)</w:t>
      </w:r>
      <w:r>
        <w:tab/>
      </w:r>
      <w:del w:id="48" w:author="svcMRProcess" w:date="2015-12-08T09:16:00Z">
        <w:r>
          <w:delText>repealed</w:delText>
        </w:r>
      </w:del>
      <w:ins w:id="49" w:author="svcMRProcess" w:date="2015-12-08T09:16:00Z">
        <w:r>
          <w:t>deleted</w:t>
        </w:r>
      </w:ins>
      <w:r>
        <w:t>]</w:t>
      </w:r>
    </w:p>
    <w:p>
      <w:pPr>
        <w:pStyle w:val="Footnotesection"/>
      </w:pPr>
      <w:r>
        <w:tab/>
        <w:t>[Section 3 amended by No. 20 of 1955 s. 5; No. 29 of 1974 s. 2; No. 44 of 1983 s. 2; No. 14 of 1996 s. 4; No. 53 of 2000 s. </w:t>
      </w:r>
      <w:del w:id="50" w:author="svcMRProcess" w:date="2015-12-08T09:16:00Z">
        <w:r>
          <w:delText>12</w:delText>
        </w:r>
      </w:del>
      <w:ins w:id="51" w:author="svcMRProcess" w:date="2015-12-08T09:16:00Z">
        <w:r>
          <w:t>12; No. 77 of 2006 s. 17</w:t>
        </w:r>
      </w:ins>
      <w:r>
        <w:t>.]</w:t>
      </w:r>
    </w:p>
    <w:p>
      <w:pPr>
        <w:pStyle w:val="Heading3"/>
        <w:keepLines/>
      </w:pPr>
      <w:bookmarkStart w:id="52" w:name="_Toc89510840"/>
      <w:bookmarkStart w:id="53" w:name="_Toc89566907"/>
      <w:bookmarkStart w:id="54" w:name="_Toc100398450"/>
      <w:bookmarkStart w:id="55" w:name="_Toc100570069"/>
      <w:bookmarkStart w:id="56" w:name="_Toc102378040"/>
      <w:bookmarkStart w:id="57" w:name="_Toc123005131"/>
      <w:bookmarkStart w:id="58" w:name="_Toc123525425"/>
      <w:bookmarkStart w:id="59" w:name="_Toc125866905"/>
      <w:bookmarkStart w:id="60" w:name="_Toc157922027"/>
      <w:r>
        <w:t>General provisions</w:t>
      </w:r>
      <w:bookmarkEnd w:id="52"/>
      <w:bookmarkEnd w:id="53"/>
      <w:bookmarkEnd w:id="54"/>
      <w:bookmarkEnd w:id="55"/>
      <w:bookmarkEnd w:id="56"/>
      <w:bookmarkEnd w:id="57"/>
      <w:bookmarkEnd w:id="58"/>
      <w:bookmarkEnd w:id="59"/>
      <w:bookmarkEnd w:id="60"/>
    </w:p>
    <w:p>
      <w:pPr>
        <w:pStyle w:val="Footnoteheading"/>
        <w:keepNext/>
        <w:keepLines/>
        <w:rPr>
          <w:snapToGrid w:val="0"/>
        </w:rPr>
      </w:pPr>
      <w:r>
        <w:rPr>
          <w:snapToGrid w:val="0"/>
        </w:rPr>
        <w:tab/>
        <w:t>[Heading inserted by No. 29 of 1974 s. 3.]</w:t>
      </w:r>
    </w:p>
    <w:p>
      <w:pPr>
        <w:pStyle w:val="Heading5"/>
        <w:rPr>
          <w:snapToGrid w:val="0"/>
        </w:rPr>
      </w:pPr>
      <w:bookmarkStart w:id="61" w:name="_Toc411311969"/>
      <w:bookmarkStart w:id="62" w:name="_Toc516381092"/>
      <w:bookmarkStart w:id="63" w:name="_Toc157922028"/>
      <w:bookmarkStart w:id="64" w:name="_Toc125866906"/>
      <w:r>
        <w:rPr>
          <w:rStyle w:val="CharSectno"/>
        </w:rPr>
        <w:t>4</w:t>
      </w:r>
      <w:r>
        <w:rPr>
          <w:snapToGrid w:val="0"/>
        </w:rPr>
        <w:t>.</w:t>
      </w:r>
      <w:r>
        <w:rPr>
          <w:snapToGrid w:val="0"/>
        </w:rPr>
        <w:tab/>
        <w:t>Participating bodies</w:t>
      </w:r>
      <w:bookmarkEnd w:id="61"/>
      <w:bookmarkEnd w:id="62"/>
      <w:bookmarkEnd w:id="63"/>
      <w:bookmarkEnd w:id="64"/>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by No. 14 of 1996 s. 4.]</w:t>
      </w:r>
    </w:p>
    <w:p>
      <w:pPr>
        <w:pStyle w:val="Heading5"/>
        <w:rPr>
          <w:snapToGrid w:val="0"/>
        </w:rPr>
      </w:pPr>
      <w:bookmarkStart w:id="65" w:name="_Toc411311970"/>
      <w:bookmarkStart w:id="66" w:name="_Toc516381093"/>
      <w:bookmarkStart w:id="67" w:name="_Toc157922029"/>
      <w:bookmarkStart w:id="68" w:name="_Toc125866907"/>
      <w:r>
        <w:rPr>
          <w:rStyle w:val="CharSectno"/>
        </w:rPr>
        <w:t>5</w:t>
      </w:r>
      <w:r>
        <w:rPr>
          <w:snapToGrid w:val="0"/>
        </w:rPr>
        <w:t>.</w:t>
      </w:r>
      <w:r>
        <w:rPr>
          <w:snapToGrid w:val="0"/>
        </w:rPr>
        <w:tab/>
        <w:t>The Board</w:t>
      </w:r>
      <w:bookmarkEnd w:id="65"/>
      <w:bookmarkEnd w:id="66"/>
      <w:bookmarkEnd w:id="67"/>
      <w:bookmarkEnd w:id="68"/>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(b)(i)</w:t>
      </w:r>
      <w:r>
        <w:rPr>
          <w:snapToGrid w:val="0"/>
        </w:rPr>
        <w:tab/>
        <w:t>In the event of the absence of the Chairman, the Vice Chairman shall have all the powers of the Chairman.</w:t>
      </w:r>
    </w:p>
    <w:p>
      <w:pPr>
        <w:pStyle w:val="Subsection"/>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r>
      <w:r>
        <w:rPr>
          <w:snapToGrid w:val="0"/>
        </w:rPr>
        <w:tab/>
        <w:t>7 members shall constitute a quorum for the conduct of business;</w:t>
      </w:r>
    </w:p>
    <w:p>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by No. 20 of 1955 s. 6; No. 29 of 1974 s. 4; No. 44 of 1983 s. 3; No. 75 of 1987 s. 5; No. 7 of 1988 s. 20; No. 32 of 1994 s. 19; No. 14 of 1996 s. 4; No. 22 of 1996 s. 16(6); No. 57 of 1997 s. 80; No. 36 of 1999 s. 247; No. 49 of 2004 s. 13.]</w:t>
      </w:r>
    </w:p>
    <w:p>
      <w:pPr>
        <w:pStyle w:val="Heading5"/>
        <w:rPr>
          <w:snapToGrid w:val="0"/>
        </w:rPr>
      </w:pPr>
      <w:bookmarkStart w:id="69" w:name="_Toc411311971"/>
      <w:bookmarkStart w:id="70" w:name="_Toc516381094"/>
      <w:bookmarkStart w:id="71" w:name="_Toc157922030"/>
      <w:bookmarkStart w:id="72" w:name="_Toc125866908"/>
      <w:r>
        <w:rPr>
          <w:rStyle w:val="CharSectno"/>
        </w:rPr>
        <w:t>6</w:t>
      </w:r>
      <w:r>
        <w:rPr>
          <w:snapToGrid w:val="0"/>
        </w:rPr>
        <w:t>.</w:t>
      </w:r>
      <w:r>
        <w:rPr>
          <w:snapToGrid w:val="0"/>
        </w:rPr>
        <w:tab/>
        <w:t>Appointment of Secretary and officers</w:t>
      </w:r>
      <w:bookmarkEnd w:id="69"/>
      <w:bookmarkEnd w:id="70"/>
      <w:bookmarkEnd w:id="71"/>
      <w:bookmarkEnd w:id="72"/>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pPr>
        <w:pStyle w:val="Footnotesection"/>
      </w:pPr>
      <w:r>
        <w:tab/>
        <w:t>[Section 6 amended by No. 20 of 1955 s. 7; No. 113 of 1987 s. 32; No. 32 of 1994 s. 19.]</w:t>
      </w:r>
    </w:p>
    <w:p>
      <w:pPr>
        <w:pStyle w:val="Heading5"/>
        <w:rPr>
          <w:snapToGrid w:val="0"/>
        </w:rPr>
      </w:pPr>
      <w:bookmarkStart w:id="73" w:name="_Toc411311972"/>
      <w:bookmarkStart w:id="74" w:name="_Toc516381095"/>
      <w:bookmarkStart w:id="75" w:name="_Toc157922031"/>
      <w:bookmarkStart w:id="76" w:name="_Toc125866909"/>
      <w:r>
        <w:rPr>
          <w:rStyle w:val="CharSectno"/>
        </w:rPr>
        <w:t>7</w:t>
      </w:r>
      <w:r>
        <w:rPr>
          <w:snapToGrid w:val="0"/>
        </w:rPr>
        <w:t>.</w:t>
      </w:r>
      <w:r>
        <w:rPr>
          <w:snapToGrid w:val="0"/>
        </w:rPr>
        <w:tab/>
        <w:t>Board a body corporate</w:t>
      </w:r>
      <w:bookmarkEnd w:id="73"/>
      <w:bookmarkEnd w:id="74"/>
      <w:bookmarkEnd w:id="75"/>
      <w:bookmarkEnd w:id="76"/>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77" w:name="_Toc411311973"/>
      <w:bookmarkStart w:id="78" w:name="_Toc516381096"/>
      <w:bookmarkStart w:id="79" w:name="_Toc157922032"/>
      <w:bookmarkStart w:id="80" w:name="_Toc125866910"/>
      <w:r>
        <w:rPr>
          <w:rStyle w:val="CharSectno"/>
        </w:rPr>
        <w:t>8</w:t>
      </w:r>
      <w:r>
        <w:rPr>
          <w:snapToGrid w:val="0"/>
        </w:rPr>
        <w:t>.</w:t>
      </w:r>
      <w:r>
        <w:rPr>
          <w:snapToGrid w:val="0"/>
        </w:rPr>
        <w:tab/>
        <w:t>Contracts</w:t>
      </w:r>
      <w:bookmarkEnd w:id="77"/>
      <w:bookmarkEnd w:id="78"/>
      <w:bookmarkEnd w:id="79"/>
      <w:bookmarkEnd w:id="80"/>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by No. 20 of 1955 s. 8.]</w:t>
      </w:r>
    </w:p>
    <w:p>
      <w:pPr>
        <w:pStyle w:val="Heading5"/>
        <w:rPr>
          <w:snapToGrid w:val="0"/>
        </w:rPr>
      </w:pPr>
      <w:bookmarkStart w:id="81" w:name="_Toc411311974"/>
      <w:bookmarkStart w:id="82" w:name="_Toc516381097"/>
      <w:bookmarkStart w:id="83" w:name="_Toc157922033"/>
      <w:bookmarkStart w:id="84" w:name="_Toc125866911"/>
      <w:r>
        <w:rPr>
          <w:rStyle w:val="CharSectno"/>
        </w:rPr>
        <w:t>9</w:t>
      </w:r>
      <w:r>
        <w:rPr>
          <w:snapToGrid w:val="0"/>
        </w:rPr>
        <w:t>.</w:t>
      </w:r>
      <w:r>
        <w:rPr>
          <w:snapToGrid w:val="0"/>
        </w:rPr>
        <w:tab/>
        <w:t>Protection of members of Board, officers, etc.</w:t>
      </w:r>
      <w:bookmarkEnd w:id="81"/>
      <w:bookmarkEnd w:id="82"/>
      <w:bookmarkEnd w:id="83"/>
      <w:bookmarkEnd w:id="84"/>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85" w:name="_Toc411311975"/>
      <w:bookmarkStart w:id="86" w:name="_Toc516381098"/>
      <w:bookmarkStart w:id="87" w:name="_Toc157922034"/>
      <w:bookmarkStart w:id="88" w:name="_Toc125866912"/>
      <w:r>
        <w:rPr>
          <w:rStyle w:val="CharSectno"/>
        </w:rPr>
        <w:t>10</w:t>
      </w:r>
      <w:r>
        <w:rPr>
          <w:snapToGrid w:val="0"/>
        </w:rPr>
        <w:t>.</w:t>
      </w:r>
      <w:r>
        <w:rPr>
          <w:snapToGrid w:val="0"/>
        </w:rPr>
        <w:tab/>
        <w:t>Judicial notice of common seal</w:t>
      </w:r>
      <w:bookmarkEnd w:id="85"/>
      <w:bookmarkEnd w:id="86"/>
      <w:bookmarkEnd w:id="87"/>
      <w:bookmarkEnd w:id="88"/>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89" w:name="_Toc411311976"/>
      <w:bookmarkStart w:id="90" w:name="_Toc516381099"/>
      <w:bookmarkStart w:id="91" w:name="_Toc157922035"/>
      <w:bookmarkStart w:id="92" w:name="_Toc125866913"/>
      <w:r>
        <w:rPr>
          <w:rStyle w:val="CharSectno"/>
        </w:rPr>
        <w:t>11</w:t>
      </w:r>
      <w:r>
        <w:rPr>
          <w:snapToGrid w:val="0"/>
        </w:rPr>
        <w:t>.</w:t>
      </w:r>
      <w:r>
        <w:rPr>
          <w:snapToGrid w:val="0"/>
        </w:rPr>
        <w:tab/>
        <w:t>Documents, how authenticated</w:t>
      </w:r>
      <w:bookmarkEnd w:id="89"/>
      <w:bookmarkEnd w:id="90"/>
      <w:bookmarkEnd w:id="91"/>
      <w:bookmarkEnd w:id="92"/>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93" w:name="_Toc411311977"/>
      <w:bookmarkStart w:id="94" w:name="_Toc516381100"/>
      <w:bookmarkStart w:id="95" w:name="_Toc157922036"/>
      <w:bookmarkStart w:id="96" w:name="_Toc125866914"/>
      <w:r>
        <w:rPr>
          <w:rStyle w:val="CharSectno"/>
        </w:rPr>
        <w:t>12</w:t>
      </w:r>
      <w:r>
        <w:rPr>
          <w:snapToGrid w:val="0"/>
        </w:rPr>
        <w:t>.</w:t>
      </w:r>
      <w:r>
        <w:rPr>
          <w:snapToGrid w:val="0"/>
        </w:rPr>
        <w:tab/>
        <w:t>Power of officer to represent Board</w:t>
      </w:r>
      <w:bookmarkEnd w:id="93"/>
      <w:bookmarkEnd w:id="94"/>
      <w:bookmarkEnd w:id="95"/>
      <w:bookmarkEnd w:id="96"/>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[Section 12 amended by No. 59 of 2004 s. 141.]</w:t>
      </w:r>
    </w:p>
    <w:p>
      <w:pPr>
        <w:pStyle w:val="Heading5"/>
        <w:rPr>
          <w:snapToGrid w:val="0"/>
        </w:rPr>
      </w:pPr>
      <w:bookmarkStart w:id="97" w:name="_Toc411311978"/>
      <w:bookmarkStart w:id="98" w:name="_Toc516381101"/>
      <w:bookmarkStart w:id="99" w:name="_Toc157922037"/>
      <w:bookmarkStart w:id="100" w:name="_Toc125866915"/>
      <w:r>
        <w:rPr>
          <w:rStyle w:val="CharSectno"/>
        </w:rPr>
        <w:t>13</w:t>
      </w:r>
      <w:r>
        <w:rPr>
          <w:snapToGrid w:val="0"/>
        </w:rPr>
        <w:t>.</w:t>
      </w:r>
      <w:r>
        <w:rPr>
          <w:snapToGrid w:val="0"/>
        </w:rPr>
        <w:tab/>
        <w:t>Proof of certain matters not required</w:t>
      </w:r>
      <w:bookmarkEnd w:id="97"/>
      <w:bookmarkEnd w:id="98"/>
      <w:bookmarkEnd w:id="99"/>
      <w:bookmarkEnd w:id="100"/>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by No. 75 of 1987 s. 6.]</w:t>
      </w:r>
    </w:p>
    <w:p>
      <w:pPr>
        <w:pStyle w:val="Heading5"/>
        <w:rPr>
          <w:snapToGrid w:val="0"/>
        </w:rPr>
      </w:pPr>
      <w:bookmarkStart w:id="101" w:name="_Toc411311979"/>
      <w:bookmarkStart w:id="102" w:name="_Toc516381102"/>
      <w:bookmarkStart w:id="103" w:name="_Toc157922038"/>
      <w:bookmarkStart w:id="104" w:name="_Toc125866916"/>
      <w:r>
        <w:rPr>
          <w:rStyle w:val="CharSectno"/>
        </w:rPr>
        <w:t>14</w:t>
      </w:r>
      <w:r>
        <w:rPr>
          <w:snapToGrid w:val="0"/>
        </w:rPr>
        <w:t>.</w:t>
      </w:r>
      <w:r>
        <w:rPr>
          <w:snapToGrid w:val="0"/>
        </w:rPr>
        <w:tab/>
        <w:t>Evidence of documents issued by the Board</w:t>
      </w:r>
      <w:bookmarkEnd w:id="101"/>
      <w:bookmarkEnd w:id="102"/>
      <w:bookmarkEnd w:id="103"/>
      <w:bookmarkEnd w:id="104"/>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105" w:name="_Toc411311980"/>
      <w:bookmarkStart w:id="106" w:name="_Toc516381103"/>
      <w:bookmarkStart w:id="107" w:name="_Toc157922039"/>
      <w:bookmarkStart w:id="108" w:name="_Toc125866917"/>
      <w:r>
        <w:rPr>
          <w:rStyle w:val="CharSectno"/>
        </w:rPr>
        <w:t>15</w:t>
      </w:r>
      <w:r>
        <w:rPr>
          <w:snapToGrid w:val="0"/>
        </w:rPr>
        <w:t>.</w:t>
      </w:r>
      <w:r>
        <w:rPr>
          <w:snapToGrid w:val="0"/>
        </w:rPr>
        <w:tab/>
        <w:t>Functions and powers of the Board</w:t>
      </w:r>
      <w:bookmarkEnd w:id="105"/>
      <w:bookmarkEnd w:id="106"/>
      <w:bookmarkEnd w:id="107"/>
      <w:bookmarkEnd w:id="108"/>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[Section 15 amended by No. 20 of 1955 s. 9; No. 29 of 1974 s. 5.]</w:t>
      </w:r>
    </w:p>
    <w:p>
      <w:pPr>
        <w:pStyle w:val="Heading5"/>
        <w:rPr>
          <w:snapToGrid w:val="0"/>
        </w:rPr>
      </w:pPr>
      <w:bookmarkStart w:id="109" w:name="_Toc411311981"/>
      <w:bookmarkStart w:id="110" w:name="_Toc516381104"/>
      <w:bookmarkStart w:id="111" w:name="_Toc157922040"/>
      <w:bookmarkStart w:id="112" w:name="_Toc125866918"/>
      <w:r>
        <w:rPr>
          <w:rStyle w:val="CharSectno"/>
        </w:rPr>
        <w:t>16</w:t>
      </w:r>
      <w:r>
        <w:rPr>
          <w:snapToGrid w:val="0"/>
        </w:rPr>
        <w:t>.</w:t>
      </w:r>
      <w:r>
        <w:rPr>
          <w:snapToGrid w:val="0"/>
        </w:rPr>
        <w:tab/>
        <w:t>Financial provisions</w:t>
      </w:r>
      <w:bookmarkEnd w:id="109"/>
      <w:bookmarkEnd w:id="110"/>
      <w:bookmarkEnd w:id="111"/>
      <w:bookmarkEnd w:id="112"/>
    </w:p>
    <w:p>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 xml:space="preserve">the proceeds of investment of any part of the </w:t>
      </w:r>
      <w:del w:id="113" w:author="svcMRProcess" w:date="2015-12-08T09:16:00Z">
        <w:r>
          <w:rPr>
            <w:snapToGrid w:val="0"/>
          </w:rPr>
          <w:delText>Fund</w:delText>
        </w:r>
      </w:del>
      <w:ins w:id="114" w:author="svcMRProcess" w:date="2015-12-08T09:16:00Z">
        <w:r>
          <w:rPr>
            <w:snapToGrid w:val="0"/>
          </w:rPr>
          <w:t>Account</w:t>
        </w:r>
      </w:ins>
      <w:r>
        <w:rPr>
          <w:snapToGrid w:val="0"/>
        </w:rPr>
        <w:t xml:space="preserve">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rPr>
          <w:ins w:id="115" w:author="svcMRProcess" w:date="2015-12-08T09:16:00Z"/>
        </w:rPr>
      </w:pPr>
      <w:r>
        <w:tab/>
        <w:t>(2)</w:t>
      </w:r>
      <w:r>
        <w:tab/>
        <w:t xml:space="preserve">All such moneys </w:t>
      </w:r>
      <w:del w:id="116" w:author="svcMRProcess" w:date="2015-12-08T09:16:00Z">
        <w:r>
          <w:rPr>
            <w:snapToGrid w:val="0"/>
          </w:rPr>
          <w:delText>shall</w:delText>
        </w:r>
      </w:del>
      <w:ins w:id="117" w:author="svcMRProcess" w:date="2015-12-08T09:16:00Z">
        <w:r>
          <w:t xml:space="preserve">are — </w:t>
        </w:r>
      </w:ins>
    </w:p>
    <w:p>
      <w:pPr>
        <w:pStyle w:val="Indenta"/>
        <w:rPr>
          <w:ins w:id="118" w:author="svcMRProcess" w:date="2015-12-08T09:16:00Z"/>
        </w:rPr>
      </w:pPr>
      <w:ins w:id="119" w:author="svcMRProcess" w:date="2015-12-08T09:16:00Z">
        <w:r>
          <w:tab/>
          <w:t>(a)</w:t>
        </w:r>
        <w:r>
          <w:tab/>
          <w:t>to</w:t>
        </w:r>
      </w:ins>
      <w:r>
        <w:t xml:space="preserve"> be credited to an </w:t>
      </w:r>
      <w:ins w:id="120" w:author="svcMRProcess" w:date="2015-12-08T09:16:00Z">
        <w:r>
          <w:t xml:space="preserve">agency special purpose </w:t>
        </w:r>
      </w:ins>
      <w:r>
        <w:t xml:space="preserve">account </w:t>
      </w:r>
      <w:del w:id="121" w:author="svcMRProcess" w:date="2015-12-08T09:16:00Z">
        <w:r>
          <w:rPr>
            <w:snapToGrid w:val="0"/>
          </w:rPr>
          <w:delText xml:space="preserve">to be kept at the Treasury, forming part of the Trust Fund constituted under section 9 of the </w:delText>
        </w:r>
        <w:r>
          <w:rPr>
            <w:i/>
            <w:snapToGrid w:val="0"/>
          </w:rPr>
          <w:delText>Financial Administration and Audit Act 1985</w:delText>
        </w:r>
        <w:r>
          <w:rPr>
            <w:snapToGrid w:val="0"/>
          </w:rPr>
          <w:delText xml:space="preserve">, and </w:delText>
        </w:r>
      </w:del>
      <w:r>
        <w:t xml:space="preserve">called The Library Board of Western Australia </w:t>
      </w:r>
      <w:del w:id="122" w:author="svcMRProcess" w:date="2015-12-08T09:16:00Z">
        <w:r>
          <w:rPr>
            <w:snapToGrid w:val="0"/>
          </w:rPr>
          <w:delText xml:space="preserve">Fund and shall be </w:delText>
        </w:r>
      </w:del>
      <w:ins w:id="123" w:author="svcMRProcess" w:date="2015-12-08T09:16:00Z">
        <w:r>
          <w:t xml:space="preserve">Account established under section 16 of the </w:t>
        </w:r>
        <w:r>
          <w:rPr>
            <w:i/>
          </w:rPr>
          <w:t>Financial Management Act 2006</w:t>
        </w:r>
        <w:r>
          <w:t>; and</w:t>
        </w:r>
      </w:ins>
    </w:p>
    <w:p>
      <w:pPr>
        <w:pStyle w:val="Indenta"/>
      </w:pPr>
      <w:ins w:id="124" w:author="svcMRProcess" w:date="2015-12-08T09:16:00Z">
        <w:r>
          <w:tab/>
          <w:t>(b)</w:t>
        </w:r>
        <w:r>
          <w:tab/>
          <w:t xml:space="preserve">to be </w:t>
        </w:r>
      </w:ins>
      <w:r>
        <w:t>applied to the purposes of this Act.</w:t>
      </w:r>
    </w:p>
    <w:p>
      <w:pPr>
        <w:pStyle w:val="Subsection"/>
        <w:rPr>
          <w:snapToGrid w:val="0"/>
        </w:rPr>
      </w:pPr>
      <w:r>
        <w:rPr>
          <w:snapToGrid w:val="0"/>
        </w:rPr>
        <w:tab/>
        <w:t>(3)</w:t>
      </w:r>
      <w:r>
        <w:rPr>
          <w:snapToGrid w:val="0"/>
        </w:rPr>
        <w:tab/>
        <w:t xml:space="preserve">The </w:t>
      </w:r>
      <w:del w:id="125" w:author="svcMRProcess" w:date="2015-12-08T09:16:00Z">
        <w:r>
          <w:rPr>
            <w:snapToGrid w:val="0"/>
          </w:rPr>
          <w:delText>Fund</w:delText>
        </w:r>
      </w:del>
      <w:ins w:id="126" w:author="svcMRProcess" w:date="2015-12-08T09:16:00Z">
        <w:r>
          <w:rPr>
            <w:snapToGrid w:val="0"/>
          </w:rPr>
          <w:t>Account</w:t>
        </w:r>
      </w:ins>
      <w:r>
        <w:rPr>
          <w:snapToGrid w:val="0"/>
        </w:rPr>
        <w:t xml:space="preserve"> shall be operated upon in such manner as may be prescribed.</w:t>
      </w:r>
    </w:p>
    <w:p>
      <w:pPr>
        <w:pStyle w:val="Subsection"/>
        <w:rPr>
          <w:snapToGrid w:val="0"/>
        </w:rPr>
      </w:pPr>
      <w:r>
        <w:rPr>
          <w:snapToGrid w:val="0"/>
        </w:rPr>
        <w:tab/>
        <w:t>(4)</w:t>
      </w:r>
      <w:r>
        <w:rPr>
          <w:snapToGrid w:val="0"/>
        </w:rPr>
        <w:tab/>
        <w:t xml:space="preserve">Without other authorisation than this Act, the sum of $10 000 is hereby appropriated from the Consolidated </w:t>
      </w:r>
      <w:del w:id="127" w:author="svcMRProcess" w:date="2015-12-08T09:16:00Z">
        <w:r>
          <w:rPr>
            <w:snapToGrid w:val="0"/>
          </w:rPr>
          <w:delText>Fund</w:delText>
        </w:r>
      </w:del>
      <w:ins w:id="128" w:author="svcMRProcess" w:date="2015-12-08T09:16:00Z">
        <w:r>
          <w:rPr>
            <w:snapToGrid w:val="0"/>
          </w:rPr>
          <w:t>Account</w:t>
        </w:r>
      </w:ins>
      <w:r>
        <w:rPr>
          <w:snapToGrid w:val="0"/>
        </w:rPr>
        <w:t xml:space="preserve"> for payment to the Board for carrying out the provisions of this Act during the first year of the operation of this Act.</w:t>
      </w:r>
    </w:p>
    <w:p>
      <w:pPr>
        <w:pStyle w:val="Footnotesection"/>
      </w:pPr>
      <w:r>
        <w:tab/>
        <w:t>[Section 16 amended by No. 20 of 1955 s. 10; No. 113 of 1965 s. 4; No. 6 of 1993 s. 11; No. 49 of 1996 s. </w:t>
      </w:r>
      <w:del w:id="129" w:author="svcMRProcess" w:date="2015-12-08T09:16:00Z">
        <w:r>
          <w:delText>64</w:delText>
        </w:r>
      </w:del>
      <w:ins w:id="130" w:author="svcMRProcess" w:date="2015-12-08T09:16:00Z">
        <w:r>
          <w:t>64; No. 77 of 2006 s. 4 and 17</w:t>
        </w:r>
      </w:ins>
      <w:r>
        <w:t>.]</w:t>
      </w:r>
    </w:p>
    <w:p>
      <w:pPr>
        <w:pStyle w:val="Heading5"/>
        <w:rPr>
          <w:snapToGrid w:val="0"/>
        </w:rPr>
      </w:pPr>
      <w:bookmarkStart w:id="131" w:name="_Toc411311982"/>
      <w:bookmarkStart w:id="132" w:name="_Toc516381105"/>
      <w:bookmarkStart w:id="133" w:name="_Toc157922041"/>
      <w:bookmarkStart w:id="134" w:name="_Toc125866919"/>
      <w:r>
        <w:rPr>
          <w:rStyle w:val="CharSectno"/>
        </w:rPr>
        <w:t>17</w:t>
      </w:r>
      <w:r>
        <w:rPr>
          <w:snapToGrid w:val="0"/>
        </w:rPr>
        <w:t>.</w:t>
      </w:r>
      <w:r>
        <w:rPr>
          <w:snapToGrid w:val="0"/>
        </w:rPr>
        <w:tab/>
        <w:t>Temporary investment</w:t>
      </w:r>
      <w:bookmarkEnd w:id="131"/>
      <w:bookmarkEnd w:id="132"/>
      <w:bookmarkEnd w:id="133"/>
      <w:bookmarkEnd w:id="134"/>
    </w:p>
    <w:p>
      <w:pPr>
        <w:pStyle w:val="Subsection"/>
        <w:rPr>
          <w:snapToGrid w:val="0"/>
        </w:rPr>
      </w:pPr>
      <w:r>
        <w:rPr>
          <w:snapToGrid w:val="0"/>
        </w:rPr>
        <w:tab/>
      </w:r>
      <w:r>
        <w:rPr>
          <w:snapToGrid w:val="0"/>
        </w:rPr>
        <w:tab/>
        <w:t xml:space="preserve">All moneys standing to the credit of the </w:t>
      </w:r>
      <w:del w:id="135" w:author="svcMRProcess" w:date="2015-12-08T09:16:00Z">
        <w:r>
          <w:rPr>
            <w:snapToGrid w:val="0"/>
          </w:rPr>
          <w:delText>Fund</w:delText>
        </w:r>
      </w:del>
      <w:ins w:id="136" w:author="svcMRProcess" w:date="2015-12-08T09:16:00Z">
        <w:r>
          <w:rPr>
            <w:snapToGrid w:val="0"/>
          </w:rPr>
          <w:t>Account</w:t>
        </w:r>
      </w:ins>
      <w:r>
        <w:rPr>
          <w:snapToGrid w:val="0"/>
        </w:rPr>
        <w:t xml:space="preserve">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rPr>
        <w:t xml:space="preserve">Financial </w:t>
      </w:r>
      <w:del w:id="137" w:author="svcMRProcess" w:date="2015-12-08T09:16:00Z">
        <w:r>
          <w:rPr>
            <w:i/>
            <w:snapToGrid w:val="0"/>
          </w:rPr>
          <w:delText>Administration and Audit</w:delText>
        </w:r>
      </w:del>
      <w:ins w:id="138" w:author="svcMRProcess" w:date="2015-12-08T09:16:00Z">
        <w:r>
          <w:rPr>
            <w:i/>
          </w:rPr>
          <w:t>Management</w:t>
        </w:r>
      </w:ins>
      <w:r>
        <w:rPr>
          <w:i/>
        </w:rPr>
        <w:t xml:space="preserve"> Act </w:t>
      </w:r>
      <w:del w:id="139" w:author="svcMRProcess" w:date="2015-12-08T09:16:00Z">
        <w:r>
          <w:rPr>
            <w:i/>
            <w:snapToGrid w:val="0"/>
          </w:rPr>
          <w:delText>1985</w:delText>
        </w:r>
      </w:del>
      <w:ins w:id="140" w:author="svcMRProcess" w:date="2015-12-08T09:16:00Z">
        <w:r>
          <w:rPr>
            <w:i/>
          </w:rPr>
          <w:t>2006</w:t>
        </w:r>
      </w:ins>
      <w:r>
        <w:t xml:space="preserve"> </w:t>
      </w:r>
      <w:r>
        <w:rPr>
          <w:snapToGrid w:val="0"/>
        </w:rPr>
        <w:t xml:space="preserve">may lawfully be invested, and all interest derived from such investment shall be credited to the </w:t>
      </w:r>
      <w:del w:id="141" w:author="svcMRProcess" w:date="2015-12-08T09:16:00Z">
        <w:r>
          <w:rPr>
            <w:snapToGrid w:val="0"/>
          </w:rPr>
          <w:delText>Fund</w:delText>
        </w:r>
      </w:del>
      <w:ins w:id="142" w:author="svcMRProcess" w:date="2015-12-08T09:16:00Z">
        <w:r>
          <w:rPr>
            <w:snapToGrid w:val="0"/>
          </w:rPr>
          <w:t>Account</w:t>
        </w:r>
      </w:ins>
      <w:r>
        <w:rPr>
          <w:snapToGrid w:val="0"/>
        </w:rPr>
        <w:t>.</w:t>
      </w:r>
    </w:p>
    <w:p>
      <w:pPr>
        <w:pStyle w:val="Footnotesection"/>
      </w:pPr>
      <w:r>
        <w:tab/>
        <w:t>[Section 17 amended by No. 98 of 1985 s. 3; No. 49 of 1996 s. </w:t>
      </w:r>
      <w:del w:id="143" w:author="svcMRProcess" w:date="2015-12-08T09:16:00Z">
        <w:r>
          <w:delText>64</w:delText>
        </w:r>
      </w:del>
      <w:ins w:id="144" w:author="svcMRProcess" w:date="2015-12-08T09:16:00Z">
        <w:r>
          <w:t>64; No. 77 of 2006 s. 17</w:t>
        </w:r>
      </w:ins>
      <w:r>
        <w:t>.]</w:t>
      </w:r>
    </w:p>
    <w:p>
      <w:pPr>
        <w:pStyle w:val="Heading5"/>
        <w:rPr>
          <w:snapToGrid w:val="0"/>
        </w:rPr>
      </w:pPr>
      <w:bookmarkStart w:id="145" w:name="_Toc411311983"/>
      <w:bookmarkStart w:id="146" w:name="_Toc516381106"/>
      <w:bookmarkStart w:id="147" w:name="_Toc157922042"/>
      <w:bookmarkStart w:id="148" w:name="_Toc125866920"/>
      <w:r>
        <w:rPr>
          <w:rStyle w:val="CharSectno"/>
        </w:rPr>
        <w:t>18</w:t>
      </w:r>
      <w:r>
        <w:rPr>
          <w:snapToGrid w:val="0"/>
        </w:rPr>
        <w:t>.</w:t>
      </w:r>
      <w:r>
        <w:rPr>
          <w:snapToGrid w:val="0"/>
        </w:rPr>
        <w:tab/>
        <w:t>Financial assistance</w:t>
      </w:r>
      <w:bookmarkEnd w:id="145"/>
      <w:bookmarkEnd w:id="146"/>
      <w:bookmarkEnd w:id="147"/>
      <w:bookmarkEnd w:id="148"/>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by No. 20 of 1955 s. 11; No. 113 of 1965 s. 4; No. 14 of 1996 s. 4.]</w:t>
      </w:r>
    </w:p>
    <w:p>
      <w:pPr>
        <w:pStyle w:val="Heading5"/>
        <w:rPr>
          <w:snapToGrid w:val="0"/>
        </w:rPr>
      </w:pPr>
      <w:bookmarkStart w:id="149" w:name="_Toc411311984"/>
      <w:bookmarkStart w:id="150" w:name="_Toc516381107"/>
      <w:bookmarkStart w:id="151" w:name="_Toc157922043"/>
      <w:bookmarkStart w:id="152" w:name="_Toc125866921"/>
      <w:r>
        <w:rPr>
          <w:rStyle w:val="CharSectno"/>
        </w:rPr>
        <w:t>19</w:t>
      </w:r>
      <w:r>
        <w:rPr>
          <w:snapToGrid w:val="0"/>
        </w:rPr>
        <w:t>.</w:t>
      </w:r>
      <w:r>
        <w:rPr>
          <w:snapToGrid w:val="0"/>
        </w:rPr>
        <w:tab/>
        <w:t>Rating powers of local government</w:t>
      </w:r>
      <w:bookmarkEnd w:id="149"/>
      <w:bookmarkEnd w:id="150"/>
      <w:bookmarkEnd w:id="151"/>
      <w:bookmarkEnd w:id="152"/>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 12; No. 113 of 1965 s. 4; No. 29 of 1974 s. 6; No. 14 of 1996 s. 4.]</w:t>
      </w:r>
    </w:p>
    <w:p>
      <w:pPr>
        <w:pStyle w:val="Heading5"/>
        <w:rPr>
          <w:snapToGrid w:val="0"/>
        </w:rPr>
      </w:pPr>
      <w:bookmarkStart w:id="153" w:name="_Toc411311985"/>
      <w:bookmarkStart w:id="154" w:name="_Toc516381108"/>
      <w:bookmarkStart w:id="155" w:name="_Toc125866922"/>
      <w:bookmarkStart w:id="156" w:name="_Toc157922044"/>
      <w:r>
        <w:rPr>
          <w:rStyle w:val="CharSectno"/>
        </w:rPr>
        <w:t>20</w:t>
      </w:r>
      <w:r>
        <w:rPr>
          <w:i/>
          <w:snapToGrid w:val="0"/>
        </w:rPr>
        <w:t>.</w:t>
      </w:r>
      <w:r>
        <w:rPr>
          <w:i/>
          <w:snapToGrid w:val="0"/>
        </w:rPr>
        <w:tab/>
      </w:r>
      <w:r>
        <w:rPr>
          <w:snapToGrid w:val="0"/>
        </w:rPr>
        <w:t>Application of</w:t>
      </w:r>
      <w:r>
        <w:rPr>
          <w:i/>
          <w:snapToGrid w:val="0"/>
        </w:rPr>
        <w:t xml:space="preserve"> </w:t>
      </w:r>
      <w:bookmarkEnd w:id="153"/>
      <w:bookmarkEnd w:id="154"/>
      <w:r>
        <w:rPr>
          <w:i/>
        </w:rPr>
        <w:t xml:space="preserve">Financial </w:t>
      </w:r>
      <w:del w:id="157" w:author="svcMRProcess" w:date="2015-12-08T09:16:00Z">
        <w:r>
          <w:rPr>
            <w:i/>
            <w:snapToGrid w:val="0"/>
          </w:rPr>
          <w:delText>Administration and Audit Act 1985</w:delText>
        </w:r>
      </w:del>
      <w:bookmarkEnd w:id="155"/>
      <w:ins w:id="158" w:author="svcMRProcess" w:date="2015-12-08T09:16:00Z">
        <w:r>
          <w:rPr>
            <w:i/>
          </w:rPr>
          <w:t>Management Act 2006</w:t>
        </w:r>
        <w:r>
          <w:t xml:space="preserve"> and </w:t>
        </w:r>
        <w:r>
          <w:rPr>
            <w:i/>
          </w:rPr>
          <w:t>Auditor General Act 2006</w:t>
        </w:r>
      </w:ins>
      <w:bookmarkEnd w:id="156"/>
    </w:p>
    <w:p>
      <w:pPr>
        <w:pStyle w:val="Subsection"/>
        <w:rPr>
          <w:snapToGrid w:val="0"/>
        </w:rPr>
      </w:pPr>
      <w:r>
        <w:rPr>
          <w:snapToGrid w:val="0"/>
        </w:rPr>
        <w:tab/>
      </w:r>
      <w:r>
        <w:rPr>
          <w:snapToGrid w:val="0"/>
        </w:rPr>
        <w:tab/>
        <w:t xml:space="preserve">The provisions of the </w:t>
      </w:r>
      <w:r>
        <w:rPr>
          <w:i/>
        </w:rPr>
        <w:t xml:space="preserve">Financial </w:t>
      </w:r>
      <w:del w:id="159" w:author="svcMRProcess" w:date="2015-12-08T09:16:00Z">
        <w:r>
          <w:rPr>
            <w:i/>
            <w:snapToGrid w:val="0"/>
          </w:rPr>
          <w:delText>Administration</w:delText>
        </w:r>
      </w:del>
      <w:ins w:id="160" w:author="svcMRProcess" w:date="2015-12-08T09:16:00Z">
        <w:r>
          <w:rPr>
            <w:i/>
          </w:rPr>
          <w:t>Management Act 2006</w:t>
        </w:r>
      </w:ins>
      <w:r>
        <w:t xml:space="preserve"> and </w:t>
      </w:r>
      <w:del w:id="161" w:author="svcMRProcess" w:date="2015-12-08T09:16:00Z">
        <w:r>
          <w:rPr>
            <w:i/>
            <w:snapToGrid w:val="0"/>
          </w:rPr>
          <w:delText>Audit</w:delText>
        </w:r>
      </w:del>
      <w:ins w:id="162" w:author="svcMRProcess" w:date="2015-12-08T09:16:00Z">
        <w:r>
          <w:t xml:space="preserve">the </w:t>
        </w:r>
        <w:r>
          <w:rPr>
            <w:i/>
          </w:rPr>
          <w:t>Auditor General</w:t>
        </w:r>
      </w:ins>
      <w:r>
        <w:rPr>
          <w:i/>
        </w:rPr>
        <w:t xml:space="preserve"> Act </w:t>
      </w:r>
      <w:del w:id="163" w:author="svcMRProcess" w:date="2015-12-08T09:16:00Z">
        <w:r>
          <w:rPr>
            <w:i/>
            <w:snapToGrid w:val="0"/>
          </w:rPr>
          <w:delText>1985</w:delText>
        </w:r>
      </w:del>
      <w:ins w:id="164" w:author="svcMRProcess" w:date="2015-12-08T09:16:00Z">
        <w:r>
          <w:rPr>
            <w:i/>
          </w:rPr>
          <w:t>2006</w:t>
        </w:r>
      </w:ins>
      <w:r>
        <w:rPr>
          <w:i/>
        </w:rPr>
        <w:t xml:space="preserve"> </w:t>
      </w:r>
      <w:r>
        <w:rPr>
          <w:snapToGrid w:val="0"/>
        </w:rPr>
        <w:t>regulating the financial administration, audit and reporting of statutory authorities apply to and in respect of the Board and its operations.</w:t>
      </w:r>
    </w:p>
    <w:p>
      <w:pPr>
        <w:pStyle w:val="Footnotesection"/>
      </w:pPr>
      <w:r>
        <w:tab/>
        <w:t>[Section 20 inserted by No. 98 of 1985 s. </w:t>
      </w:r>
      <w:del w:id="165" w:author="svcMRProcess" w:date="2015-12-08T09:16:00Z">
        <w:r>
          <w:delText>3</w:delText>
        </w:r>
      </w:del>
      <w:ins w:id="166" w:author="svcMRProcess" w:date="2015-12-08T09:16:00Z">
        <w:r>
          <w:t>3; amended by No. 77 of 2006 s. 17</w:t>
        </w:r>
      </w:ins>
      <w:r>
        <w:t>.]</w:t>
      </w:r>
    </w:p>
    <w:p>
      <w:pPr>
        <w:pStyle w:val="Heading5"/>
        <w:rPr>
          <w:snapToGrid w:val="0"/>
        </w:rPr>
      </w:pPr>
      <w:bookmarkStart w:id="167" w:name="_Toc411311986"/>
      <w:bookmarkStart w:id="168" w:name="_Toc516381109"/>
      <w:bookmarkStart w:id="169" w:name="_Toc157922045"/>
      <w:bookmarkStart w:id="170" w:name="_Toc125866923"/>
      <w:r>
        <w:rPr>
          <w:rStyle w:val="CharSectno"/>
        </w:rPr>
        <w:t>20A</w:t>
      </w:r>
      <w:r>
        <w:rPr>
          <w:snapToGrid w:val="0"/>
        </w:rPr>
        <w:t>.</w:t>
      </w:r>
      <w:r>
        <w:rPr>
          <w:snapToGrid w:val="0"/>
        </w:rPr>
        <w:tab/>
        <w:t>Transition provisions relating to transfer of Public Library to the Board</w:t>
      </w:r>
      <w:bookmarkEnd w:id="167"/>
      <w:bookmarkEnd w:id="168"/>
      <w:bookmarkEnd w:id="169"/>
      <w:bookmarkEnd w:id="170"/>
    </w:p>
    <w:p>
      <w:pPr>
        <w:pStyle w:val="Subsection"/>
        <w:rPr>
          <w:snapToGrid w:val="0"/>
        </w:rPr>
      </w:pPr>
      <w:r>
        <w:rPr>
          <w:snapToGrid w:val="0"/>
        </w:rPr>
        <w:tab/>
        <w:t>(1)</w:t>
      </w:r>
      <w:r>
        <w:rPr>
          <w:snapToGrid w:val="0"/>
        </w:rPr>
        <w:tab/>
        <w:t>In this section unless the context requires otherwise —</w:t>
      </w:r>
    </w:p>
    <w:p>
      <w:pPr>
        <w:pStyle w:val="Defstart"/>
      </w:pPr>
      <w:r>
        <w:rPr>
          <w:b/>
        </w:rPr>
        <w:tab/>
      </w:r>
      <w:del w:id="171" w:author="svcMRProcess" w:date="2015-12-08T09:16:00Z">
        <w:r>
          <w:rPr>
            <w:b/>
          </w:rPr>
          <w:delText>“</w:delText>
        </w:r>
      </w:del>
      <w:r>
        <w:rPr>
          <w:rStyle w:val="CharDefText"/>
        </w:rPr>
        <w:t>appointed day</w:t>
      </w:r>
      <w:del w:id="172" w:author="svcMRProcess" w:date="2015-12-08T09:16:00Z">
        <w:r>
          <w:rPr>
            <w:b/>
          </w:rPr>
          <w:delText>”</w:delText>
        </w:r>
      </w:del>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r>
      <w:del w:id="173" w:author="svcMRProcess" w:date="2015-12-08T09:16:00Z">
        <w:r>
          <w:rPr>
            <w:b/>
          </w:rPr>
          <w:delText>“</w:delText>
        </w:r>
      </w:del>
      <w:r>
        <w:rPr>
          <w:rStyle w:val="CharDefText"/>
        </w:rPr>
        <w:t>Public Library</w:t>
      </w:r>
      <w:del w:id="174" w:author="svcMRProcess" w:date="2015-12-08T09:16:00Z">
        <w:r>
          <w:rPr>
            <w:b/>
          </w:rPr>
          <w:delText>”</w:delText>
        </w:r>
      </w:del>
      <w:r>
        <w:t xml:space="preserve"> means the Public Library of Western Australia mentioned in the Public Library Act;</w:t>
      </w:r>
    </w:p>
    <w:p>
      <w:pPr>
        <w:pStyle w:val="Defstart"/>
      </w:pPr>
      <w:r>
        <w:rPr>
          <w:b/>
        </w:rPr>
        <w:tab/>
      </w:r>
      <w:del w:id="175" w:author="svcMRProcess" w:date="2015-12-08T09:16:00Z">
        <w:r>
          <w:rPr>
            <w:b/>
          </w:rPr>
          <w:delText>“</w:delText>
        </w:r>
      </w:del>
      <w:r>
        <w:rPr>
          <w:rStyle w:val="CharDefText"/>
        </w:rPr>
        <w:t>Public Library Act</w:t>
      </w:r>
      <w:del w:id="176" w:author="svcMRProcess" w:date="2015-12-08T09:16:00Z">
        <w:r>
          <w:rPr>
            <w:b/>
          </w:rPr>
          <w:delText>”</w:delText>
        </w:r>
      </w:del>
      <w:r>
        <w:t xml:space="preserve"> means the </w:t>
      </w:r>
      <w:r>
        <w:rPr>
          <w:i/>
        </w:rPr>
        <w:t>Public Library, Museum, and Art Gallery of Western Australia Act 1911</w:t>
      </w:r>
      <w:r>
        <w:t xml:space="preserve"> </w:t>
      </w:r>
      <w:r>
        <w:rPr>
          <w:vertAlign w:val="superscript"/>
        </w:rPr>
        <w:t>6</w:t>
      </w:r>
      <w:r>
        <w:t>;</w:t>
      </w:r>
    </w:p>
    <w:p>
      <w:pPr>
        <w:pStyle w:val="Defstart"/>
      </w:pPr>
      <w:r>
        <w:rPr>
          <w:b/>
        </w:rPr>
        <w:tab/>
      </w:r>
      <w:bookmarkStart w:id="177" w:name="endcomma"/>
      <w:bookmarkEnd w:id="177"/>
      <w:del w:id="178" w:author="svcMRProcess" w:date="2015-12-08T09:16:00Z">
        <w:r>
          <w:rPr>
            <w:b/>
          </w:rPr>
          <w:delText>“</w:delText>
        </w:r>
      </w:del>
      <w:r>
        <w:rPr>
          <w:rStyle w:val="CharDefText"/>
        </w:rPr>
        <w:t>Trustees</w:t>
      </w:r>
      <w:del w:id="179" w:author="svcMRProcess" w:date="2015-12-08T09:16:00Z">
        <w:r>
          <w:rPr>
            <w:b/>
          </w:rPr>
          <w:delText>”</w:delText>
        </w:r>
      </w:del>
      <w:r>
        <w:t xml:space="preserve"> </w:t>
      </w:r>
      <w:bookmarkStart w:id="180" w:name="comma"/>
      <w:bookmarkEnd w:id="180"/>
      <w:r>
        <w:t>means the trustees in office under the Public Library Act.</w:t>
      </w:r>
    </w:p>
    <w:p>
      <w:pPr>
        <w:pStyle w:val="Ednotesubsection"/>
      </w:pPr>
      <w:r>
        <w:tab/>
        <w:t>[(2)</w:t>
      </w:r>
      <w:r>
        <w:tab/>
      </w:r>
      <w:del w:id="181" w:author="svcMRProcess" w:date="2015-12-08T09:16:00Z">
        <w:r>
          <w:delText>repealed</w:delText>
        </w:r>
      </w:del>
      <w:ins w:id="182" w:author="svcMRProcess" w:date="2015-12-08T09:16:00Z">
        <w:r>
          <w:t>deleted</w:t>
        </w:r>
      </w:ins>
      <w:r>
        <w:t>]</w:t>
      </w:r>
    </w:p>
    <w:p>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by No. 20 of 1955 s. 13; amended by No. 29 of 1974 s. 7.]</w:t>
      </w:r>
    </w:p>
    <w:p>
      <w:pPr>
        <w:pStyle w:val="Heading5"/>
        <w:rPr>
          <w:snapToGrid w:val="0"/>
        </w:rPr>
      </w:pPr>
      <w:bookmarkStart w:id="183" w:name="_Toc411311987"/>
      <w:bookmarkStart w:id="184" w:name="_Toc516381110"/>
      <w:bookmarkStart w:id="185" w:name="_Toc157922046"/>
      <w:bookmarkStart w:id="186" w:name="_Toc125866924"/>
      <w:r>
        <w:rPr>
          <w:rStyle w:val="CharSectno"/>
        </w:rPr>
        <w:t>21</w:t>
      </w:r>
      <w:r>
        <w:rPr>
          <w:snapToGrid w:val="0"/>
        </w:rPr>
        <w:t>.</w:t>
      </w:r>
      <w:r>
        <w:rPr>
          <w:snapToGrid w:val="0"/>
        </w:rPr>
        <w:tab/>
        <w:t>Regulations</w:t>
      </w:r>
      <w:bookmarkEnd w:id="183"/>
      <w:bookmarkEnd w:id="184"/>
      <w:bookmarkEnd w:id="185"/>
      <w:bookmarkEnd w:id="186"/>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by No. 113 of 1965 s. 4; No. 29 of 1974 s. 8; No. 44 of 1983 s. 4; No. 53 of 2000 s. 12.]</w:t>
      </w:r>
    </w:p>
    <w:p>
      <w:pPr>
        <w:pStyle w:val="Ednotedivision"/>
      </w:pPr>
      <w:bookmarkStart w:id="187" w:name="_Toc411311989"/>
      <w:bookmarkStart w:id="188" w:name="_Toc516381112"/>
      <w:del w:id="189" w:author="svcMRProcess" w:date="2015-12-08T09:16:00Z">
        <w:r>
          <w:tab/>
        </w:r>
      </w:del>
      <w:r>
        <w:t>[Heading deleted by No. 53 of 2000 s. 12.]</w:t>
      </w:r>
    </w:p>
    <w:p>
      <w:pPr>
        <w:pStyle w:val="Ednotesection"/>
      </w:pPr>
      <w:r>
        <w:t>[</w:t>
      </w:r>
      <w:r>
        <w:rPr>
          <w:b/>
        </w:rPr>
        <w:t>22</w:t>
      </w:r>
      <w:r>
        <w:rPr>
          <w:b/>
        </w:rPr>
        <w:noBreakHyphen/>
        <w:t>33.</w:t>
      </w:r>
      <w:r>
        <w:tab/>
      </w:r>
      <w:del w:id="190" w:author="svcMRProcess" w:date="2015-12-08T09:16:00Z">
        <w:r>
          <w:delText>Repealed</w:delText>
        </w:r>
      </w:del>
      <w:ins w:id="191" w:author="svcMRProcess" w:date="2015-12-08T09:16:00Z">
        <w:r>
          <w:t>Deleted</w:t>
        </w:r>
      </w:ins>
      <w:r>
        <w:t> by No. 53 of 2000 s. 12.]</w:t>
      </w:r>
    </w:p>
    <w:bookmarkEnd w:id="187"/>
    <w:bookmarkEnd w:id="188"/>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92" w:name="_Toc89510860"/>
      <w:bookmarkStart w:id="193" w:name="_Toc89566927"/>
      <w:bookmarkStart w:id="194" w:name="_Toc100398470"/>
      <w:bookmarkStart w:id="195" w:name="_Toc100570089"/>
      <w:bookmarkStart w:id="196" w:name="_Toc102378060"/>
      <w:bookmarkStart w:id="197" w:name="_Toc123005151"/>
      <w:bookmarkStart w:id="198" w:name="_Toc123525445"/>
      <w:bookmarkStart w:id="199" w:name="_Toc125866925"/>
      <w:bookmarkStart w:id="200" w:name="_Toc157922047"/>
      <w:r>
        <w:t>Notes</w:t>
      </w:r>
      <w:bookmarkEnd w:id="192"/>
      <w:bookmarkEnd w:id="193"/>
      <w:bookmarkEnd w:id="194"/>
      <w:bookmarkEnd w:id="195"/>
      <w:bookmarkEnd w:id="196"/>
      <w:bookmarkEnd w:id="197"/>
      <w:bookmarkEnd w:id="198"/>
      <w:bookmarkEnd w:id="199"/>
      <w:bookmarkEnd w:id="200"/>
    </w:p>
    <w:p>
      <w:pPr>
        <w:pStyle w:val="nSubsection"/>
        <w:rPr>
          <w:snapToGrid w:val="0"/>
        </w:rPr>
      </w:pPr>
      <w:r>
        <w:rPr>
          <w:snapToGrid w:val="0"/>
          <w:vertAlign w:val="superscript"/>
        </w:rPr>
        <w:t>1</w:t>
      </w:r>
      <w:r>
        <w:rPr>
          <w:snapToGrid w:val="0"/>
        </w:rPr>
        <w:tab/>
        <w:t xml:space="preserve">This </w:t>
      </w:r>
      <w:del w:id="201" w:author="svcMRProcess" w:date="2015-12-08T09:16:00Z">
        <w:r>
          <w:rPr>
            <w:snapToGrid w:val="0"/>
          </w:rPr>
          <w:delText xml:space="preserve">reprint </w:delText>
        </w:r>
      </w:del>
      <w:r>
        <w:rPr>
          <w:snapToGrid w:val="0"/>
        </w:rPr>
        <w:t>is a compilation</w:t>
      </w:r>
      <w:del w:id="202" w:author="svcMRProcess" w:date="2015-12-08T09:16:00Z">
        <w:r>
          <w:rPr>
            <w:snapToGrid w:val="0"/>
          </w:rPr>
          <w:delText xml:space="preserve"> as at 10 February 2006</w:delText>
        </w:r>
      </w:del>
      <w:r>
        <w:rPr>
          <w:snapToGrid w:val="0"/>
        </w:rPr>
        <w:t xml:space="preserve">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3" w:name="_Toc157922048"/>
      <w:bookmarkStart w:id="204" w:name="_Toc125866926"/>
      <w:r>
        <w:rPr>
          <w:snapToGrid w:val="0"/>
        </w:rPr>
        <w:t>Compilation table</w:t>
      </w:r>
      <w:bookmarkEnd w:id="203"/>
      <w:bookmarkEnd w:id="204"/>
    </w:p>
    <w:tbl>
      <w:tblPr>
        <w:tblW w:w="0" w:type="auto"/>
        <w:tblInd w:w="28" w:type="dxa"/>
        <w:tblLayout w:type="fixed"/>
        <w:tblCellMar>
          <w:left w:w="56" w:type="dxa"/>
          <w:right w:w="56" w:type="dxa"/>
        </w:tblCellMar>
        <w:tblLook w:val="0000" w:firstRow="0" w:lastRow="0" w:firstColumn="0" w:lastColumn="0" w:noHBand="0" w:noVBand="0"/>
      </w:tblPr>
      <w:tblGrid>
        <w:gridCol w:w="2213"/>
        <w:gridCol w:w="16"/>
        <w:gridCol w:w="38"/>
        <w:gridCol w:w="1079"/>
        <w:gridCol w:w="17"/>
        <w:gridCol w:w="38"/>
        <w:gridCol w:w="1116"/>
        <w:gridCol w:w="18"/>
        <w:gridCol w:w="2530"/>
        <w:gridCol w:w="21"/>
      </w:tblGrid>
      <w:tr>
        <w:trPr>
          <w:gridAfter w:val="1"/>
          <w:wAfter w:w="21" w:type="dxa"/>
          <w:cantSplit/>
          <w:tblHeader/>
        </w:trPr>
        <w:tc>
          <w:tcPr>
            <w:tcW w:w="221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71" w:type="dxa"/>
            <w:gridSpan w:val="3"/>
            <w:tcBorders>
              <w:top w:val="single" w:sz="8" w:space="0" w:color="auto"/>
              <w:bottom w:val="single" w:sz="8" w:space="0" w:color="auto"/>
            </w:tcBorders>
          </w:tcPr>
          <w:p>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13" w:type="dxa"/>
          </w:tcPr>
          <w:p>
            <w:pPr>
              <w:pStyle w:val="nTable"/>
              <w:spacing w:after="40"/>
              <w:ind w:right="113"/>
              <w:rPr>
                <w:sz w:val="19"/>
              </w:rPr>
            </w:pPr>
            <w:r>
              <w:rPr>
                <w:i/>
                <w:sz w:val="19"/>
              </w:rPr>
              <w:t>Library Board of Western Australia Act 1951</w:t>
            </w:r>
          </w:p>
        </w:tc>
        <w:tc>
          <w:tcPr>
            <w:tcW w:w="1133" w:type="dxa"/>
            <w:gridSpan w:val="3"/>
          </w:tcPr>
          <w:p>
            <w:pPr>
              <w:pStyle w:val="nTable"/>
              <w:spacing w:after="40"/>
              <w:rPr>
                <w:sz w:val="19"/>
              </w:rPr>
            </w:pPr>
            <w:r>
              <w:rPr>
                <w:sz w:val="19"/>
              </w:rPr>
              <w:t>42 of 1951</w:t>
            </w:r>
          </w:p>
        </w:tc>
        <w:tc>
          <w:tcPr>
            <w:tcW w:w="1171" w:type="dxa"/>
            <w:gridSpan w:val="3"/>
          </w:tcPr>
          <w:p>
            <w:pPr>
              <w:pStyle w:val="nTable"/>
              <w:spacing w:after="40"/>
              <w:rPr>
                <w:sz w:val="19"/>
              </w:rPr>
            </w:pPr>
            <w:r>
              <w:rPr>
                <w:sz w:val="19"/>
              </w:rPr>
              <w:t>20 Dec 1951</w:t>
            </w:r>
          </w:p>
        </w:tc>
        <w:tc>
          <w:tcPr>
            <w:tcW w:w="2548" w:type="dxa"/>
            <w:gridSpan w:val="2"/>
          </w:tcPr>
          <w:p>
            <w:pPr>
              <w:pStyle w:val="nTable"/>
              <w:spacing w:after="40"/>
              <w:rPr>
                <w:sz w:val="19"/>
              </w:rPr>
            </w:pPr>
            <w:r>
              <w:rPr>
                <w:sz w:val="19"/>
              </w:rPr>
              <w:t xml:space="preserve">30 Sep 1952 (see s. 2 and </w:t>
            </w:r>
            <w:r>
              <w:rPr>
                <w:i/>
                <w:sz w:val="19"/>
              </w:rPr>
              <w:t xml:space="preserve">Gazette </w:t>
            </w:r>
            <w:r>
              <w:rPr>
                <w:sz w:val="19"/>
              </w:rPr>
              <w:t>26 Sep 1952 p. 2358)</w:t>
            </w:r>
          </w:p>
        </w:tc>
      </w:tr>
      <w:tr>
        <w:trPr>
          <w:gridAfter w:val="1"/>
          <w:wAfter w:w="21" w:type="dxa"/>
          <w:cantSplit/>
        </w:trPr>
        <w:tc>
          <w:tcPr>
            <w:tcW w:w="2213" w:type="dxa"/>
          </w:tcPr>
          <w:p>
            <w:pPr>
              <w:pStyle w:val="nTable"/>
              <w:spacing w:after="40"/>
              <w:ind w:right="113"/>
              <w:rPr>
                <w:sz w:val="19"/>
              </w:rPr>
            </w:pPr>
            <w:r>
              <w:rPr>
                <w:i/>
                <w:sz w:val="19"/>
              </w:rPr>
              <w:t>Acts Amendment (Libraries) Act 1955</w:t>
            </w:r>
            <w:r>
              <w:rPr>
                <w:sz w:val="19"/>
              </w:rPr>
              <w:t xml:space="preserve"> Pt. I</w:t>
            </w:r>
          </w:p>
        </w:tc>
        <w:tc>
          <w:tcPr>
            <w:tcW w:w="1133" w:type="dxa"/>
            <w:gridSpan w:val="3"/>
          </w:tcPr>
          <w:p>
            <w:pPr>
              <w:pStyle w:val="nTable"/>
              <w:spacing w:after="40"/>
              <w:rPr>
                <w:sz w:val="19"/>
              </w:rPr>
            </w:pPr>
            <w:r>
              <w:rPr>
                <w:sz w:val="19"/>
              </w:rPr>
              <w:t>20 of 1955</w:t>
            </w:r>
          </w:p>
        </w:tc>
        <w:tc>
          <w:tcPr>
            <w:tcW w:w="1171" w:type="dxa"/>
            <w:gridSpan w:val="3"/>
          </w:tcPr>
          <w:p>
            <w:pPr>
              <w:pStyle w:val="nTable"/>
              <w:spacing w:after="40"/>
              <w:rPr>
                <w:sz w:val="19"/>
              </w:rPr>
            </w:pPr>
            <w:r>
              <w:rPr>
                <w:sz w:val="19"/>
              </w:rPr>
              <w:t>3 Nov 1955</w:t>
            </w:r>
          </w:p>
        </w:tc>
        <w:tc>
          <w:tcPr>
            <w:tcW w:w="2548" w:type="dxa"/>
            <w:gridSpan w:val="2"/>
          </w:tcPr>
          <w:p>
            <w:pPr>
              <w:pStyle w:val="nTable"/>
              <w:spacing w:after="40"/>
              <w:rPr>
                <w:sz w:val="19"/>
              </w:rPr>
            </w:pPr>
            <w:r>
              <w:rPr>
                <w:sz w:val="19"/>
              </w:rPr>
              <w:t>1 Dec 1955 (see s. 2)</w:t>
            </w:r>
          </w:p>
        </w:tc>
      </w:tr>
      <w:tr>
        <w:trPr>
          <w:gridAfter w:val="1"/>
          <w:wAfter w:w="21" w:type="dxa"/>
          <w:cantSplit/>
        </w:trPr>
        <w:tc>
          <w:tcPr>
            <w:tcW w:w="7065" w:type="dxa"/>
            <w:gridSpan w:val="9"/>
          </w:tcPr>
          <w:p>
            <w:pPr>
              <w:pStyle w:val="nTable"/>
              <w:spacing w:after="40"/>
              <w:rPr>
                <w:sz w:val="19"/>
              </w:rPr>
            </w:pPr>
            <w:r>
              <w:rPr>
                <w:b/>
                <w:sz w:val="19"/>
              </w:rPr>
              <w:t xml:space="preserve">Reprint of the </w:t>
            </w:r>
            <w:r>
              <w:rPr>
                <w:b/>
                <w:i/>
                <w:sz w:val="19"/>
              </w:rPr>
              <w:t>Library Board of Western Australia Act 1951</w:t>
            </w:r>
            <w:r>
              <w:rPr>
                <w:b/>
                <w:sz w:val="19"/>
              </w:rPr>
              <w:t xml:space="preserve"> approved 6 Aug 1963 in Vol. 17 of Reprinted Acts</w:t>
            </w:r>
            <w:r>
              <w:rPr>
                <w:sz w:val="19"/>
              </w:rPr>
              <w:t xml:space="preserve"> (includes amendments listed above)</w:t>
            </w:r>
          </w:p>
        </w:tc>
      </w:tr>
      <w:tr>
        <w:trPr>
          <w:gridAfter w:val="1"/>
          <w:wAfter w:w="21" w:type="dxa"/>
          <w:cantSplit/>
        </w:trPr>
        <w:tc>
          <w:tcPr>
            <w:tcW w:w="2213" w:type="dxa"/>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71" w:type="dxa"/>
            <w:gridSpan w:val="3"/>
          </w:tcPr>
          <w:p>
            <w:pPr>
              <w:pStyle w:val="nTable"/>
              <w:spacing w:after="40"/>
              <w:rPr>
                <w:sz w:val="19"/>
              </w:rPr>
            </w:pPr>
            <w:r>
              <w:rPr>
                <w:sz w:val="19"/>
              </w:rPr>
              <w:t>21 Dec 1965</w:t>
            </w:r>
          </w:p>
        </w:tc>
        <w:tc>
          <w:tcPr>
            <w:tcW w:w="2548"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2213" w:type="dxa"/>
          </w:tcPr>
          <w:p>
            <w:pPr>
              <w:pStyle w:val="nTable"/>
              <w:spacing w:after="40"/>
              <w:ind w:right="113"/>
              <w:rPr>
                <w:i/>
                <w:sz w:val="19"/>
              </w:rPr>
            </w:pPr>
            <w:r>
              <w:rPr>
                <w:i/>
                <w:sz w:val="19"/>
              </w:rPr>
              <w:t>Library Board of Western Australia Act Amendment Act 1974</w:t>
            </w:r>
          </w:p>
        </w:tc>
        <w:tc>
          <w:tcPr>
            <w:tcW w:w="1133" w:type="dxa"/>
            <w:gridSpan w:val="3"/>
          </w:tcPr>
          <w:p>
            <w:pPr>
              <w:pStyle w:val="nTable"/>
              <w:spacing w:after="40"/>
              <w:rPr>
                <w:sz w:val="19"/>
              </w:rPr>
            </w:pPr>
            <w:r>
              <w:rPr>
                <w:sz w:val="19"/>
              </w:rPr>
              <w:t>29 of 1974</w:t>
            </w:r>
          </w:p>
        </w:tc>
        <w:tc>
          <w:tcPr>
            <w:tcW w:w="1171" w:type="dxa"/>
            <w:gridSpan w:val="3"/>
          </w:tcPr>
          <w:p>
            <w:pPr>
              <w:pStyle w:val="nTable"/>
              <w:spacing w:after="40"/>
              <w:rPr>
                <w:sz w:val="19"/>
              </w:rPr>
            </w:pPr>
            <w:r>
              <w:rPr>
                <w:sz w:val="19"/>
              </w:rPr>
              <w:t>29 Oct 1974</w:t>
            </w:r>
          </w:p>
        </w:tc>
        <w:tc>
          <w:tcPr>
            <w:tcW w:w="2548" w:type="dxa"/>
            <w:gridSpan w:val="2"/>
          </w:tcPr>
          <w:p>
            <w:pPr>
              <w:pStyle w:val="nTable"/>
              <w:spacing w:after="40"/>
              <w:rPr>
                <w:sz w:val="19"/>
              </w:rPr>
            </w:pPr>
            <w:r>
              <w:rPr>
                <w:sz w:val="19"/>
              </w:rPr>
              <w:t>29 Oct 1974</w:t>
            </w:r>
          </w:p>
        </w:tc>
      </w:tr>
      <w:tr>
        <w:trPr>
          <w:gridAfter w:val="1"/>
          <w:wAfter w:w="21" w:type="dxa"/>
          <w:cantSplit/>
        </w:trPr>
        <w:tc>
          <w:tcPr>
            <w:tcW w:w="2229" w:type="dxa"/>
            <w:gridSpan w:val="2"/>
          </w:tcPr>
          <w:p>
            <w:pPr>
              <w:pStyle w:val="nTable"/>
              <w:spacing w:after="40"/>
              <w:ind w:right="113"/>
              <w:rPr>
                <w:i/>
                <w:sz w:val="19"/>
              </w:rPr>
            </w:pPr>
            <w:r>
              <w:rPr>
                <w:i/>
                <w:sz w:val="19"/>
              </w:rPr>
              <w:t>Library Board of Western Australia Amendment Act 1983</w:t>
            </w:r>
          </w:p>
        </w:tc>
        <w:tc>
          <w:tcPr>
            <w:tcW w:w="1134" w:type="dxa"/>
            <w:gridSpan w:val="3"/>
          </w:tcPr>
          <w:p>
            <w:pPr>
              <w:pStyle w:val="nTable"/>
              <w:spacing w:after="40"/>
              <w:rPr>
                <w:sz w:val="19"/>
              </w:rPr>
            </w:pPr>
            <w:r>
              <w:rPr>
                <w:sz w:val="19"/>
              </w:rPr>
              <w:t>44 of 1983</w:t>
            </w:r>
          </w:p>
        </w:tc>
        <w:tc>
          <w:tcPr>
            <w:tcW w:w="1154" w:type="dxa"/>
            <w:gridSpan w:val="2"/>
          </w:tcPr>
          <w:p>
            <w:pPr>
              <w:pStyle w:val="nTable"/>
              <w:spacing w:after="40"/>
              <w:rPr>
                <w:sz w:val="19"/>
              </w:rPr>
            </w:pPr>
            <w:r>
              <w:rPr>
                <w:sz w:val="19"/>
              </w:rPr>
              <w:t>5 Dec 1983</w:t>
            </w:r>
          </w:p>
        </w:tc>
        <w:tc>
          <w:tcPr>
            <w:tcW w:w="2548" w:type="dxa"/>
            <w:gridSpan w:val="2"/>
          </w:tcPr>
          <w:p>
            <w:pPr>
              <w:pStyle w:val="nTable"/>
              <w:spacing w:after="40"/>
              <w:rPr>
                <w:sz w:val="19"/>
              </w:rPr>
            </w:pPr>
            <w:r>
              <w:rPr>
                <w:sz w:val="19"/>
              </w:rPr>
              <w:t>5 Dec 1983</w:t>
            </w:r>
          </w:p>
        </w:tc>
      </w:tr>
      <w:tr>
        <w:trPr>
          <w:gridAfter w:val="1"/>
          <w:wAfter w:w="21" w:type="dxa"/>
          <w:cantSplit/>
        </w:trPr>
        <w:tc>
          <w:tcPr>
            <w:tcW w:w="7065" w:type="dxa"/>
            <w:gridSpan w:val="9"/>
          </w:tcPr>
          <w:p>
            <w:pPr>
              <w:pStyle w:val="nTable"/>
              <w:spacing w:after="40"/>
              <w:rPr>
                <w:sz w:val="19"/>
              </w:rPr>
            </w:pPr>
            <w:r>
              <w:rPr>
                <w:b/>
                <w:sz w:val="19"/>
              </w:rPr>
              <w:t xml:space="preserve">Reprint of the </w:t>
            </w:r>
            <w:r>
              <w:rPr>
                <w:b/>
                <w:i/>
                <w:sz w:val="19"/>
              </w:rPr>
              <w:t>Library Board of Western Australia Act 1951</w:t>
            </w:r>
            <w:r>
              <w:rPr>
                <w:b/>
                <w:sz w:val="19"/>
              </w:rPr>
              <w:t xml:space="preserve"> approved 17 May 1984 </w:t>
            </w:r>
            <w:r>
              <w:rPr>
                <w:sz w:val="19"/>
              </w:rPr>
              <w:t>(includes amendments listed above)</w:t>
            </w:r>
          </w:p>
        </w:tc>
      </w:tr>
      <w:tr>
        <w:trPr>
          <w:gridAfter w:val="1"/>
          <w:wAfter w:w="21" w:type="dxa"/>
          <w:cantSplit/>
        </w:trPr>
        <w:tc>
          <w:tcPr>
            <w:tcW w:w="2229"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pPr>
              <w:pStyle w:val="nTable"/>
              <w:spacing w:after="40"/>
              <w:rPr>
                <w:sz w:val="19"/>
              </w:rPr>
            </w:pPr>
            <w:r>
              <w:rPr>
                <w:sz w:val="19"/>
              </w:rPr>
              <w:t>98 of 1985</w:t>
            </w:r>
          </w:p>
        </w:tc>
        <w:tc>
          <w:tcPr>
            <w:tcW w:w="1154" w:type="dxa"/>
            <w:gridSpan w:val="2"/>
          </w:tcPr>
          <w:p>
            <w:pPr>
              <w:pStyle w:val="nTable"/>
              <w:spacing w:after="40"/>
              <w:rPr>
                <w:sz w:val="19"/>
              </w:rPr>
            </w:pPr>
            <w:r>
              <w:rPr>
                <w:sz w:val="19"/>
              </w:rPr>
              <w:t>4 Dec 1985</w:t>
            </w:r>
          </w:p>
        </w:tc>
        <w:tc>
          <w:tcPr>
            <w:tcW w:w="2548"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gridAfter w:val="1"/>
          <w:wAfter w:w="21" w:type="dxa"/>
          <w:cantSplit/>
        </w:trPr>
        <w:tc>
          <w:tcPr>
            <w:tcW w:w="2229" w:type="dxa"/>
            <w:gridSpan w:val="2"/>
          </w:tcPr>
          <w:p>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pPr>
              <w:pStyle w:val="nTable"/>
              <w:spacing w:after="40"/>
              <w:rPr>
                <w:sz w:val="19"/>
              </w:rPr>
            </w:pPr>
            <w:r>
              <w:rPr>
                <w:sz w:val="19"/>
              </w:rPr>
              <w:t>75 of 1987</w:t>
            </w:r>
          </w:p>
        </w:tc>
        <w:tc>
          <w:tcPr>
            <w:tcW w:w="1154" w:type="dxa"/>
            <w:gridSpan w:val="2"/>
          </w:tcPr>
          <w:p>
            <w:pPr>
              <w:pStyle w:val="nTable"/>
              <w:spacing w:after="40"/>
              <w:rPr>
                <w:sz w:val="19"/>
              </w:rPr>
            </w:pPr>
            <w:r>
              <w:rPr>
                <w:sz w:val="19"/>
              </w:rPr>
              <w:t>26 Nov 1987</w:t>
            </w:r>
          </w:p>
        </w:tc>
        <w:tc>
          <w:tcPr>
            <w:tcW w:w="2548" w:type="dxa"/>
            <w:gridSpan w:val="2"/>
          </w:tcPr>
          <w:p>
            <w:pPr>
              <w:pStyle w:val="nTable"/>
              <w:spacing w:after="40"/>
              <w:rPr>
                <w:sz w:val="19"/>
              </w:rPr>
            </w:pPr>
            <w:r>
              <w:rPr>
                <w:sz w:val="19"/>
              </w:rPr>
              <w:t xml:space="preserve">12 Feb 1988 (see s. 2 and </w:t>
            </w:r>
            <w:r>
              <w:rPr>
                <w:i/>
                <w:sz w:val="19"/>
              </w:rPr>
              <w:t>Gazette</w:t>
            </w:r>
            <w:r>
              <w:rPr>
                <w:sz w:val="19"/>
              </w:rPr>
              <w:t xml:space="preserve"> 12 Feb 1988 p. 399)</w:t>
            </w:r>
          </w:p>
        </w:tc>
      </w:tr>
      <w:tr>
        <w:trPr>
          <w:cantSplit/>
        </w:trPr>
        <w:tc>
          <w:tcPr>
            <w:tcW w:w="2267" w:type="dxa"/>
            <w:gridSpan w:val="3"/>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gridSpan w:val="3"/>
          </w:tcPr>
          <w:p>
            <w:pPr>
              <w:pStyle w:val="nTable"/>
              <w:spacing w:after="40"/>
              <w:ind w:right="113"/>
              <w:rPr>
                <w:sz w:val="19"/>
              </w:rPr>
            </w:pPr>
            <w:r>
              <w:rPr>
                <w:i/>
                <w:sz w:val="19"/>
              </w:rPr>
              <w:t>Acts Amendment (Education) Act 1988</w:t>
            </w:r>
            <w:r>
              <w:rPr>
                <w:sz w:val="19"/>
              </w:rPr>
              <w:t xml:space="preserve"> Pt. 7</w:t>
            </w:r>
          </w:p>
        </w:tc>
        <w:tc>
          <w:tcPr>
            <w:tcW w:w="1134" w:type="dxa"/>
            <w:gridSpan w:val="3"/>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7" w:type="dxa"/>
            <w:gridSpan w:val="3"/>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7" w:type="dxa"/>
            <w:gridSpan w:val="3"/>
          </w:tcPr>
          <w:p>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20"/>
              <w:rPr>
                <w:sz w:val="19"/>
              </w:rPr>
            </w:pPr>
            <w:r>
              <w:rPr>
                <w:sz w:val="19"/>
              </w:rPr>
              <w:t>32 of 1994</w:t>
            </w:r>
          </w:p>
        </w:tc>
        <w:tc>
          <w:tcPr>
            <w:tcW w:w="1134" w:type="dxa"/>
            <w:gridSpan w:val="2"/>
          </w:tcPr>
          <w:p>
            <w:pPr>
              <w:pStyle w:val="nTable"/>
              <w:spacing w:after="20"/>
              <w:rPr>
                <w:sz w:val="19"/>
              </w:rPr>
            </w:pPr>
            <w:r>
              <w:rPr>
                <w:sz w:val="19"/>
              </w:rPr>
              <w:t>29 Jun 1994</w:t>
            </w:r>
          </w:p>
        </w:tc>
        <w:tc>
          <w:tcPr>
            <w:tcW w:w="2551" w:type="dxa"/>
            <w:gridSpan w:val="2"/>
          </w:tcPr>
          <w:p>
            <w:pPr>
              <w:pStyle w:val="nTable"/>
              <w:spacing w:after="2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pPr>
              <w:pStyle w:val="nTable"/>
              <w:spacing w:after="20"/>
              <w:rPr>
                <w:sz w:val="19"/>
              </w:rPr>
            </w:pPr>
            <w:r>
              <w:rPr>
                <w:sz w:val="19"/>
              </w:rPr>
              <w:t>14 of 1996</w:t>
            </w:r>
          </w:p>
        </w:tc>
        <w:tc>
          <w:tcPr>
            <w:tcW w:w="1134" w:type="dxa"/>
            <w:gridSpan w:val="2"/>
          </w:tcPr>
          <w:p>
            <w:pPr>
              <w:pStyle w:val="nTable"/>
              <w:spacing w:after="20"/>
              <w:rPr>
                <w:sz w:val="19"/>
              </w:rPr>
            </w:pPr>
            <w:r>
              <w:rPr>
                <w:sz w:val="19"/>
              </w:rPr>
              <w:t>28 Jun 1996</w:t>
            </w:r>
          </w:p>
        </w:tc>
        <w:tc>
          <w:tcPr>
            <w:tcW w:w="2551" w:type="dxa"/>
            <w:gridSpan w:val="2"/>
          </w:tcPr>
          <w:p>
            <w:pPr>
              <w:pStyle w:val="nTable"/>
              <w:spacing w:after="20"/>
              <w:rPr>
                <w:sz w:val="19"/>
              </w:rPr>
            </w:pPr>
            <w:r>
              <w:rPr>
                <w:sz w:val="19"/>
              </w:rPr>
              <w:t>1 Jul 1996 (see s. 2)</w:t>
            </w:r>
          </w:p>
        </w:tc>
      </w:tr>
      <w:tr>
        <w:trPr>
          <w:cantSplit/>
        </w:trPr>
        <w:tc>
          <w:tcPr>
            <w:tcW w:w="2267" w:type="dxa"/>
            <w:gridSpan w:val="3"/>
          </w:tcPr>
          <w:p>
            <w:pPr>
              <w:pStyle w:val="nTable"/>
              <w:spacing w:after="20"/>
              <w:ind w:right="113"/>
              <w:rPr>
                <w:sz w:val="19"/>
              </w:rPr>
            </w:pPr>
            <w:r>
              <w:rPr>
                <w:i/>
                <w:sz w:val="19"/>
              </w:rPr>
              <w:t>Education Amendment Act 1996</w:t>
            </w:r>
            <w:r>
              <w:rPr>
                <w:sz w:val="19"/>
              </w:rPr>
              <w:t xml:space="preserve"> s. 16(6)</w:t>
            </w:r>
          </w:p>
        </w:tc>
        <w:tc>
          <w:tcPr>
            <w:tcW w:w="1134" w:type="dxa"/>
            <w:gridSpan w:val="3"/>
          </w:tcPr>
          <w:p>
            <w:pPr>
              <w:pStyle w:val="nTable"/>
              <w:spacing w:after="20"/>
              <w:rPr>
                <w:sz w:val="19"/>
              </w:rPr>
            </w:pPr>
            <w:r>
              <w:rPr>
                <w:sz w:val="19"/>
              </w:rPr>
              <w:t>22 of 1996</w:t>
            </w:r>
          </w:p>
        </w:tc>
        <w:tc>
          <w:tcPr>
            <w:tcW w:w="1134" w:type="dxa"/>
            <w:gridSpan w:val="2"/>
          </w:tcPr>
          <w:p>
            <w:pPr>
              <w:pStyle w:val="nTable"/>
              <w:spacing w:after="20"/>
              <w:rPr>
                <w:sz w:val="19"/>
              </w:rPr>
            </w:pPr>
            <w:r>
              <w:rPr>
                <w:sz w:val="19"/>
              </w:rPr>
              <w:t>11 Jul 1996</w:t>
            </w:r>
          </w:p>
        </w:tc>
        <w:tc>
          <w:tcPr>
            <w:tcW w:w="2551" w:type="dxa"/>
            <w:gridSpan w:val="2"/>
          </w:tcPr>
          <w:p>
            <w:pPr>
              <w:pStyle w:val="nTable"/>
              <w:spacing w:after="20"/>
              <w:rPr>
                <w:sz w:val="19"/>
              </w:rPr>
            </w:pPr>
            <w:r>
              <w:rPr>
                <w:sz w:val="19"/>
              </w:rPr>
              <w:t>11 Jul 1996 (see s. 2(1))</w:t>
            </w:r>
          </w:p>
        </w:tc>
      </w:tr>
      <w:tr>
        <w:trPr>
          <w:cantSplit/>
        </w:trPr>
        <w:tc>
          <w:tcPr>
            <w:tcW w:w="2267" w:type="dxa"/>
            <w:gridSpan w:val="3"/>
          </w:tcPr>
          <w:p>
            <w:pPr>
              <w:pStyle w:val="nTable"/>
              <w:spacing w:after="20"/>
              <w:ind w:right="113"/>
              <w:rPr>
                <w:sz w:val="19"/>
              </w:rPr>
            </w:pPr>
            <w:r>
              <w:rPr>
                <w:i/>
                <w:sz w:val="19"/>
              </w:rPr>
              <w:t>Financial Legislation Amendment Act 1996</w:t>
            </w:r>
            <w:r>
              <w:rPr>
                <w:sz w:val="19"/>
              </w:rPr>
              <w:t xml:space="preserve"> s. 64</w:t>
            </w:r>
          </w:p>
        </w:tc>
        <w:tc>
          <w:tcPr>
            <w:tcW w:w="1134" w:type="dxa"/>
            <w:gridSpan w:val="3"/>
          </w:tcPr>
          <w:p>
            <w:pPr>
              <w:pStyle w:val="nTable"/>
              <w:spacing w:after="20"/>
              <w:rPr>
                <w:sz w:val="19"/>
              </w:rPr>
            </w:pPr>
            <w:r>
              <w:rPr>
                <w:sz w:val="19"/>
              </w:rPr>
              <w:t>49 of 1996</w:t>
            </w:r>
          </w:p>
        </w:tc>
        <w:tc>
          <w:tcPr>
            <w:tcW w:w="1134" w:type="dxa"/>
            <w:gridSpan w:val="2"/>
          </w:tcPr>
          <w:p>
            <w:pPr>
              <w:pStyle w:val="nTable"/>
              <w:spacing w:after="20"/>
              <w:rPr>
                <w:sz w:val="19"/>
              </w:rPr>
            </w:pPr>
            <w:r>
              <w:rPr>
                <w:sz w:val="19"/>
              </w:rPr>
              <w:t>25 Oct 1996</w:t>
            </w:r>
          </w:p>
        </w:tc>
        <w:tc>
          <w:tcPr>
            <w:tcW w:w="2551" w:type="dxa"/>
            <w:gridSpan w:val="2"/>
          </w:tcPr>
          <w:p>
            <w:pPr>
              <w:pStyle w:val="nTable"/>
              <w:spacing w:after="20"/>
              <w:rPr>
                <w:sz w:val="19"/>
              </w:rPr>
            </w:pPr>
            <w:r>
              <w:rPr>
                <w:sz w:val="19"/>
              </w:rPr>
              <w:t>25 Oct 1996 (see s. 2(1))</w:t>
            </w:r>
          </w:p>
        </w:tc>
      </w:tr>
      <w:tr>
        <w:trPr>
          <w:cantSplit/>
        </w:trPr>
        <w:tc>
          <w:tcPr>
            <w:tcW w:w="2267" w:type="dxa"/>
            <w:gridSpan w:val="3"/>
          </w:tcPr>
          <w:p>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pPr>
              <w:pStyle w:val="nTable"/>
              <w:spacing w:after="20"/>
              <w:rPr>
                <w:sz w:val="19"/>
              </w:rPr>
            </w:pPr>
            <w:r>
              <w:rPr>
                <w:sz w:val="19"/>
              </w:rPr>
              <w:t>57 of 1997</w:t>
            </w:r>
          </w:p>
        </w:tc>
        <w:tc>
          <w:tcPr>
            <w:tcW w:w="1134" w:type="dxa"/>
            <w:gridSpan w:val="2"/>
          </w:tcPr>
          <w:p>
            <w:pPr>
              <w:pStyle w:val="nTable"/>
              <w:spacing w:after="20"/>
              <w:rPr>
                <w:sz w:val="19"/>
              </w:rPr>
            </w:pPr>
            <w:r>
              <w:rPr>
                <w:sz w:val="19"/>
              </w:rPr>
              <w:t>15 Dec 1997</w:t>
            </w:r>
          </w:p>
        </w:tc>
        <w:tc>
          <w:tcPr>
            <w:tcW w:w="2551" w:type="dxa"/>
            <w:gridSpan w:val="2"/>
          </w:tcPr>
          <w:p>
            <w:pPr>
              <w:pStyle w:val="nTable"/>
              <w:spacing w:after="20"/>
              <w:rPr>
                <w:sz w:val="19"/>
              </w:rPr>
            </w:pPr>
            <w:r>
              <w:rPr>
                <w:sz w:val="19"/>
              </w:rPr>
              <w:t>15 Dec 1997 (see s. 2(1))</w:t>
            </w:r>
          </w:p>
        </w:tc>
      </w:tr>
      <w:tr>
        <w:trPr>
          <w:cantSplit/>
        </w:trPr>
        <w:tc>
          <w:tcPr>
            <w:tcW w:w="2267" w:type="dxa"/>
            <w:gridSpan w:val="3"/>
          </w:tcPr>
          <w:p>
            <w:pPr>
              <w:pStyle w:val="nTable"/>
              <w:spacing w:after="20"/>
              <w:ind w:right="113"/>
              <w:rPr>
                <w:i/>
                <w:sz w:val="19"/>
              </w:rPr>
            </w:pPr>
            <w:r>
              <w:rPr>
                <w:i/>
                <w:sz w:val="19"/>
              </w:rPr>
              <w:t>School Education Act 1999</w:t>
            </w:r>
            <w:r>
              <w:rPr>
                <w:sz w:val="19"/>
              </w:rPr>
              <w:t xml:space="preserve"> s. 247</w:t>
            </w:r>
          </w:p>
        </w:tc>
        <w:tc>
          <w:tcPr>
            <w:tcW w:w="1134" w:type="dxa"/>
            <w:gridSpan w:val="3"/>
          </w:tcPr>
          <w:p>
            <w:pPr>
              <w:pStyle w:val="nTable"/>
              <w:spacing w:after="20"/>
              <w:rPr>
                <w:sz w:val="19"/>
              </w:rPr>
            </w:pPr>
            <w:r>
              <w:rPr>
                <w:sz w:val="19"/>
              </w:rPr>
              <w:t>36 of 1999</w:t>
            </w:r>
          </w:p>
        </w:tc>
        <w:tc>
          <w:tcPr>
            <w:tcW w:w="1134" w:type="dxa"/>
            <w:gridSpan w:val="2"/>
          </w:tcPr>
          <w:p>
            <w:pPr>
              <w:pStyle w:val="nTable"/>
              <w:spacing w:after="20"/>
              <w:rPr>
                <w:sz w:val="19"/>
              </w:rPr>
            </w:pPr>
            <w:r>
              <w:rPr>
                <w:sz w:val="19"/>
              </w:rPr>
              <w:t>2 Nov 1999</w:t>
            </w:r>
          </w:p>
        </w:tc>
        <w:tc>
          <w:tcPr>
            <w:tcW w:w="2551" w:type="dxa"/>
            <w:gridSpan w:val="2"/>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1" w:type="dxa"/>
          <w:cantSplit/>
        </w:trPr>
        <w:tc>
          <w:tcPr>
            <w:tcW w:w="7065" w:type="dxa"/>
            <w:gridSpan w:val="9"/>
          </w:tcPr>
          <w:p>
            <w:pPr>
              <w:pStyle w:val="nTable"/>
              <w:spacing w:after="20"/>
              <w:rPr>
                <w:sz w:val="19"/>
              </w:rPr>
            </w:pPr>
            <w:r>
              <w:rPr>
                <w:b/>
                <w:sz w:val="19"/>
              </w:rPr>
              <w:t xml:space="preserve">Reprint of the </w:t>
            </w:r>
            <w:r>
              <w:rPr>
                <w:b/>
                <w:i/>
                <w:sz w:val="19"/>
              </w:rPr>
              <w:t>Library Board of Western Australia Act 1951</w:t>
            </w:r>
            <w:r>
              <w:rPr>
                <w:b/>
                <w:sz w:val="19"/>
              </w:rPr>
              <w:t xml:space="preserve"> as at 2 Nov 1999 </w:t>
            </w:r>
            <w:r>
              <w:rPr>
                <w:sz w:val="19"/>
              </w:rPr>
              <w:t xml:space="preserve">(includes amendments listed above except those in the </w:t>
            </w:r>
            <w:r>
              <w:rPr>
                <w:i/>
                <w:sz w:val="19"/>
              </w:rPr>
              <w:t>School Education Act 1999</w:t>
            </w:r>
            <w:r>
              <w:rPr>
                <w:sz w:val="19"/>
              </w:rPr>
              <w:t>)</w:t>
            </w:r>
          </w:p>
        </w:tc>
      </w:tr>
      <w:tr>
        <w:trPr>
          <w:cantSplit/>
        </w:trPr>
        <w:tc>
          <w:tcPr>
            <w:tcW w:w="2267" w:type="dxa"/>
            <w:gridSpan w:val="3"/>
          </w:tcPr>
          <w:p>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pPr>
              <w:pStyle w:val="nTable"/>
              <w:spacing w:after="20"/>
              <w:rPr>
                <w:sz w:val="19"/>
              </w:rPr>
            </w:pPr>
            <w:r>
              <w:rPr>
                <w:sz w:val="19"/>
              </w:rPr>
              <w:t>53 of 2000</w:t>
            </w:r>
          </w:p>
        </w:tc>
        <w:tc>
          <w:tcPr>
            <w:tcW w:w="1134" w:type="dxa"/>
            <w:gridSpan w:val="2"/>
          </w:tcPr>
          <w:p>
            <w:pPr>
              <w:pStyle w:val="nTable"/>
              <w:spacing w:after="20"/>
              <w:rPr>
                <w:sz w:val="19"/>
              </w:rPr>
            </w:pPr>
            <w:r>
              <w:rPr>
                <w:sz w:val="19"/>
              </w:rPr>
              <w:t>28 Nov 2000</w:t>
            </w:r>
          </w:p>
        </w:tc>
        <w:tc>
          <w:tcPr>
            <w:tcW w:w="2551" w:type="dxa"/>
            <w:gridSpan w:val="2"/>
          </w:tcPr>
          <w:p>
            <w:pPr>
              <w:pStyle w:val="nTable"/>
              <w:spacing w:after="20"/>
              <w:rPr>
                <w:sz w:val="19"/>
              </w:rPr>
            </w:pPr>
            <w:r>
              <w:rPr>
                <w:sz w:val="19"/>
              </w:rPr>
              <w:t xml:space="preserve">1 Dec 2001 (see s. 2 and </w:t>
            </w:r>
            <w:r>
              <w:rPr>
                <w:i/>
                <w:sz w:val="19"/>
              </w:rPr>
              <w:t>Gazette</w:t>
            </w:r>
            <w:r>
              <w:rPr>
                <w:sz w:val="19"/>
              </w:rPr>
              <w:t xml:space="preserve"> 30 Nov 2001 p. 6067)</w:t>
            </w:r>
          </w:p>
        </w:tc>
      </w:tr>
      <w:tr>
        <w:trPr>
          <w:cantSplit/>
        </w:trPr>
        <w:tc>
          <w:tcPr>
            <w:tcW w:w="2267" w:type="dxa"/>
            <w:gridSpan w:val="3"/>
          </w:tcPr>
          <w:p>
            <w:pPr>
              <w:pStyle w:val="nTable"/>
              <w:spacing w:after="20"/>
              <w:rPr>
                <w:i/>
                <w:sz w:val="19"/>
              </w:rPr>
            </w:pPr>
            <w:r>
              <w:rPr>
                <w:i/>
                <w:sz w:val="19"/>
              </w:rPr>
              <w:t xml:space="preserve">Local Government Amendment Act 2004 </w:t>
            </w:r>
            <w:r>
              <w:rPr>
                <w:sz w:val="19"/>
              </w:rPr>
              <w:t>s. 13</w:t>
            </w:r>
          </w:p>
        </w:tc>
        <w:tc>
          <w:tcPr>
            <w:tcW w:w="1134" w:type="dxa"/>
            <w:gridSpan w:val="3"/>
          </w:tcPr>
          <w:p>
            <w:pPr>
              <w:pStyle w:val="nTable"/>
              <w:spacing w:after="20"/>
              <w:rPr>
                <w:sz w:val="19"/>
              </w:rPr>
            </w:pPr>
            <w:r>
              <w:rPr>
                <w:snapToGrid w:val="0"/>
                <w:sz w:val="19"/>
              </w:rPr>
              <w:t>49 of 2004</w:t>
            </w:r>
          </w:p>
        </w:tc>
        <w:tc>
          <w:tcPr>
            <w:tcW w:w="1134" w:type="dxa"/>
            <w:gridSpan w:val="2"/>
          </w:tcPr>
          <w:p>
            <w:pPr>
              <w:pStyle w:val="nTable"/>
              <w:spacing w:after="20"/>
              <w:rPr>
                <w:sz w:val="19"/>
              </w:rPr>
            </w:pPr>
            <w:r>
              <w:rPr>
                <w:sz w:val="19"/>
              </w:rPr>
              <w:t>12 Nov 2004</w:t>
            </w:r>
          </w:p>
        </w:tc>
        <w:tc>
          <w:tcPr>
            <w:tcW w:w="2551" w:type="dxa"/>
            <w:gridSpan w:val="2"/>
          </w:tcPr>
          <w:p>
            <w:pPr>
              <w:pStyle w:val="nTable"/>
              <w:spacing w:after="20"/>
              <w:rPr>
                <w:sz w:val="19"/>
              </w:rPr>
            </w:pPr>
            <w:r>
              <w:rPr>
                <w:sz w:val="19"/>
              </w:rPr>
              <w:t xml:space="preserve">1 Apr 2005 (see s. 2 and </w:t>
            </w:r>
            <w:r>
              <w:rPr>
                <w:i/>
                <w:sz w:val="19"/>
              </w:rPr>
              <w:t>Gazette</w:t>
            </w:r>
            <w:r>
              <w:rPr>
                <w:sz w:val="19"/>
              </w:rPr>
              <w:t xml:space="preserve"> 31 Mar 2005 p. 1029)</w:t>
            </w:r>
          </w:p>
        </w:tc>
      </w:tr>
      <w:tr>
        <w:trPr>
          <w:cantSplit/>
        </w:trPr>
        <w:tc>
          <w:tcPr>
            <w:tcW w:w="2267" w:type="dxa"/>
            <w:gridSpan w:val="3"/>
          </w:tcPr>
          <w:p>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pPr>
              <w:pStyle w:val="nTable"/>
              <w:spacing w:after="20"/>
              <w:rPr>
                <w:snapToGrid w:val="0"/>
                <w:sz w:val="19"/>
              </w:rPr>
            </w:pPr>
            <w:r>
              <w:rPr>
                <w:snapToGrid w:val="0"/>
                <w:sz w:val="19"/>
                <w:lang w:val="en-US"/>
              </w:rPr>
              <w:t>59 of 2004</w:t>
            </w:r>
          </w:p>
        </w:tc>
        <w:tc>
          <w:tcPr>
            <w:tcW w:w="1134" w:type="dxa"/>
            <w:gridSpan w:val="2"/>
          </w:tcPr>
          <w:p>
            <w:pPr>
              <w:pStyle w:val="nTable"/>
              <w:spacing w:after="20"/>
              <w:rPr>
                <w:sz w:val="19"/>
              </w:rPr>
            </w:pPr>
            <w:r>
              <w:rPr>
                <w:snapToGrid w:val="0"/>
                <w:sz w:val="19"/>
                <w:lang w:val="en-US"/>
              </w:rPr>
              <w:t>23 Nov 2004</w:t>
            </w:r>
          </w:p>
        </w:tc>
        <w:tc>
          <w:tcPr>
            <w:tcW w:w="2551" w:type="dxa"/>
            <w:gridSpan w:val="2"/>
          </w:tcPr>
          <w:p>
            <w:pPr>
              <w:pStyle w:val="nTable"/>
              <w:spacing w:after="2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6" w:type="dxa"/>
            <w:gridSpan w:val="10"/>
          </w:tcPr>
          <w:p>
            <w:pPr>
              <w:pStyle w:val="nTable"/>
              <w:spacing w:after="20"/>
              <w:rPr>
                <w:snapToGrid w:val="0"/>
                <w:sz w:val="19"/>
                <w:lang w:val="en-US"/>
              </w:rPr>
            </w:pPr>
            <w:r>
              <w:rPr>
                <w:b/>
                <w:sz w:val="19"/>
              </w:rPr>
              <w:t xml:space="preserve">Reprint 4: The </w:t>
            </w:r>
            <w:r>
              <w:rPr>
                <w:b/>
                <w:i/>
                <w:sz w:val="19"/>
              </w:rPr>
              <w:t>Library Board of Western Australia Act 1951</w:t>
            </w:r>
            <w:r>
              <w:rPr>
                <w:b/>
                <w:sz w:val="19"/>
              </w:rPr>
              <w:t xml:space="preserve"> as at 10 Feb 2006 </w:t>
            </w:r>
            <w:r>
              <w:rPr>
                <w:sz w:val="19"/>
              </w:rPr>
              <w:t>(includes amendments listed above)</w:t>
            </w:r>
          </w:p>
        </w:tc>
      </w:tr>
      <w:tr>
        <w:trPr>
          <w:cantSplit/>
          <w:ins w:id="205" w:author="svcMRProcess" w:date="2015-12-08T09:16:00Z"/>
        </w:trPr>
        <w:tc>
          <w:tcPr>
            <w:tcW w:w="2267" w:type="dxa"/>
            <w:gridSpan w:val="3"/>
            <w:tcBorders>
              <w:bottom w:val="single" w:sz="4" w:space="0" w:color="auto"/>
            </w:tcBorders>
          </w:tcPr>
          <w:p>
            <w:pPr>
              <w:pStyle w:val="nTable"/>
              <w:spacing w:after="20"/>
              <w:rPr>
                <w:ins w:id="206" w:author="svcMRProcess" w:date="2015-12-08T09:16:00Z"/>
                <w:i/>
                <w:sz w:val="19"/>
              </w:rPr>
            </w:pPr>
            <w:ins w:id="207" w:author="svcMRProcess" w:date="2015-12-08T09:16:00Z">
              <w:r>
                <w:rPr>
                  <w:i/>
                  <w:snapToGrid w:val="0"/>
                  <w:sz w:val="19"/>
                  <w:lang w:val="en-US"/>
                </w:rPr>
                <w:t xml:space="preserve">Financial Legislation Amendment and Repeal Act 2006 </w:t>
              </w:r>
              <w:r>
                <w:rPr>
                  <w:snapToGrid w:val="0"/>
                  <w:sz w:val="19"/>
                  <w:lang w:val="en-US"/>
                </w:rPr>
                <w:t>s. 4 and 17</w:t>
              </w:r>
            </w:ins>
          </w:p>
        </w:tc>
        <w:tc>
          <w:tcPr>
            <w:tcW w:w="1134" w:type="dxa"/>
            <w:gridSpan w:val="3"/>
            <w:tcBorders>
              <w:bottom w:val="single" w:sz="4" w:space="0" w:color="auto"/>
            </w:tcBorders>
          </w:tcPr>
          <w:p>
            <w:pPr>
              <w:pStyle w:val="nTable"/>
              <w:spacing w:after="20"/>
              <w:rPr>
                <w:ins w:id="208" w:author="svcMRProcess" w:date="2015-12-08T09:16:00Z"/>
                <w:snapToGrid w:val="0"/>
                <w:sz w:val="19"/>
              </w:rPr>
            </w:pPr>
            <w:ins w:id="209" w:author="svcMRProcess" w:date="2015-12-08T09:16:00Z">
              <w:r>
                <w:rPr>
                  <w:snapToGrid w:val="0"/>
                  <w:sz w:val="19"/>
                  <w:lang w:val="en-US"/>
                </w:rPr>
                <w:t xml:space="preserve">77 of 2006 </w:t>
              </w:r>
            </w:ins>
          </w:p>
        </w:tc>
        <w:tc>
          <w:tcPr>
            <w:tcW w:w="1134" w:type="dxa"/>
            <w:gridSpan w:val="2"/>
            <w:tcBorders>
              <w:bottom w:val="single" w:sz="4" w:space="0" w:color="auto"/>
            </w:tcBorders>
          </w:tcPr>
          <w:p>
            <w:pPr>
              <w:pStyle w:val="nTable"/>
              <w:spacing w:after="20"/>
              <w:rPr>
                <w:ins w:id="210" w:author="svcMRProcess" w:date="2015-12-08T09:16:00Z"/>
                <w:sz w:val="19"/>
              </w:rPr>
            </w:pPr>
            <w:ins w:id="211" w:author="svcMRProcess" w:date="2015-12-08T09:16:00Z">
              <w:r>
                <w:rPr>
                  <w:snapToGrid w:val="0"/>
                  <w:sz w:val="19"/>
                  <w:lang w:val="en-US"/>
                </w:rPr>
                <w:t>21 Dec 2006</w:t>
              </w:r>
            </w:ins>
          </w:p>
        </w:tc>
        <w:tc>
          <w:tcPr>
            <w:tcW w:w="2551" w:type="dxa"/>
            <w:gridSpan w:val="2"/>
            <w:tcBorders>
              <w:bottom w:val="single" w:sz="4" w:space="0" w:color="auto"/>
            </w:tcBorders>
          </w:tcPr>
          <w:p>
            <w:pPr>
              <w:pStyle w:val="nTable"/>
              <w:spacing w:after="20"/>
              <w:rPr>
                <w:ins w:id="212" w:author="svcMRProcess" w:date="2015-12-08T09:16:00Z"/>
                <w:sz w:val="19"/>
              </w:rPr>
            </w:pPr>
            <w:ins w:id="213" w:author="svcMRProcess" w:date="2015-12-08T09:16: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spacing w:before="280"/>
        <w:ind w:left="482" w:hanging="482"/>
      </w:pPr>
      <w:r>
        <w:rPr>
          <w:vertAlign w:val="superscript"/>
        </w:rPr>
        <w:t>1a</w:t>
      </w:r>
      <w:r>
        <w:tab/>
        <w:t>On the date as at which thi</w:t>
      </w:r>
      <w:bookmarkStart w:id="214" w:name="_Hlt507390729"/>
      <w:bookmarkEnd w:id="214"/>
      <w:r>
        <w:t xml:space="preserve">s </w:t>
      </w:r>
      <w:del w:id="215" w:author="svcMRProcess" w:date="2015-12-08T09:16:00Z">
        <w:r>
          <w:delText>reprint</w:delText>
        </w:r>
      </w:del>
      <w:ins w:id="216" w:author="svcMRProcess" w:date="2015-12-08T09:16:00Z">
        <w:r>
          <w:t>compilation</w:t>
        </w:r>
      </w:ins>
      <w:r>
        <w:t xml:space="preserve"> was prepared, provisions referred to in the following table had not come into operation and were therefore not included in </w:t>
      </w:r>
      <w:del w:id="217" w:author="svcMRProcess" w:date="2015-12-08T09:16:00Z">
        <w:r>
          <w:delText>compiling the reprint.</w:delText>
        </w:r>
      </w:del>
      <w:ins w:id="218" w:author="svcMRProcess" w:date="2015-12-08T09:16:00Z">
        <w:r>
          <w:t>this compilation.</w:t>
        </w:r>
      </w:ins>
      <w:r>
        <w:t xml:space="preserve">  For the text of the provisions see the endnotes referred to in the table.</w:t>
      </w:r>
    </w:p>
    <w:p>
      <w:pPr>
        <w:pStyle w:val="nHeading3"/>
      </w:pPr>
      <w:bookmarkStart w:id="219" w:name="_Toc157922049"/>
      <w:bookmarkStart w:id="220" w:name="_Toc125866927"/>
      <w:r>
        <w:t>Provisions that have not come into operation</w:t>
      </w:r>
      <w:bookmarkEnd w:id="219"/>
      <w:bookmarkEnd w:id="2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Subsection"/>
      </w:pPr>
      <w:r>
        <w:rPr>
          <w:vertAlign w:val="superscript"/>
        </w:rPr>
        <w:t>4</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pPr>
        <w:pStyle w:val="nSubsection"/>
      </w:pPr>
      <w:bookmarkStart w:id="221" w:name="_Ref460385213"/>
      <w:bookmarkEnd w:id="221"/>
      <w:r>
        <w:rPr>
          <w:vertAlign w:val="superscript"/>
        </w:rPr>
        <w:t>7</w:t>
      </w:r>
      <w:r>
        <w:tab/>
        <w:t xml:space="preserve">The </w:t>
      </w:r>
      <w:r>
        <w:rPr>
          <w:i/>
        </w:rPr>
        <w:t>State Records (Consequential Provisions) Act 2000</w:t>
      </w:r>
      <w:r>
        <w:t xml:space="preserve"> Pt. 6 Div. 2 reads as follows:</w:t>
      </w:r>
    </w:p>
    <w:p>
      <w:pPr>
        <w:pStyle w:val="MiscOpen"/>
      </w:pPr>
      <w:r>
        <w:t>“</w:t>
      </w:r>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del w:id="222" w:author="svcMRProcess" w:date="2015-12-08T09:16:00Z">
        <w:r>
          <w:rPr>
            <w:rStyle w:val="CharDefText"/>
          </w:rPr>
          <w:delText>“</w:delText>
        </w:r>
      </w:del>
      <w:r>
        <w:rPr>
          <w:rStyle w:val="CharDefText"/>
        </w:rPr>
        <w:t>commencement</w:t>
      </w:r>
      <w:del w:id="223" w:author="svcMRProcess" w:date="2015-12-08T09:16:00Z">
        <w:r>
          <w:rPr>
            <w:rStyle w:val="CharDefText"/>
          </w:rPr>
          <w:delText>”</w:delText>
        </w:r>
      </w:del>
      <w:r>
        <w:t xml:space="preserve"> 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w:t>
      </w:r>
      <w:bookmarkStart w:id="224" w:name="UpToHere"/>
      <w:r>
        <w:rPr>
          <w:snapToGrid w:val="0"/>
        </w:rPr>
        <w:t> —</w:t>
      </w:r>
      <w:bookmarkEnd w:id="224"/>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pPr>
        <w:pStyle w:val="nSubsection"/>
        <w:keepNext/>
        <w:rPr>
          <w:snapToGrid w:val="0"/>
        </w:rPr>
      </w:pPr>
      <w:bookmarkStart w:id="225" w:name="AutoSch"/>
      <w:bookmarkEnd w:id="225"/>
      <w:r>
        <w:rPr>
          <w:snapToGrid w:val="0"/>
          <w:vertAlign w:val="superscript"/>
        </w:rPr>
        <w:t>8</w:t>
      </w:r>
      <w:r>
        <w:rPr>
          <w:snapToGrid w:val="0"/>
        </w:rPr>
        <w:tab/>
        <w:t xml:space="preserve">On the date as at which this </w:t>
      </w:r>
      <w:del w:id="226" w:author="svcMRProcess" w:date="2015-12-08T09:16:00Z">
        <w:r>
          <w:rPr>
            <w:snapToGrid w:val="0"/>
          </w:rPr>
          <w:delText>reprint</w:delText>
        </w:r>
      </w:del>
      <w:ins w:id="227" w:author="svcMRProcess" w:date="2015-12-08T09:16:00Z">
        <w:r>
          <w:rPr>
            <w:snapToGrid w:val="0"/>
          </w:rPr>
          <w:t>compilation</w:t>
        </w:r>
      </w:ins>
      <w:r>
        <w:rPr>
          <w:snapToGrid w:val="0"/>
        </w:rPr>
        <w:t xml:space="preserve"> was prepared, the </w:t>
      </w:r>
      <w:r>
        <w:rPr>
          <w:i/>
          <w:sz w:val="19"/>
        </w:rPr>
        <w:t>State Superannuation (Transitional and Consequential Provisions) Act 2000</w:t>
      </w:r>
      <w:r>
        <w:rPr>
          <w:sz w:val="19"/>
        </w:rPr>
        <w:t xml:space="preserve"> s. 54 </w:t>
      </w:r>
      <w:r>
        <w:rPr>
          <w:snapToGrid w:val="0"/>
        </w:rPr>
        <w:t>had not come into operation.  It reads as follows:</w:t>
      </w:r>
    </w:p>
    <w:p>
      <w:pPr>
        <w:pStyle w:val="MiscOpen"/>
        <w:rPr>
          <w:snapToGrid w:val="0"/>
        </w:rPr>
      </w:pPr>
      <w:r>
        <w:rPr>
          <w:snapToGrid w:val="0"/>
        </w:rPr>
        <w:t>“</w:t>
      </w:r>
    </w:p>
    <w:p>
      <w:pPr>
        <w:pStyle w:val="nzHeading5"/>
      </w:pPr>
      <w:r>
        <w:rPr>
          <w:rStyle w:val="CharSectno"/>
        </w:rPr>
        <w:t>54</w:t>
      </w:r>
      <w:r>
        <w:t>.</w:t>
      </w:r>
      <w:r>
        <w:tab/>
      </w:r>
      <w:r>
        <w:rPr>
          <w:i/>
        </w:rPr>
        <w:t>Library Board of Western Australia Act 1951</w:t>
      </w:r>
      <w:r>
        <w:t xml:space="preserve"> amended</w:t>
      </w:r>
    </w:p>
    <w:p>
      <w:pPr>
        <w:pStyle w:val="nzSubsection"/>
      </w:pPr>
      <w:r>
        <w:tab/>
      </w:r>
      <w:r>
        <w:tab/>
        <w:t xml:space="preserve">The </w:t>
      </w:r>
      <w:r>
        <w:rPr>
          <w:i/>
        </w:rPr>
        <w:t>Library Board of Western Australia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pPr>
        <w:pStyle w:val="MiscClose"/>
        <w:rPr>
          <w:snapToGrid w:val="0"/>
        </w:rPr>
      </w:pPr>
      <w:r>
        <w:rPr>
          <w:snapToGrid w:val="0"/>
        </w:rPr>
        <w:t>”.</w:t>
      </w:r>
    </w:p>
    <w:p/>
    <w:p>
      <w:pPr>
        <w:sectPr>
          <w:pgSz w:w="11906" w:h="16838" w:code="9"/>
          <w:pgMar w:top="2376" w:right="2404" w:bottom="3544" w:left="2404" w:header="720" w:footer="3380" w:gutter="0"/>
          <w:cols w:space="720"/>
          <w:noEndnote/>
          <w:docGrid w:linePitch="326"/>
        </w:sectPr>
      </w:pPr>
    </w:p>
    <w:p/>
    <w:sectPr>
      <w:headerReference w:type="even" r:id="rId22"/>
      <w:headerReference w:type="default" r:id="rId2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7335</Words>
  <Characters>34040</Characters>
  <Application>Microsoft Office Word</Application>
  <DocSecurity>0</DocSecurity>
  <Lines>945</Lines>
  <Paragraphs>449</Paragraphs>
  <ScaleCrop>false</ScaleCrop>
  <HeadingPairs>
    <vt:vector size="2" baseType="variant">
      <vt:variant>
        <vt:lpstr>Title</vt:lpstr>
      </vt:variant>
      <vt:variant>
        <vt:i4>1</vt:i4>
      </vt:variant>
    </vt:vector>
  </HeadingPairs>
  <TitlesOfParts>
    <vt:vector size="1" baseType="lpstr">
      <vt:lpstr>Library Board of Western Australia Act 1951</vt:lpstr>
    </vt:vector>
  </TitlesOfParts>
  <Manager/>
  <Company/>
  <LinksUpToDate>false</LinksUpToDate>
  <CharactersWithSpaces>40926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04-a0-03 - 04-b0-07</dc:title>
  <dc:subject/>
  <dc:creator/>
  <cp:keywords/>
  <dc:description/>
  <cp:lastModifiedBy>svcMRProcess</cp:lastModifiedBy>
  <cp:revision>2</cp:revision>
  <cp:lastPrinted>2006-01-24T06:22:00Z</cp:lastPrinted>
  <dcterms:created xsi:type="dcterms:W3CDTF">2015-12-08T01:16:00Z</dcterms:created>
  <dcterms:modified xsi:type="dcterms:W3CDTF">2015-12-08T01:16:00Z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453</vt:i4>
  </property>
  <property fmtid="{D5CDD505-2E9C-101B-9397-08002B2CF9AE}" pid="6" name="ReprintNo">
    <vt:lpwstr>4</vt:lpwstr>
  </property>
  <property fmtid="{D5CDD505-2E9C-101B-9397-08002B2CF9AE}" pid="7" name="FromSuffix">
    <vt:lpwstr>04-a0-03</vt:lpwstr>
  </property>
  <property fmtid="{D5CDD505-2E9C-101B-9397-08002B2CF9AE}" pid="8" name="FromAsAtDate">
    <vt:lpwstr>10 Feb 2006</vt:lpwstr>
  </property>
  <property fmtid="{D5CDD505-2E9C-101B-9397-08002B2CF9AE}" pid="9" name="ToSuffix">
    <vt:lpwstr>04-b0-07</vt:lpwstr>
  </property>
  <property fmtid="{D5CDD505-2E9C-101B-9397-08002B2CF9AE}" pid="10" name="ToAsAtDate">
    <vt:lpwstr>01 Feb 2007</vt:lpwstr>
  </property>
</Properties>
</file>