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05 May 2006</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1T20:29:00Z"/>
        </w:trPr>
        <w:tc>
          <w:tcPr>
            <w:tcW w:w="2434" w:type="dxa"/>
            <w:vMerge w:val="restart"/>
          </w:tcPr>
          <w:p>
            <w:pPr>
              <w:rPr>
                <w:ins w:id="1" w:author="svcMRProcess" w:date="2015-11-01T20:29:00Z"/>
              </w:rPr>
            </w:pPr>
          </w:p>
        </w:tc>
        <w:tc>
          <w:tcPr>
            <w:tcW w:w="2434" w:type="dxa"/>
            <w:vMerge w:val="restart"/>
          </w:tcPr>
          <w:p>
            <w:pPr>
              <w:jc w:val="center"/>
              <w:rPr>
                <w:ins w:id="2" w:author="svcMRProcess" w:date="2015-11-01T20:29:00Z"/>
              </w:rPr>
            </w:pPr>
            <w:ins w:id="3" w:author="svcMRProcess" w:date="2015-11-01T20: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1T20:29:00Z"/>
              </w:rPr>
            </w:pPr>
          </w:p>
        </w:tc>
      </w:tr>
      <w:tr>
        <w:trPr>
          <w:cantSplit/>
          <w:ins w:id="5" w:author="svcMRProcess" w:date="2015-11-01T20:29:00Z"/>
        </w:trPr>
        <w:tc>
          <w:tcPr>
            <w:tcW w:w="2434" w:type="dxa"/>
            <w:vMerge/>
          </w:tcPr>
          <w:p>
            <w:pPr>
              <w:rPr>
                <w:ins w:id="6" w:author="svcMRProcess" w:date="2015-11-01T20:29:00Z"/>
              </w:rPr>
            </w:pPr>
          </w:p>
        </w:tc>
        <w:tc>
          <w:tcPr>
            <w:tcW w:w="2434" w:type="dxa"/>
            <w:vMerge/>
          </w:tcPr>
          <w:p>
            <w:pPr>
              <w:jc w:val="center"/>
              <w:rPr>
                <w:ins w:id="7" w:author="svcMRProcess" w:date="2015-11-01T20:29:00Z"/>
              </w:rPr>
            </w:pPr>
          </w:p>
        </w:tc>
        <w:tc>
          <w:tcPr>
            <w:tcW w:w="2434" w:type="dxa"/>
          </w:tcPr>
          <w:p>
            <w:pPr>
              <w:keepNext/>
              <w:rPr>
                <w:ins w:id="8" w:author="svcMRProcess" w:date="2015-11-01T20:29:00Z"/>
                <w:b/>
                <w:sz w:val="22"/>
              </w:rPr>
            </w:pPr>
            <w:ins w:id="9" w:author="svcMRProcess" w:date="2015-11-01T20:29:00Z">
              <w:r>
                <w:rPr>
                  <w:b/>
                  <w:sz w:val="22"/>
                </w:rPr>
                <w:t xml:space="preserve">Reprinted under the </w:t>
              </w:r>
              <w:r>
                <w:rPr>
                  <w:b/>
                  <w:i/>
                  <w:sz w:val="22"/>
                </w:rPr>
                <w:t>Reprints Act 1984</w:t>
              </w:r>
              <w:r>
                <w:rPr>
                  <w:b/>
                  <w:sz w:val="22"/>
                </w:rPr>
                <w:t xml:space="preserve"> as at 5</w:t>
              </w:r>
              <w:r>
                <w:rPr>
                  <w:b/>
                  <w:snapToGrid w:val="0"/>
                  <w:sz w:val="22"/>
                </w:rPr>
                <w:t xml:space="preserve"> May 2006</w:t>
              </w:r>
            </w:ins>
          </w:p>
        </w:tc>
      </w:tr>
    </w:tbl>
    <w:p>
      <w:pPr>
        <w:pStyle w:val="WA"/>
      </w:pPr>
      <w:r>
        <w:t>Western Australia</w:t>
      </w:r>
    </w:p>
    <w:p>
      <w:pPr>
        <w:pStyle w:val="NameofActReg"/>
        <w:spacing w:before="960" w:after="1200"/>
      </w:pPr>
      <w:r>
        <w:t xml:space="preserve">Licensed Surveyors Act 1909 </w:t>
      </w:r>
    </w:p>
    <w:p>
      <w:pPr>
        <w:pStyle w:val="LongTitle"/>
        <w:spacing w:after="480"/>
        <w:rPr>
          <w:snapToGrid w:val="0"/>
        </w:rPr>
      </w:pPr>
      <w:r>
        <w:rPr>
          <w:snapToGrid w:val="0"/>
        </w:rPr>
        <w:t>A</w:t>
      </w:r>
      <w:bookmarkStart w:id="10" w:name="_GoBack"/>
      <w:bookmarkEnd w:id="10"/>
      <w:r>
        <w:rPr>
          <w:snapToGrid w:val="0"/>
        </w:rPr>
        <w:t xml:space="preserve">n Act to provide for the registration and licensing of land surveyors; to control the practice of such surveyors, and for other purposes incidental thereto. </w:t>
      </w:r>
    </w:p>
    <w:p>
      <w:pPr>
        <w:pStyle w:val="Heading5"/>
        <w:rPr>
          <w:snapToGrid w:val="0"/>
        </w:rPr>
      </w:pPr>
      <w:bookmarkStart w:id="11" w:name="_Toc487520695"/>
      <w:bookmarkStart w:id="12" w:name="_Toc512912558"/>
      <w:bookmarkStart w:id="13" w:name="_Toc513452322"/>
      <w:bookmarkStart w:id="14" w:name="_Toc104708396"/>
      <w:bookmarkStart w:id="15" w:name="_Toc133898746"/>
      <w:r>
        <w:rPr>
          <w:rStyle w:val="CharSectno"/>
        </w:rPr>
        <w:t>1</w:t>
      </w:r>
      <w:r>
        <w:rPr>
          <w:snapToGrid w:val="0"/>
        </w:rPr>
        <w:t>.</w:t>
      </w:r>
      <w:r>
        <w:rPr>
          <w:snapToGrid w:val="0"/>
        </w:rPr>
        <w:tab/>
        <w:t>Short title and 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pPr>
        <w:pStyle w:val="Heading5"/>
        <w:rPr>
          <w:snapToGrid w:val="0"/>
        </w:rPr>
      </w:pPr>
      <w:bookmarkStart w:id="16" w:name="_Toc487520696"/>
      <w:bookmarkStart w:id="17" w:name="_Toc512912559"/>
      <w:bookmarkStart w:id="18" w:name="_Toc513452323"/>
      <w:bookmarkStart w:id="19" w:name="_Toc104708397"/>
      <w:bookmarkStart w:id="20" w:name="_Toc133898747"/>
      <w:r>
        <w:rPr>
          <w:rStyle w:val="CharSectno"/>
        </w:rPr>
        <w:t>2</w:t>
      </w:r>
      <w:r>
        <w:rPr>
          <w:snapToGrid w:val="0"/>
        </w:rPr>
        <w:t>.</w:t>
      </w:r>
      <w:r>
        <w:rPr>
          <w:snapToGrid w:val="0"/>
        </w:rPr>
        <w:tab/>
        <w:t>References to licensed surveyor</w:t>
      </w:r>
      <w:bookmarkEnd w:id="16"/>
      <w:bookmarkEnd w:id="17"/>
      <w:bookmarkEnd w:id="18"/>
      <w:bookmarkEnd w:id="19"/>
      <w:bookmarkEnd w:id="20"/>
    </w:p>
    <w:p>
      <w:pPr>
        <w:pStyle w:val="Ednotesubsection"/>
      </w:pPr>
      <w:r>
        <w:tab/>
      </w:r>
      <w:r>
        <w:tab/>
        <w:t>[Paragraph omitted under the Reprints Act 1984 s. 7(4)(e) and</w:t>
      </w:r>
      <w:del w:id="21" w:author="svcMRProcess" w:date="2015-11-01T20:29:00Z">
        <w:r>
          <w:delText xml:space="preserve"> </w:delText>
        </w:r>
      </w:del>
      <w:ins w:id="22" w:author="svcMRProcess" w:date="2015-11-01T20:29:00Z">
        <w:r>
          <w:t> </w:t>
        </w:r>
      </w:ins>
      <w:r>
        <w:t>(f).]</w:t>
      </w:r>
    </w:p>
    <w:p>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pPr>
        <w:pStyle w:val="Footnotesection"/>
      </w:pPr>
      <w:r>
        <w:tab/>
        <w:t>[Section 2 amended by No. 79 of 1996 s. 4.]</w:t>
      </w:r>
    </w:p>
    <w:p>
      <w:pPr>
        <w:pStyle w:val="Heading5"/>
        <w:rPr>
          <w:snapToGrid w:val="0"/>
        </w:rPr>
      </w:pPr>
      <w:bookmarkStart w:id="23" w:name="_Toc487520697"/>
      <w:bookmarkStart w:id="24" w:name="_Toc512912560"/>
      <w:bookmarkStart w:id="25" w:name="_Toc513452324"/>
      <w:bookmarkStart w:id="26" w:name="_Toc104708398"/>
      <w:bookmarkStart w:id="27" w:name="_Toc133898748"/>
      <w:r>
        <w:rPr>
          <w:rStyle w:val="CharSectno"/>
        </w:rPr>
        <w:t>3</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pPr>
        <w:pStyle w:val="Defstart"/>
        <w:keepNext/>
      </w:pPr>
      <w:r>
        <w:rPr>
          <w:b/>
        </w:rPr>
        <w:tab/>
        <w:t>“</w:t>
      </w:r>
      <w:del w:id="28" w:author="svcMRProcess" w:date="2015-11-01T20:29:00Z">
        <w:r>
          <w:rPr>
            <w:rStyle w:val="CharDefText"/>
          </w:rPr>
          <w:delText>Authorised Survey</w:delText>
        </w:r>
      </w:del>
      <w:ins w:id="29" w:author="svcMRProcess" w:date="2015-11-01T20:29:00Z">
        <w:r>
          <w:rPr>
            <w:rStyle w:val="CharDefText"/>
          </w:rPr>
          <w:t>authorised survey</w:t>
        </w:r>
      </w:ins>
      <w:r>
        <w:rPr>
          <w:b/>
        </w:rPr>
        <w:t xml:space="preserve">” </w:t>
      </w:r>
      <w:r>
        <w:t>— A survey of land authorised or required — </w:t>
      </w:r>
    </w:p>
    <w:p>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pPr>
        <w:pStyle w:val="Defpara"/>
      </w:pPr>
      <w:r>
        <w:tab/>
        <w:t>(b)</w:t>
      </w:r>
      <w:r>
        <w:tab/>
        <w:t>by the proprietor, lessee or mortgagee under any Act affecting titles to land,</w:t>
      </w:r>
    </w:p>
    <w:p>
      <w:pPr>
        <w:pStyle w:val="Defstart"/>
        <w:keepNext/>
      </w:pPr>
      <w:r>
        <w:tab/>
      </w:r>
      <w:r>
        <w:tab/>
        <w:t>including — </w:t>
      </w:r>
    </w:p>
    <w:p>
      <w:pPr>
        <w:pStyle w:val="Defpara"/>
      </w:pPr>
      <w:r>
        <w:tab/>
        <w:t>(c)</w:t>
      </w:r>
      <w:r>
        <w:tab/>
        <w:t>a survey of land which re</w:t>
      </w:r>
      <w:r>
        <w:noBreakHyphen/>
        <w:t>establishes the boundaries previously established by a survey of land so authorised or required, if that re</w:t>
      </w:r>
      <w:r>
        <w:noBreakHyphen/>
        <w:t>establishment — </w:t>
      </w:r>
    </w:p>
    <w:p>
      <w:pPr>
        <w:pStyle w:val="Defsubpara"/>
        <w:rPr>
          <w:snapToGrid w:val="0"/>
        </w:rPr>
      </w:pPr>
      <w:r>
        <w:rPr>
          <w:snapToGrid w:val="0"/>
        </w:rPr>
        <w:tab/>
        <w:t>(i)</w:t>
      </w:r>
      <w:r>
        <w:rPr>
          <w:snapToGrid w:val="0"/>
        </w:rPr>
        <w:tab/>
        <w:t>involves the placement, replacement or relocation of any survey mark; or</w:t>
      </w:r>
    </w:p>
    <w:p>
      <w:pPr>
        <w:pStyle w:val="Defsubpara"/>
        <w:rPr>
          <w:snapToGrid w:val="0"/>
        </w:rPr>
      </w:pPr>
      <w:r>
        <w:rPr>
          <w:snapToGrid w:val="0"/>
        </w:rPr>
        <w:tab/>
        <w:t>(ii)</w:t>
      </w:r>
      <w:r>
        <w:rPr>
          <w:snapToGrid w:val="0"/>
        </w:rPr>
        <w:tab/>
        <w:t>is followed by advice for the purpose of enabling the boundaries of the land in question to be located,</w:t>
      </w:r>
    </w:p>
    <w:p>
      <w:pPr>
        <w:pStyle w:val="Defpara"/>
      </w:pPr>
      <w:r>
        <w:tab/>
      </w:r>
      <w:r>
        <w:tab/>
        <w:t>or both so involves and is so followed; and</w:t>
      </w:r>
    </w:p>
    <w:p>
      <w:pPr>
        <w:pStyle w:val="Defpara"/>
        <w:keepNext/>
      </w:pPr>
      <w:r>
        <w:tab/>
        <w:t>(d)</w:t>
      </w:r>
      <w:r>
        <w:tab/>
        <w:t>the lodgment of a plan with a Government department for acceptance or adoption by that department — </w:t>
      </w:r>
    </w:p>
    <w:p>
      <w:pPr>
        <w:pStyle w:val="Defsubpara"/>
        <w:spacing w:before="70"/>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pPr>
        <w:pStyle w:val="Defsubpara"/>
        <w:keepLines w:val="0"/>
        <w:spacing w:before="70"/>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pPr>
        <w:pStyle w:val="Defstart"/>
        <w:keepNext/>
      </w:pPr>
      <w:r>
        <w:rPr>
          <w:b/>
        </w:rPr>
        <w:tab/>
        <w:t>“</w:t>
      </w:r>
      <w:r>
        <w:rPr>
          <w:rStyle w:val="CharDefText"/>
        </w:rPr>
        <w:t>Board</w:t>
      </w:r>
      <w:r>
        <w:rPr>
          <w:b/>
        </w:rPr>
        <w:t xml:space="preserve">” </w:t>
      </w:r>
      <w:r>
        <w:t>— The Land Surveyors Licensing Board constituted under this Act.</w:t>
      </w:r>
    </w:p>
    <w:p>
      <w:pPr>
        <w:pStyle w:val="Defstart"/>
      </w:pPr>
      <w:r>
        <w:rPr>
          <w:b/>
        </w:rPr>
        <w:tab/>
        <w:t>“</w:t>
      </w:r>
      <w:r>
        <w:rPr>
          <w:rStyle w:val="CharDefText"/>
        </w:rPr>
        <w:t>Institute</w:t>
      </w:r>
      <w:r>
        <w:rPr>
          <w:b/>
        </w:rPr>
        <w:t xml:space="preserve">” </w:t>
      </w:r>
      <w:r>
        <w:t>— The Institution of Surveyors, Australia, Western Australia Division Inc.</w:t>
      </w:r>
    </w:p>
    <w:p>
      <w:pPr>
        <w:pStyle w:val="Defstart"/>
      </w:pPr>
      <w:r>
        <w:rPr>
          <w:b/>
        </w:rPr>
        <w:tab/>
        <w:t>“</w:t>
      </w:r>
      <w:del w:id="30" w:author="svcMRProcess" w:date="2015-11-01T20:29:00Z">
        <w:r>
          <w:rPr>
            <w:rStyle w:val="CharDefText"/>
          </w:rPr>
          <w:delText>Licence</w:delText>
        </w:r>
      </w:del>
      <w:ins w:id="31" w:author="svcMRProcess" w:date="2015-11-01T20:29:00Z">
        <w:r>
          <w:rPr>
            <w:rStyle w:val="CharDefText"/>
          </w:rPr>
          <w:t>licence</w:t>
        </w:r>
      </w:ins>
      <w:r>
        <w:rPr>
          <w:b/>
        </w:rPr>
        <w:t xml:space="preserve">” </w:t>
      </w:r>
      <w:r>
        <w:t>— A licence issued under this Act.</w:t>
      </w:r>
    </w:p>
    <w:p>
      <w:pPr>
        <w:pStyle w:val="Defstart"/>
      </w:pPr>
      <w:r>
        <w:rPr>
          <w:b/>
        </w:rPr>
        <w:tab/>
        <w:t>“</w:t>
      </w:r>
      <w:del w:id="32" w:author="svcMRProcess" w:date="2015-11-01T20:29:00Z">
        <w:r>
          <w:rPr>
            <w:rStyle w:val="CharDefText"/>
          </w:rPr>
          <w:delText>Licensed Surveyor</w:delText>
        </w:r>
      </w:del>
      <w:ins w:id="33" w:author="svcMRProcess" w:date="2015-11-01T20:29:00Z">
        <w:r>
          <w:rPr>
            <w:rStyle w:val="CharDefText"/>
          </w:rPr>
          <w:t>licensed surveyor</w:t>
        </w:r>
      </w:ins>
      <w:r>
        <w:rPr>
          <w:b/>
        </w:rPr>
        <w:t xml:space="preserve">” </w:t>
      </w:r>
      <w:r>
        <w:t>— A surveyor licensed under this Act.</w:t>
      </w:r>
    </w:p>
    <w:p>
      <w:pPr>
        <w:pStyle w:val="Defstart"/>
      </w:pPr>
      <w:del w:id="34" w:author="svcMRProcess" w:date="2015-11-01T20:29:00Z">
        <w:r>
          <w:rPr>
            <w:b/>
          </w:rPr>
          <w:tab/>
          <w:delText>“</w:delText>
        </w:r>
        <w:r>
          <w:rPr>
            <w:rStyle w:val="CharDefText"/>
          </w:rPr>
          <w:delText>Practising Certificate</w:delText>
        </w:r>
      </w:del>
      <w:ins w:id="35" w:author="svcMRProcess" w:date="2015-11-01T20:29:00Z">
        <w:r>
          <w:rPr>
            <w:b/>
          </w:rPr>
          <w:tab/>
          <w:t>“</w:t>
        </w:r>
        <w:r>
          <w:rPr>
            <w:rStyle w:val="CharDefText"/>
          </w:rPr>
          <w:t>practising certificate</w:t>
        </w:r>
      </w:ins>
      <w:r>
        <w:rPr>
          <w:b/>
        </w:rPr>
        <w:t xml:space="preserve">” </w:t>
      </w:r>
      <w:r>
        <w:t>— A practising certificate issued under section 11A.</w:t>
      </w:r>
    </w:p>
    <w:p>
      <w:pPr>
        <w:pStyle w:val="Defstart"/>
      </w:pPr>
      <w:r>
        <w:rPr>
          <w:b/>
        </w:rPr>
        <w:tab/>
        <w:t>“</w:t>
      </w:r>
      <w:del w:id="36" w:author="svcMRProcess" w:date="2015-11-01T20:29:00Z">
        <w:r>
          <w:rPr>
            <w:rStyle w:val="CharDefText"/>
          </w:rPr>
          <w:delText>Prescribed</w:delText>
        </w:r>
      </w:del>
      <w:ins w:id="37" w:author="svcMRProcess" w:date="2015-11-01T20:29:00Z">
        <w:r>
          <w:rPr>
            <w:rStyle w:val="CharDefText"/>
          </w:rPr>
          <w:t>prescribed</w:t>
        </w:r>
      </w:ins>
      <w:r>
        <w:rPr>
          <w:b/>
        </w:rPr>
        <w:t xml:space="preserve">” </w:t>
      </w:r>
      <w:r>
        <w:t>— Prescribed by this Act or the regulations made thereunder.</w:t>
      </w:r>
    </w:p>
    <w:p>
      <w:pPr>
        <w:pStyle w:val="Defstart"/>
      </w:pPr>
      <w:r>
        <w:rPr>
          <w:b/>
        </w:rPr>
        <w:tab/>
        <w:t>“</w:t>
      </w:r>
      <w:del w:id="38" w:author="svcMRProcess" w:date="2015-11-01T20:29:00Z">
        <w:r>
          <w:rPr>
            <w:rStyle w:val="CharDefText"/>
          </w:rPr>
          <w:delText>Reciprocating</w:delText>
        </w:r>
      </w:del>
      <w:ins w:id="39" w:author="svcMRProcess" w:date="2015-11-01T20:29:00Z">
        <w:r>
          <w:rPr>
            <w:rStyle w:val="CharDefText"/>
          </w:rPr>
          <w:t>reciprocating</w:t>
        </w:r>
      </w:ins>
      <w:r>
        <w:rPr>
          <w:rStyle w:val="CharDefText"/>
        </w:rPr>
        <w:t xml:space="preserve"> State</w:t>
      </w:r>
      <w:r>
        <w:rPr>
          <w:b/>
        </w:rPr>
        <w:t xml:space="preserve">” </w:t>
      </w:r>
      <w:r>
        <w:t xml:space="preserve">— Any State, </w:t>
      </w:r>
      <w:del w:id="40" w:author="svcMRProcess" w:date="2015-11-01T20:29:00Z">
        <w:r>
          <w:delText>Colony</w:delText>
        </w:r>
      </w:del>
      <w:ins w:id="41" w:author="svcMRProcess" w:date="2015-11-01T20:29:00Z">
        <w:r>
          <w:t>colony</w:t>
        </w:r>
      </w:ins>
      <w:r>
        <w:t xml:space="preserve">, or </w:t>
      </w:r>
      <w:del w:id="42" w:author="svcMRProcess" w:date="2015-11-01T20:29:00Z">
        <w:r>
          <w:delText>Dominion</w:delText>
        </w:r>
      </w:del>
      <w:ins w:id="43" w:author="svcMRProcess" w:date="2015-11-01T20:29:00Z">
        <w:r>
          <w:t>dominion</w:t>
        </w:r>
      </w:ins>
      <w:r>
        <w:t xml:space="preserve"> within Her Majesty’s </w:t>
      </w:r>
      <w:del w:id="44" w:author="svcMRProcess" w:date="2015-11-01T20:29:00Z">
        <w:r>
          <w:delText>Dominions</w:delText>
        </w:r>
      </w:del>
      <w:ins w:id="45" w:author="svcMRProcess" w:date="2015-11-01T20:29:00Z">
        <w:r>
          <w:t>dominions</w:t>
        </w:r>
      </w:ins>
      <w:r>
        <w:t xml:space="preserve"> with which reciprocal arrangements have been made by the Board for the recognition of the status of surveyors.</w:t>
      </w:r>
    </w:p>
    <w:p>
      <w:pPr>
        <w:pStyle w:val="Defstart"/>
      </w:pPr>
      <w:r>
        <w:rPr>
          <w:b/>
        </w:rPr>
        <w:tab/>
        <w:t>“</w:t>
      </w:r>
      <w:del w:id="46" w:author="svcMRProcess" w:date="2015-11-01T20:29:00Z">
        <w:r>
          <w:rPr>
            <w:rStyle w:val="CharDefText"/>
          </w:rPr>
          <w:delText>Register</w:delText>
        </w:r>
      </w:del>
      <w:ins w:id="47" w:author="svcMRProcess" w:date="2015-11-01T20:29:00Z">
        <w:r>
          <w:rPr>
            <w:rStyle w:val="CharDefText"/>
          </w:rPr>
          <w:t>register</w:t>
        </w:r>
      </w:ins>
      <w:r>
        <w:rPr>
          <w:b/>
        </w:rPr>
        <w:t xml:space="preserve">” </w:t>
      </w:r>
      <w:r>
        <w:t>— The register of licensed surveyors directed by this Act to be kept.</w:t>
      </w:r>
    </w:p>
    <w:p>
      <w:pPr>
        <w:pStyle w:val="Defstart"/>
      </w:pPr>
      <w:r>
        <w:rPr>
          <w:b/>
        </w:rPr>
        <w:tab/>
        <w:t>“</w:t>
      </w:r>
      <w:del w:id="48" w:author="svcMRProcess" w:date="2015-11-01T20:29:00Z">
        <w:r>
          <w:rPr>
            <w:rStyle w:val="CharDefText"/>
          </w:rPr>
          <w:delText>Secretary</w:delText>
        </w:r>
      </w:del>
      <w:ins w:id="49" w:author="svcMRProcess" w:date="2015-11-01T20:29:00Z">
        <w:r>
          <w:rPr>
            <w:rStyle w:val="CharDefText"/>
          </w:rPr>
          <w:t>secretary</w:t>
        </w:r>
      </w:ins>
      <w:r>
        <w:rPr>
          <w:b/>
        </w:rPr>
        <w:t xml:space="preserve">” </w:t>
      </w:r>
      <w:r>
        <w:t xml:space="preserve">— The </w:t>
      </w:r>
      <w:del w:id="50" w:author="svcMRProcess" w:date="2015-11-01T20:29:00Z">
        <w:r>
          <w:delText>Secretary</w:delText>
        </w:r>
      </w:del>
      <w:ins w:id="51" w:author="svcMRProcess" w:date="2015-11-01T20:29:00Z">
        <w:r>
          <w:t>secretary</w:t>
        </w:r>
      </w:ins>
      <w:r>
        <w:t xml:space="preserve"> to the Board.</w:t>
      </w:r>
    </w:p>
    <w:p>
      <w:pPr>
        <w:pStyle w:val="Defstart"/>
        <w:rPr>
          <w:spacing w:val="-2"/>
        </w:rPr>
      </w:pPr>
      <w:r>
        <w:rPr>
          <w:b/>
          <w:spacing w:val="-2"/>
        </w:rPr>
        <w:tab/>
        <w:t>“</w:t>
      </w:r>
      <w:del w:id="52" w:author="svcMRProcess" w:date="2015-11-01T20:29:00Z">
        <w:r>
          <w:rPr>
            <w:rStyle w:val="CharDefText"/>
            <w:spacing w:val="-2"/>
          </w:rPr>
          <w:delText>Standard Period</w:delText>
        </w:r>
      </w:del>
      <w:ins w:id="53" w:author="svcMRProcess" w:date="2015-11-01T20:29:00Z">
        <w:r>
          <w:rPr>
            <w:rStyle w:val="CharDefText"/>
            <w:spacing w:val="-2"/>
          </w:rPr>
          <w:t>standard period</w:t>
        </w:r>
      </w:ins>
      <w:r>
        <w:rPr>
          <w:b/>
          <w:spacing w:val="-2"/>
        </w:rPr>
        <w:t>”</w:t>
      </w:r>
      <w:r>
        <w:rPr>
          <w:spacing w:val="-2"/>
        </w:rPr>
        <w:t>, in relation to a practising certificate, means such period or periods, each not exceeding 3 years and expiring at the end of a calendar year, as is or are prescribed.</w:t>
      </w:r>
    </w:p>
    <w:p>
      <w:pPr>
        <w:pStyle w:val="Defstart"/>
      </w:pPr>
      <w:r>
        <w:rPr>
          <w:b/>
        </w:rPr>
        <w:tab/>
        <w:t>“</w:t>
      </w:r>
      <w:del w:id="54" w:author="svcMRProcess" w:date="2015-11-01T20:29:00Z">
        <w:r>
          <w:rPr>
            <w:rStyle w:val="CharDefText"/>
          </w:rPr>
          <w:delText>Survey Mark</w:delText>
        </w:r>
      </w:del>
      <w:ins w:id="55" w:author="svcMRProcess" w:date="2015-11-01T20:29:00Z">
        <w:r>
          <w:rPr>
            <w:rStyle w:val="CharDefText"/>
          </w:rPr>
          <w:t>survey mark</w:t>
        </w:r>
      </w:ins>
      <w:r>
        <w:rPr>
          <w:b/>
        </w:rPr>
        <w:t xml:space="preserve">” </w:t>
      </w:r>
      <w:r>
        <w:t>— A cairn, beacon, structure, post, peg, block, plug, tube, pipe, spike, pole or other mark of whatsoever material composed which is or has been placed, sunk or set up in such manner and by such persons as are prescribed.</w:t>
      </w:r>
    </w:p>
    <w:p>
      <w:pPr>
        <w:pStyle w:val="Defstart"/>
      </w:pPr>
      <w:r>
        <w:rPr>
          <w:b/>
        </w:rPr>
        <w:tab/>
        <w:t>“</w:t>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pPr>
        <w:pStyle w:val="Defstart"/>
      </w:pPr>
      <w:r>
        <w:rPr>
          <w:b/>
        </w:rPr>
        <w:tab/>
        <w:t>“</w:t>
      </w:r>
      <w:del w:id="56" w:author="svcMRProcess" w:date="2015-11-01T20:29:00Z">
        <w:r>
          <w:rPr>
            <w:rStyle w:val="CharDefText"/>
          </w:rPr>
          <w:delText>This</w:delText>
        </w:r>
      </w:del>
      <w:ins w:id="57" w:author="svcMRProcess" w:date="2015-11-01T20:29:00Z">
        <w:r>
          <w:rPr>
            <w:rStyle w:val="CharDefText"/>
          </w:rPr>
          <w:t>this</w:t>
        </w:r>
      </w:ins>
      <w:r>
        <w:rPr>
          <w:rStyle w:val="CharDefText"/>
        </w:rPr>
        <w:t xml:space="preserve"> Act</w:t>
      </w:r>
      <w:r>
        <w:rPr>
          <w:b/>
        </w:rPr>
        <w:t xml:space="preserve">” </w:t>
      </w:r>
      <w:r>
        <w:t>— This Act and any regulations made thereunder.</w:t>
      </w:r>
    </w:p>
    <w:p>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pPr>
        <w:pStyle w:val="Footnotesection"/>
      </w:pPr>
      <w:r>
        <w:tab/>
        <w:t xml:space="preserve">[Section 3 amended by No. 16 of 1940 s. 2; No. 107 of 1976 s. 3; No. 79 of 1996 s. 5.] </w:t>
      </w:r>
    </w:p>
    <w:p>
      <w:pPr>
        <w:pStyle w:val="Heading5"/>
        <w:spacing w:before="260"/>
        <w:rPr>
          <w:snapToGrid w:val="0"/>
        </w:rPr>
      </w:pPr>
      <w:bookmarkStart w:id="58" w:name="_Toc487520698"/>
      <w:bookmarkStart w:id="59" w:name="_Toc512912561"/>
      <w:bookmarkStart w:id="60" w:name="_Toc513452325"/>
      <w:bookmarkStart w:id="61" w:name="_Toc104708399"/>
      <w:bookmarkStart w:id="62" w:name="_Toc133898749"/>
      <w:r>
        <w:rPr>
          <w:rStyle w:val="CharSectno"/>
        </w:rPr>
        <w:t>4</w:t>
      </w:r>
      <w:r>
        <w:rPr>
          <w:snapToGrid w:val="0"/>
        </w:rPr>
        <w:t>.</w:t>
      </w:r>
      <w:r>
        <w:rPr>
          <w:snapToGrid w:val="0"/>
        </w:rPr>
        <w:tab/>
        <w:t>Constitution of Board</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There shall be a Land Surveyors Licensing Board which shall consist of </w:t>
      </w:r>
      <w:r>
        <w:t>— </w:t>
      </w:r>
    </w:p>
    <w:p>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pPr>
        <w:pStyle w:val="Indenta"/>
      </w:pPr>
      <w:r>
        <w:tab/>
        <w:t>(b)</w:t>
      </w:r>
      <w:r>
        <w:tab/>
        <w:t>one member appointed by the Governor, on the nomination of the chief executive officer, to represent interests in relation to land registration matters;</w:t>
      </w:r>
    </w:p>
    <w:p>
      <w:pPr>
        <w:pStyle w:val="Indenta"/>
      </w:pPr>
      <w:r>
        <w:tab/>
        <w:t>(ba)</w:t>
      </w:r>
      <w:r>
        <w:tab/>
        <w:t>one member appointed by the Governor, on the nomination of the Minister, to represent the interests of the users of licensed surveyors’ services;</w:t>
      </w:r>
    </w:p>
    <w:p>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pPr>
        <w:pStyle w:val="Subsection"/>
      </w:pPr>
      <w:r>
        <w:tab/>
        <w:t>(1a)</w:t>
      </w:r>
      <w:r>
        <w:tab/>
        <w:t>The Governor shall appoint, on the nomination of the Minister, one of the members of the Board to be the chairman of the Board.</w:t>
      </w:r>
    </w:p>
    <w:p>
      <w:pPr>
        <w:pStyle w:val="Subsection"/>
      </w:pPr>
      <w:r>
        <w:tab/>
        <w:t>(1b)</w:t>
      </w:r>
      <w:r>
        <w:tab/>
        <w:t>One person appointed under subsection (1)(a), (b), (ba) or (d) shall be a licensed surveyor who holds a practising certificate.</w:t>
      </w:r>
    </w:p>
    <w:p>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pPr>
        <w:pStyle w:val="Subsection"/>
        <w:keepNext/>
        <w:rPr>
          <w:snapToGrid w:val="0"/>
        </w:rPr>
      </w:pPr>
      <w:r>
        <w:rPr>
          <w:snapToGrid w:val="0"/>
        </w:rPr>
        <w:tab/>
        <w:t>(4a)</w:t>
      </w:r>
      <w:r>
        <w:rPr>
          <w:snapToGrid w:val="0"/>
        </w:rPr>
        <w:tab/>
        <w:t>In relation to the appointment of a member pursuant to subsection (1)(d), the Surveyor General shall </w:t>
      </w:r>
      <w:r>
        <w:t>— </w:t>
      </w:r>
    </w:p>
    <w:p>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pPr>
        <w:pStyle w:val="Subsection"/>
        <w:rPr>
          <w:snapToGrid w:val="0"/>
          <w:spacing w:val="-2"/>
        </w:rPr>
      </w:pPr>
      <w:r>
        <w:rPr>
          <w:snapToGrid w:val="0"/>
          <w:spacing w:val="-2"/>
        </w:rPr>
        <w:tab/>
        <w:t>(6)</w:t>
      </w:r>
      <w:r>
        <w:rPr>
          <w:snapToGrid w:val="0"/>
          <w:spacing w:val="-2"/>
        </w:rPr>
        <w:tab/>
        <w:t>All nominations for membership of the Board shall be in writing.</w:t>
      </w:r>
    </w:p>
    <w:p>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pPr>
        <w:pStyle w:val="Footnotesection"/>
      </w:pPr>
      <w:r>
        <w:tab/>
        <w:t xml:space="preserve">[Section 4 amended by No. 107 of 1976 s. 4; No. 70 of 2003 s. 40(1)-(5).] </w:t>
      </w:r>
    </w:p>
    <w:p>
      <w:pPr>
        <w:pStyle w:val="Heading5"/>
        <w:rPr>
          <w:snapToGrid w:val="0"/>
        </w:rPr>
      </w:pPr>
      <w:bookmarkStart w:id="63" w:name="_Toc487520699"/>
      <w:bookmarkStart w:id="64" w:name="_Toc512912562"/>
      <w:bookmarkStart w:id="65" w:name="_Toc513452326"/>
      <w:bookmarkStart w:id="66" w:name="_Toc104708400"/>
      <w:bookmarkStart w:id="67" w:name="_Toc133898750"/>
      <w:r>
        <w:rPr>
          <w:rStyle w:val="CharSectno"/>
        </w:rPr>
        <w:t>5</w:t>
      </w:r>
      <w:r>
        <w:rPr>
          <w:snapToGrid w:val="0"/>
        </w:rPr>
        <w:t>.</w:t>
      </w:r>
      <w:r>
        <w:rPr>
          <w:snapToGrid w:val="0"/>
        </w:rPr>
        <w:tab/>
        <w:t>Rules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rules set forth in the Second Schedule shall apply to the business, conduct, and proceedings of the Board.</w:t>
      </w:r>
    </w:p>
    <w:p>
      <w:pPr>
        <w:pStyle w:val="Heading5"/>
        <w:rPr>
          <w:snapToGrid w:val="0"/>
        </w:rPr>
      </w:pPr>
      <w:bookmarkStart w:id="68" w:name="_Toc487520700"/>
      <w:bookmarkStart w:id="69" w:name="_Toc512912563"/>
      <w:bookmarkStart w:id="70" w:name="_Toc513452327"/>
      <w:bookmarkStart w:id="71" w:name="_Toc104708401"/>
      <w:bookmarkStart w:id="72" w:name="_Toc133898751"/>
      <w:r>
        <w:rPr>
          <w:rStyle w:val="CharSectno"/>
        </w:rPr>
        <w:t>6</w:t>
      </w:r>
      <w:r>
        <w:rPr>
          <w:snapToGrid w:val="0"/>
        </w:rPr>
        <w:t>.</w:t>
      </w:r>
      <w:r>
        <w:rPr>
          <w:snapToGrid w:val="0"/>
        </w:rPr>
        <w:tab/>
        <w:t>Secretary and other officers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pPr>
        <w:pStyle w:val="Subsection"/>
        <w:rPr>
          <w:snapToGrid w:val="0"/>
        </w:rPr>
      </w:pPr>
      <w:r>
        <w:rPr>
          <w:snapToGrid w:val="0"/>
        </w:rPr>
        <w:tab/>
        <w:t>(4)</w:t>
      </w:r>
      <w:r>
        <w:rPr>
          <w:snapToGrid w:val="0"/>
        </w:rPr>
        <w:tab/>
        <w:t>The members of the Board may receive such fees as the Governor may approve.</w:t>
      </w:r>
    </w:p>
    <w:p>
      <w:pPr>
        <w:pStyle w:val="Heading5"/>
        <w:rPr>
          <w:snapToGrid w:val="0"/>
        </w:rPr>
      </w:pPr>
      <w:bookmarkStart w:id="73" w:name="_Toc487520701"/>
      <w:bookmarkStart w:id="74" w:name="_Toc512912564"/>
      <w:bookmarkStart w:id="75" w:name="_Toc513452328"/>
      <w:bookmarkStart w:id="76" w:name="_Toc104708402"/>
      <w:bookmarkStart w:id="77" w:name="_Toc133898752"/>
      <w:r>
        <w:rPr>
          <w:rStyle w:val="CharSectno"/>
        </w:rPr>
        <w:t>7</w:t>
      </w:r>
      <w:r>
        <w:rPr>
          <w:snapToGrid w:val="0"/>
        </w:rPr>
        <w:t>.</w:t>
      </w:r>
      <w:r>
        <w:rPr>
          <w:snapToGrid w:val="0"/>
        </w:rPr>
        <w:tab/>
        <w:t>Persons entitled to be licensed</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pPr>
        <w:pStyle w:val="Indenta"/>
        <w:rPr>
          <w:snapToGrid w:val="0"/>
        </w:rPr>
      </w:pPr>
      <w:r>
        <w:rPr>
          <w:snapToGrid w:val="0"/>
        </w:rPr>
        <w:tab/>
        <w:t>(a)</w:t>
      </w:r>
      <w:r>
        <w:rPr>
          <w:snapToGrid w:val="0"/>
        </w:rPr>
        <w:tab/>
        <w:t>has attained the age of 18 years;</w:t>
      </w:r>
    </w:p>
    <w:p>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pPr>
        <w:pStyle w:val="Indenta"/>
      </w:pPr>
      <w:r>
        <w:tab/>
        <w:t>(ab)</w:t>
      </w:r>
      <w:r>
        <w:tab/>
        <w:t>is not bound in relation to an offence referred to in paragraph (aa) by a bail undertaking;</w:t>
      </w:r>
    </w:p>
    <w:p>
      <w:pPr>
        <w:pStyle w:val="Indenta"/>
      </w:pPr>
      <w:r>
        <w:tab/>
        <w:t>(ac)</w:t>
      </w:r>
      <w:r>
        <w:tab/>
        <w:t>does not have a charge pending in relation to an offence referred to in paragraph (aa);</w:t>
      </w:r>
    </w:p>
    <w:p>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pPr>
        <w:pStyle w:val="Indenta"/>
        <w:rPr>
          <w:snapToGrid w:val="0"/>
        </w:rPr>
      </w:pPr>
      <w:r>
        <w:rPr>
          <w:snapToGrid w:val="0"/>
        </w:rPr>
        <w:tab/>
        <w:t>(c)</w:t>
      </w:r>
      <w:r>
        <w:rPr>
          <w:snapToGrid w:val="0"/>
        </w:rPr>
        <w:tab/>
        <w:t>has made a declaration before a justice in the form set out in the Third Schedule.</w:t>
      </w:r>
    </w:p>
    <w:p>
      <w:pPr>
        <w:pStyle w:val="Footnotesection"/>
      </w:pPr>
      <w:r>
        <w:tab/>
        <w:t xml:space="preserve">[Section 7 inserted by No. 79 of 1996 s. 6; amended by No. 70 of 2003 s. 40(6).] </w:t>
      </w:r>
    </w:p>
    <w:p>
      <w:pPr>
        <w:pStyle w:val="Heading5"/>
        <w:rPr>
          <w:snapToGrid w:val="0"/>
        </w:rPr>
      </w:pPr>
      <w:bookmarkStart w:id="78" w:name="_Toc487520702"/>
      <w:bookmarkStart w:id="79" w:name="_Toc512912565"/>
      <w:bookmarkStart w:id="80" w:name="_Toc513452329"/>
      <w:bookmarkStart w:id="81" w:name="_Toc104708403"/>
      <w:bookmarkStart w:id="82" w:name="_Toc133898753"/>
      <w:r>
        <w:rPr>
          <w:rStyle w:val="CharSectno"/>
        </w:rPr>
        <w:t>8</w:t>
      </w:r>
      <w:r>
        <w:rPr>
          <w:snapToGrid w:val="0"/>
        </w:rPr>
        <w:t>.</w:t>
      </w:r>
      <w:r>
        <w:rPr>
          <w:snapToGrid w:val="0"/>
        </w:rPr>
        <w:tab/>
        <w:t>Board may require the attendance of certain persons</w:t>
      </w:r>
      <w:bookmarkEnd w:id="78"/>
      <w:bookmarkEnd w:id="79"/>
      <w:bookmarkEnd w:id="80"/>
      <w:bookmarkEnd w:id="81"/>
      <w:bookmarkEnd w:id="82"/>
      <w:r>
        <w:rPr>
          <w:snapToGrid w:val="0"/>
        </w:rPr>
        <w:t xml:space="preserve"> </w:t>
      </w:r>
    </w:p>
    <w:p>
      <w:pPr>
        <w:pStyle w:val="Subsection"/>
        <w:keepNext/>
        <w:rPr>
          <w:snapToGrid w:val="0"/>
        </w:rPr>
      </w:pPr>
      <w:r>
        <w:rPr>
          <w:snapToGrid w:val="0"/>
        </w:rPr>
        <w:tab/>
        <w:t>(1)</w:t>
      </w:r>
      <w:r>
        <w:rPr>
          <w:snapToGrid w:val="0"/>
        </w:rPr>
        <w:tab/>
        <w:t>The Board may require the attendance of any person — </w:t>
      </w:r>
    </w:p>
    <w:p>
      <w:pPr>
        <w:pStyle w:val="Indenta"/>
        <w:rPr>
          <w:snapToGrid w:val="0"/>
        </w:rPr>
      </w:pPr>
      <w:r>
        <w:rPr>
          <w:snapToGrid w:val="0"/>
        </w:rPr>
        <w:tab/>
        <w:t>(a)</w:t>
      </w:r>
      <w:r>
        <w:rPr>
          <w:snapToGrid w:val="0"/>
        </w:rPr>
        <w:tab/>
        <w:t>who applies for the issue of a licence under this Act; or</w:t>
      </w:r>
    </w:p>
    <w:p>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pPr>
        <w:pStyle w:val="Ednotepara"/>
        <w:rPr>
          <w:del w:id="83" w:author="svcMRProcess" w:date="2015-11-01T20:29:00Z"/>
          <w:snapToGrid w:val="0"/>
        </w:rPr>
      </w:pPr>
      <w:del w:id="84" w:author="svcMRProcess" w:date="2015-11-01T20:29:00Z">
        <w:r>
          <w:rPr>
            <w:snapToGrid w:val="0"/>
          </w:rPr>
          <w:tab/>
          <w:delText>[(c)</w:delText>
        </w:r>
        <w:r>
          <w:rPr>
            <w:snapToGrid w:val="0"/>
          </w:rPr>
          <w:tab/>
          <w:delText>deleted]</w:delText>
        </w:r>
      </w:del>
    </w:p>
    <w:p>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 xml:space="preserve">observance thereof may be enforced and punished by a </w:t>
      </w:r>
      <w:del w:id="85" w:author="svcMRProcess" w:date="2015-11-01T20:29:00Z">
        <w:r>
          <w:rPr>
            <w:snapToGrid w:val="0"/>
          </w:rPr>
          <w:delText>Judge</w:delText>
        </w:r>
      </w:del>
      <w:ins w:id="86" w:author="svcMRProcess" w:date="2015-11-01T20:29:00Z">
        <w:r>
          <w:rPr>
            <w:snapToGrid w:val="0"/>
          </w:rPr>
          <w:t>judge</w:t>
        </w:r>
      </w:ins>
      <w:r>
        <w:rPr>
          <w:snapToGrid w:val="0"/>
        </w:rPr>
        <w:t xml:space="preserve"> of the said </w:t>
      </w:r>
      <w:del w:id="87" w:author="svcMRProcess" w:date="2015-11-01T20:29:00Z">
        <w:r>
          <w:rPr>
            <w:snapToGrid w:val="0"/>
          </w:rPr>
          <w:delText>Court</w:delText>
        </w:r>
      </w:del>
      <w:ins w:id="88" w:author="svcMRProcess" w:date="2015-11-01T20:29:00Z">
        <w:r>
          <w:rPr>
            <w:snapToGrid w:val="0"/>
          </w:rPr>
          <w:t>court</w:t>
        </w:r>
      </w:ins>
      <w:r>
        <w:rPr>
          <w:snapToGrid w:val="0"/>
        </w:rPr>
        <w:t xml:space="preserve"> sitting in chambers in the same manner as in the case of the disobedience or non</w:t>
      </w:r>
      <w:r>
        <w:rPr>
          <w:snapToGrid w:val="0"/>
        </w:rPr>
        <w:noBreakHyphen/>
        <w:t xml:space="preserve">observance of a subpoena issued by the said </w:t>
      </w:r>
      <w:del w:id="89" w:author="svcMRProcess" w:date="2015-11-01T20:29:00Z">
        <w:r>
          <w:rPr>
            <w:snapToGrid w:val="0"/>
          </w:rPr>
          <w:delText>Court</w:delText>
        </w:r>
      </w:del>
      <w:ins w:id="90" w:author="svcMRProcess" w:date="2015-11-01T20:29:00Z">
        <w:r>
          <w:rPr>
            <w:snapToGrid w:val="0"/>
          </w:rPr>
          <w:t>court</w:t>
        </w:r>
      </w:ins>
      <w:r>
        <w:rPr>
          <w:snapToGrid w:val="0"/>
        </w:rPr>
        <w:t>.</w:t>
      </w:r>
    </w:p>
    <w:p>
      <w:pPr>
        <w:pStyle w:val="Footnotesection"/>
      </w:pPr>
      <w:r>
        <w:tab/>
        <w:t>[Section 8 amended by No. 79 of 1996 s. 7; No. 55 of 2004 s. 648.]</w:t>
      </w:r>
    </w:p>
    <w:p>
      <w:pPr>
        <w:pStyle w:val="Heading5"/>
        <w:rPr>
          <w:snapToGrid w:val="0"/>
        </w:rPr>
      </w:pPr>
      <w:bookmarkStart w:id="91" w:name="_Toc104708404"/>
      <w:bookmarkStart w:id="92" w:name="_Toc133898754"/>
      <w:bookmarkStart w:id="93" w:name="_Toc487520703"/>
      <w:bookmarkStart w:id="94" w:name="_Toc512912566"/>
      <w:bookmarkStart w:id="95" w:name="_Toc513452330"/>
      <w:r>
        <w:rPr>
          <w:rStyle w:val="CharSectno"/>
        </w:rPr>
        <w:t>8A</w:t>
      </w:r>
      <w:r>
        <w:rPr>
          <w:snapToGrid w:val="0"/>
        </w:rPr>
        <w:t>.</w:t>
      </w:r>
      <w:r>
        <w:rPr>
          <w:snapToGrid w:val="0"/>
        </w:rPr>
        <w:tab/>
        <w:t>Powers of investigation</w:t>
      </w:r>
      <w:bookmarkEnd w:id="91"/>
      <w:bookmarkEnd w:id="92"/>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surveyor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pPr>
        <w:pStyle w:val="Footnotesection"/>
      </w:pPr>
      <w:r>
        <w:tab/>
        <w:t>[Section 8A inserted by No. 55 of 2004 s. 649.]</w:t>
      </w:r>
    </w:p>
    <w:p>
      <w:pPr>
        <w:pStyle w:val="Heading5"/>
        <w:rPr>
          <w:snapToGrid w:val="0"/>
        </w:rPr>
      </w:pPr>
      <w:bookmarkStart w:id="96" w:name="_Toc104708405"/>
      <w:bookmarkStart w:id="97" w:name="_Toc133898755"/>
      <w:r>
        <w:rPr>
          <w:rStyle w:val="CharSectno"/>
        </w:rPr>
        <w:t>8B</w:t>
      </w:r>
      <w:r>
        <w:rPr>
          <w:snapToGrid w:val="0"/>
        </w:rPr>
        <w:t>.</w:t>
      </w:r>
      <w:r>
        <w:rPr>
          <w:snapToGrid w:val="0"/>
        </w:rPr>
        <w:tab/>
        <w:t>Incriminating information, questions, or documents</w:t>
      </w:r>
      <w:bookmarkEnd w:id="96"/>
      <w:bookmarkEnd w:id="97"/>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pPr>
        <w:pStyle w:val="Footnotesection"/>
      </w:pPr>
      <w:r>
        <w:tab/>
        <w:t>[Section 8B inserted by No. 55 of 2004 s. 649.]</w:t>
      </w:r>
    </w:p>
    <w:p>
      <w:pPr>
        <w:pStyle w:val="Heading5"/>
        <w:rPr>
          <w:snapToGrid w:val="0"/>
        </w:rPr>
      </w:pPr>
      <w:bookmarkStart w:id="98" w:name="_Toc104708406"/>
      <w:bookmarkStart w:id="99" w:name="_Toc133898756"/>
      <w:r>
        <w:rPr>
          <w:rStyle w:val="CharSectno"/>
        </w:rPr>
        <w:t>8C</w:t>
      </w:r>
      <w:r>
        <w:rPr>
          <w:snapToGrid w:val="0"/>
        </w:rPr>
        <w:t>.</w:t>
      </w:r>
      <w:r>
        <w:rPr>
          <w:snapToGrid w:val="0"/>
        </w:rPr>
        <w:tab/>
        <w:t>Failure to comply with investigation</w:t>
      </w:r>
      <w:bookmarkEnd w:id="98"/>
      <w:bookmarkEnd w:id="99"/>
    </w:p>
    <w:p>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8A,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8C inserted by No. 55 of 2004 s. 649.]</w:t>
      </w:r>
    </w:p>
    <w:p>
      <w:pPr>
        <w:pStyle w:val="Heading5"/>
        <w:rPr>
          <w:snapToGrid w:val="0"/>
        </w:rPr>
      </w:pPr>
      <w:bookmarkStart w:id="100" w:name="_Toc104708407"/>
      <w:bookmarkStart w:id="101" w:name="_Toc133898757"/>
      <w:r>
        <w:rPr>
          <w:rStyle w:val="CharSectno"/>
        </w:rPr>
        <w:t>8D</w:t>
      </w:r>
      <w:r>
        <w:rPr>
          <w:snapToGrid w:val="0"/>
        </w:rPr>
        <w:t>.</w:t>
      </w:r>
      <w:r>
        <w:rPr>
          <w:snapToGrid w:val="0"/>
        </w:rPr>
        <w:tab/>
        <w:t>Obstruction of investigator</w:t>
      </w:r>
      <w:bookmarkEnd w:id="100"/>
      <w:bookmarkEnd w:id="101"/>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pPr>
        <w:pStyle w:val="Penstart"/>
        <w:rPr>
          <w:snapToGrid w:val="0"/>
        </w:rPr>
      </w:pPr>
      <w:r>
        <w:rPr>
          <w:snapToGrid w:val="0"/>
        </w:rPr>
        <w:tab/>
        <w:t>Penalty: $2 000.</w:t>
      </w:r>
    </w:p>
    <w:p>
      <w:pPr>
        <w:pStyle w:val="Footnotesection"/>
      </w:pPr>
      <w:r>
        <w:tab/>
        <w:t>[Section 8D inserted by No. 55 of 2004 s. 649.]</w:t>
      </w:r>
    </w:p>
    <w:p>
      <w:pPr>
        <w:pStyle w:val="Heading5"/>
        <w:rPr>
          <w:snapToGrid w:val="0"/>
        </w:rPr>
      </w:pPr>
      <w:bookmarkStart w:id="102" w:name="_Toc104708408"/>
      <w:bookmarkStart w:id="103" w:name="_Toc133898758"/>
      <w:r>
        <w:rPr>
          <w:rStyle w:val="CharSectno"/>
        </w:rPr>
        <w:t>9</w:t>
      </w:r>
      <w:r>
        <w:rPr>
          <w:snapToGrid w:val="0"/>
        </w:rPr>
        <w:t>.</w:t>
      </w:r>
      <w:r>
        <w:rPr>
          <w:snapToGrid w:val="0"/>
        </w:rPr>
        <w:tab/>
        <w:t>Certificates of competency</w:t>
      </w:r>
      <w:bookmarkEnd w:id="93"/>
      <w:bookmarkEnd w:id="94"/>
      <w:bookmarkEnd w:id="95"/>
      <w:bookmarkEnd w:id="102"/>
      <w:bookmarkEnd w:id="103"/>
    </w:p>
    <w:p>
      <w:pPr>
        <w:pStyle w:val="Subsection"/>
        <w:keepNext/>
        <w:rPr>
          <w:snapToGrid w:val="0"/>
        </w:rPr>
      </w:pPr>
      <w:r>
        <w:rPr>
          <w:snapToGrid w:val="0"/>
        </w:rPr>
        <w:tab/>
        <w:t>(1)</w:t>
      </w:r>
      <w:r>
        <w:rPr>
          <w:snapToGrid w:val="0"/>
        </w:rPr>
        <w:tab/>
        <w:t>Subject to this section, the Board shall issue a certificate of competency to </w:t>
      </w:r>
      <w:r>
        <w:t>— </w:t>
      </w:r>
    </w:p>
    <w:p>
      <w:pPr>
        <w:pStyle w:val="Indenta"/>
        <w:rPr>
          <w:snapToGrid w:val="0"/>
        </w:rPr>
      </w:pPr>
      <w:r>
        <w:rPr>
          <w:snapToGrid w:val="0"/>
        </w:rPr>
        <w:tab/>
        <w:t>(a)</w:t>
      </w:r>
      <w:r>
        <w:rPr>
          <w:snapToGrid w:val="0"/>
        </w:rPr>
        <w:tab/>
        <w:t>a person who has passed the prescribed examination and fulfilled all the prescribed conditions; or</w:t>
      </w:r>
    </w:p>
    <w:p>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pPr>
        <w:pStyle w:val="Subsection"/>
        <w:keepNext/>
        <w:rPr>
          <w:snapToGrid w:val="0"/>
        </w:rPr>
      </w:pPr>
      <w:r>
        <w:rPr>
          <w:snapToGrid w:val="0"/>
        </w:rPr>
        <w:tab/>
        <w:t>(1a)</w:t>
      </w:r>
      <w:r>
        <w:rPr>
          <w:snapToGrid w:val="0"/>
        </w:rPr>
        <w:tab/>
        <w:t>A person is not eligible to be issued with a certificate of competency under subsection (1)(a) unless </w:t>
      </w:r>
      <w:r>
        <w:t>— </w:t>
      </w:r>
    </w:p>
    <w:p>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pPr>
        <w:pStyle w:val="Indenta"/>
        <w:keepNext/>
        <w:rPr>
          <w:snapToGrid w:val="0"/>
        </w:rPr>
      </w:pPr>
      <w:r>
        <w:rPr>
          <w:snapToGrid w:val="0"/>
        </w:rPr>
        <w:tab/>
        <w:t>(b)</w:t>
      </w:r>
      <w:r>
        <w:rPr>
          <w:snapToGrid w:val="0"/>
        </w:rPr>
        <w:tab/>
        <w:t>he </w:t>
      </w:r>
      <w:r>
        <w:t>— </w:t>
      </w:r>
    </w:p>
    <w:p>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b/>
          <w:snapToGrid w:val="0"/>
        </w:rPr>
        <w:t>“</w:t>
      </w:r>
      <w:r>
        <w:rPr>
          <w:rStyle w:val="CharDefText"/>
        </w:rPr>
        <w:t>prescribed date</w:t>
      </w:r>
      <w:r>
        <w:rPr>
          <w:b/>
          <w:snapToGrid w:val="0"/>
        </w:rPr>
        <w:t>”</w:t>
      </w:r>
      <w:r>
        <w:rPr>
          <w:snapToGrid w:val="0"/>
        </w:rPr>
        <w:t xml:space="preserve"> means 31 March 1979 or such later date as is prescribed.</w:t>
      </w:r>
    </w:p>
    <w:p>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pPr>
        <w:pStyle w:val="Footnotesection"/>
      </w:pPr>
      <w:r>
        <w:tab/>
        <w:t xml:space="preserve">[Section 9 amended by No. 107 of 1976 s. 6; No. 79 of 1996 s. 8.] </w:t>
      </w:r>
    </w:p>
    <w:p>
      <w:pPr>
        <w:pStyle w:val="Heading5"/>
        <w:rPr>
          <w:snapToGrid w:val="0"/>
        </w:rPr>
      </w:pPr>
      <w:bookmarkStart w:id="104" w:name="_Toc487520704"/>
      <w:bookmarkStart w:id="105" w:name="_Toc512912567"/>
      <w:bookmarkStart w:id="106" w:name="_Toc513452331"/>
      <w:bookmarkStart w:id="107" w:name="_Toc104708409"/>
      <w:bookmarkStart w:id="108" w:name="_Toc133898759"/>
      <w:r>
        <w:rPr>
          <w:rStyle w:val="CharSectno"/>
        </w:rPr>
        <w:t>10</w:t>
      </w:r>
      <w:r>
        <w:rPr>
          <w:snapToGrid w:val="0"/>
        </w:rPr>
        <w:t>.</w:t>
      </w:r>
      <w:r>
        <w:rPr>
          <w:snapToGrid w:val="0"/>
        </w:rPr>
        <w:tab/>
        <w:t>Reciprocity</w:t>
      </w:r>
      <w:bookmarkEnd w:id="104"/>
      <w:bookmarkEnd w:id="105"/>
      <w:bookmarkEnd w:id="106"/>
      <w:bookmarkEnd w:id="107"/>
      <w:bookmarkEnd w:id="108"/>
      <w:r>
        <w:rPr>
          <w:snapToGrid w:val="0"/>
        </w:rPr>
        <w:t xml:space="preserve"> </w:t>
      </w:r>
    </w:p>
    <w:p>
      <w:pPr>
        <w:pStyle w:val="Subsection"/>
        <w:rPr>
          <w:snapToGrid w:val="0"/>
        </w:rPr>
      </w:pPr>
      <w:r>
        <w:rPr>
          <w:snapToGrid w:val="0"/>
          <w:spacing w:val="-6"/>
        </w:rPr>
        <w:tab/>
        <w:t>(1)(a)</w:t>
      </w:r>
      <w:r>
        <w:rPr>
          <w:snapToGrid w:val="0"/>
          <w:spacing w:val="-6"/>
        </w:rPr>
        <w:tab/>
      </w:r>
      <w:r>
        <w:rPr>
          <w:snapToGrid w:val="0"/>
        </w:rPr>
        <w:t xml:space="preserve">The Board may enter into a reciprocal arrangement with the Surveyor’s Board or other competent authority of any State, </w:t>
      </w:r>
      <w:del w:id="109" w:author="svcMRProcess" w:date="2015-11-01T20:29:00Z">
        <w:r>
          <w:rPr>
            <w:snapToGrid w:val="0"/>
            <w:spacing w:val="-6"/>
          </w:rPr>
          <w:delText>Colony</w:delText>
        </w:r>
      </w:del>
      <w:ins w:id="110" w:author="svcMRProcess" w:date="2015-11-01T20:29:00Z">
        <w:r>
          <w:rPr>
            <w:snapToGrid w:val="0"/>
          </w:rPr>
          <w:t>colony</w:t>
        </w:r>
      </w:ins>
      <w:r>
        <w:rPr>
          <w:snapToGrid w:val="0"/>
        </w:rPr>
        <w:t xml:space="preserve">, or </w:t>
      </w:r>
      <w:del w:id="111" w:author="svcMRProcess" w:date="2015-11-01T20:29:00Z">
        <w:r>
          <w:rPr>
            <w:snapToGrid w:val="0"/>
            <w:spacing w:val="-6"/>
          </w:rPr>
          <w:delText>Dominion</w:delText>
        </w:r>
      </w:del>
      <w:ins w:id="112" w:author="svcMRProcess" w:date="2015-11-01T20:29:00Z">
        <w:r>
          <w:rPr>
            <w:snapToGrid w:val="0"/>
          </w:rPr>
          <w:t>dominion</w:t>
        </w:r>
      </w:ins>
      <w:r>
        <w:rPr>
          <w:snapToGrid w:val="0"/>
        </w:rPr>
        <w:t xml:space="preserve"> within Her Majesty’s </w:t>
      </w:r>
      <w:del w:id="113" w:author="svcMRProcess" w:date="2015-11-01T20:29:00Z">
        <w:r>
          <w:rPr>
            <w:snapToGrid w:val="0"/>
            <w:spacing w:val="-6"/>
          </w:rPr>
          <w:delText>Dominions</w:delText>
        </w:r>
      </w:del>
      <w:ins w:id="114" w:author="svcMRProcess" w:date="2015-11-01T20:29:00Z">
        <w:r>
          <w:rPr>
            <w:snapToGrid w:val="0"/>
          </w:rPr>
          <w:t>dominions</w:t>
        </w:r>
      </w:ins>
      <w:r>
        <w:rPr>
          <w:snapToGrid w:val="0"/>
        </w:rPr>
        <w:t xml:space="preserve"> for the recognition of the status of any person authorised by such Board or other authority to practise as a surveyor in such State, </w:t>
      </w:r>
      <w:del w:id="115" w:author="svcMRProcess" w:date="2015-11-01T20:29:00Z">
        <w:r>
          <w:rPr>
            <w:snapToGrid w:val="0"/>
            <w:spacing w:val="-6"/>
          </w:rPr>
          <w:delText>Colony</w:delText>
        </w:r>
      </w:del>
      <w:ins w:id="116" w:author="svcMRProcess" w:date="2015-11-01T20:29:00Z">
        <w:r>
          <w:rPr>
            <w:snapToGrid w:val="0"/>
          </w:rPr>
          <w:t>colony</w:t>
        </w:r>
      </w:ins>
      <w:r>
        <w:rPr>
          <w:snapToGrid w:val="0"/>
        </w:rPr>
        <w:t xml:space="preserve">, or </w:t>
      </w:r>
      <w:del w:id="117" w:author="svcMRProcess" w:date="2015-11-01T20:29:00Z">
        <w:r>
          <w:rPr>
            <w:snapToGrid w:val="0"/>
            <w:spacing w:val="-6"/>
          </w:rPr>
          <w:delText>Dominion</w:delText>
        </w:r>
      </w:del>
      <w:ins w:id="118" w:author="svcMRProcess" w:date="2015-11-01T20:29:00Z">
        <w:r>
          <w:rPr>
            <w:snapToGrid w:val="0"/>
          </w:rPr>
          <w:t>dominion</w:t>
        </w:r>
      </w:ins>
      <w:r>
        <w:rPr>
          <w:snapToGrid w:val="0"/>
        </w:rPr>
        <w:t xml:space="preserve"> and for the issue to that person of a licence under this Act.</w:t>
      </w:r>
    </w:p>
    <w:p>
      <w:pPr>
        <w:pStyle w:val="Subsection"/>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Fonts w:ascii="Times" w:hAnsi="Times"/>
          <w:b/>
          <w:snapToGrid w:val="0"/>
        </w:rPr>
        <w:t>“</w:t>
      </w:r>
      <w:del w:id="119" w:author="svcMRProcess" w:date="2015-11-01T20:29:00Z">
        <w:r>
          <w:rPr>
            <w:rStyle w:val="CharDefText"/>
            <w:spacing w:val="-6"/>
          </w:rPr>
          <w:delText>Dominion</w:delText>
        </w:r>
      </w:del>
      <w:ins w:id="120" w:author="svcMRProcess" w:date="2015-11-01T20:29:00Z">
        <w:r>
          <w:rPr>
            <w:rStyle w:val="CharDefText"/>
            <w:rFonts w:ascii="Times" w:hAnsi="Times"/>
          </w:rPr>
          <w:t>dominion</w:t>
        </w:r>
      </w:ins>
      <w:r>
        <w:rPr>
          <w:rStyle w:val="CharDefText"/>
          <w:rFonts w:ascii="Times" w:hAnsi="Times"/>
        </w:rPr>
        <w:t xml:space="preserve"> within Her Majesty’s </w:t>
      </w:r>
      <w:del w:id="121" w:author="svcMRProcess" w:date="2015-11-01T20:29:00Z">
        <w:r>
          <w:rPr>
            <w:rStyle w:val="CharDefText"/>
            <w:spacing w:val="-6"/>
          </w:rPr>
          <w:delText>Dominions</w:delText>
        </w:r>
      </w:del>
      <w:ins w:id="122" w:author="svcMRProcess" w:date="2015-11-01T20:29:00Z">
        <w:r>
          <w:rPr>
            <w:rStyle w:val="CharDefText"/>
            <w:rFonts w:ascii="Times" w:hAnsi="Times"/>
          </w:rPr>
          <w:t>dominions</w:t>
        </w:r>
      </w:ins>
      <w:r>
        <w:rPr>
          <w:rFonts w:ascii="Times" w:hAnsi="Times"/>
          <w:b/>
          <w:snapToGrid w:val="0"/>
        </w:rPr>
        <w:t>”</w:t>
      </w:r>
      <w:r>
        <w:rPr>
          <w:rFonts w:ascii="Times" w:hAnsi="Times"/>
          <w:snapToGrid w:val="0"/>
        </w:rPr>
        <w:t>, that expression shall be deemed to include and during the operation of this Act to have included the United Kingdom.</w:t>
      </w:r>
    </w:p>
    <w:p>
      <w:pPr>
        <w:pStyle w:val="Footnotesection"/>
      </w:pPr>
      <w:r>
        <w:tab/>
        <w:t xml:space="preserve">[Section 10 amended by No. 14 of 1958 s. 2; No. 79 of 1996 s. 9.] </w:t>
      </w:r>
    </w:p>
    <w:p>
      <w:pPr>
        <w:pStyle w:val="Heading5"/>
        <w:rPr>
          <w:snapToGrid w:val="0"/>
        </w:rPr>
      </w:pPr>
      <w:bookmarkStart w:id="123" w:name="_Toc487520705"/>
      <w:bookmarkStart w:id="124" w:name="_Toc512912568"/>
      <w:bookmarkStart w:id="125" w:name="_Toc513452332"/>
      <w:bookmarkStart w:id="126" w:name="_Toc104708410"/>
      <w:bookmarkStart w:id="127" w:name="_Toc133898760"/>
      <w:r>
        <w:rPr>
          <w:rStyle w:val="CharSectno"/>
        </w:rPr>
        <w:t>11</w:t>
      </w:r>
      <w:r>
        <w:rPr>
          <w:snapToGrid w:val="0"/>
        </w:rPr>
        <w:t>.</w:t>
      </w:r>
      <w:r>
        <w:rPr>
          <w:snapToGrid w:val="0"/>
        </w:rPr>
        <w:tab/>
        <w:t>Licences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pPr>
        <w:pStyle w:val="Heading5"/>
        <w:rPr>
          <w:snapToGrid w:val="0"/>
        </w:rPr>
      </w:pPr>
      <w:bookmarkStart w:id="128" w:name="_Toc487520706"/>
      <w:bookmarkStart w:id="129" w:name="_Toc512912569"/>
      <w:bookmarkStart w:id="130" w:name="_Toc513452333"/>
      <w:bookmarkStart w:id="131" w:name="_Toc104708411"/>
      <w:bookmarkStart w:id="132" w:name="_Toc133898761"/>
      <w:r>
        <w:rPr>
          <w:rStyle w:val="CharSectno"/>
        </w:rPr>
        <w:t>11A</w:t>
      </w:r>
      <w:r>
        <w:rPr>
          <w:snapToGrid w:val="0"/>
        </w:rPr>
        <w:t>.</w:t>
      </w:r>
      <w:r>
        <w:rPr>
          <w:snapToGrid w:val="0"/>
        </w:rPr>
        <w:tab/>
        <w:t>Practising certificates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pPr>
        <w:pStyle w:val="Indenta"/>
        <w:rPr>
          <w:snapToGrid w:val="0"/>
        </w:rPr>
      </w:pPr>
      <w:r>
        <w:rPr>
          <w:snapToGrid w:val="0"/>
        </w:rPr>
        <w:tab/>
        <w:t>(a)</w:t>
      </w:r>
      <w:r>
        <w:rPr>
          <w:snapToGrid w:val="0"/>
        </w:rPr>
        <w:tab/>
        <w:t>on the day of that issue or renewal; or</w:t>
      </w:r>
    </w:p>
    <w:p>
      <w:pPr>
        <w:pStyle w:val="Indenta"/>
        <w:rPr>
          <w:snapToGrid w:val="0"/>
        </w:rPr>
      </w:pPr>
      <w:r>
        <w:rPr>
          <w:snapToGrid w:val="0"/>
        </w:rPr>
        <w:tab/>
        <w:t>(b)</w:t>
      </w:r>
      <w:r>
        <w:rPr>
          <w:snapToGrid w:val="0"/>
        </w:rPr>
        <w:tab/>
        <w:t>on the day of expiry of any existing practising certificate held by the licensed surveyor,</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pPr>
        <w:pStyle w:val="Subsection"/>
        <w:keepNext/>
        <w:rPr>
          <w:snapToGrid w:val="0"/>
        </w:rPr>
      </w:pPr>
      <w:r>
        <w:rPr>
          <w:snapToGrid w:val="0"/>
        </w:rPr>
        <w:tab/>
        <w:t>(6)</w:t>
      </w:r>
      <w:r>
        <w:rPr>
          <w:snapToGrid w:val="0"/>
        </w:rPr>
        <w:tab/>
        <w:t>Subject to section 11B, if the Board is, on receiving — </w:t>
      </w:r>
    </w:p>
    <w:p>
      <w:pPr>
        <w:pStyle w:val="Indenta"/>
        <w:rPr>
          <w:snapToGrid w:val="0"/>
        </w:rPr>
      </w:pPr>
      <w:r>
        <w:rPr>
          <w:snapToGrid w:val="0"/>
        </w:rPr>
        <w:tab/>
        <w:t>(a)</w:t>
      </w:r>
      <w:r>
        <w:rPr>
          <w:snapToGrid w:val="0"/>
        </w:rPr>
        <w:tab/>
        <w:t>an application for the renewal of a practising certificate;</w:t>
      </w:r>
    </w:p>
    <w:p>
      <w:pPr>
        <w:pStyle w:val="Indenta"/>
        <w:rPr>
          <w:snapToGrid w:val="0"/>
        </w:rPr>
      </w:pPr>
      <w:r>
        <w:rPr>
          <w:snapToGrid w:val="0"/>
        </w:rPr>
        <w:tab/>
        <w:t>(b)</w:t>
      </w:r>
      <w:r>
        <w:rPr>
          <w:snapToGrid w:val="0"/>
        </w:rPr>
        <w:tab/>
        <w:t>the prescribed renewal fee; and</w:t>
      </w:r>
    </w:p>
    <w:p>
      <w:pPr>
        <w:pStyle w:val="Indenta"/>
        <w:rPr>
          <w:snapToGrid w:val="0"/>
        </w:rPr>
      </w:pPr>
      <w:r>
        <w:rPr>
          <w:snapToGrid w:val="0"/>
        </w:rPr>
        <w:tab/>
        <w:t>(c)</w:t>
      </w:r>
      <w:r>
        <w:rPr>
          <w:snapToGrid w:val="0"/>
        </w:rPr>
        <w:tab/>
        <w:t>if that application is an application referred to in subsection (5), the prescribed late renewal fee,</w:t>
      </w:r>
    </w:p>
    <w:p>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pPr>
        <w:pStyle w:val="Footnotesection"/>
      </w:pPr>
      <w:r>
        <w:tab/>
        <w:t xml:space="preserve">[Section 11A inserted by No. 79 of 1996 s. 10.] </w:t>
      </w:r>
    </w:p>
    <w:p>
      <w:pPr>
        <w:pStyle w:val="Heading5"/>
        <w:rPr>
          <w:snapToGrid w:val="0"/>
        </w:rPr>
      </w:pPr>
      <w:bookmarkStart w:id="133" w:name="_Toc487520707"/>
      <w:bookmarkStart w:id="134" w:name="_Toc512912570"/>
      <w:bookmarkStart w:id="135" w:name="_Toc513452334"/>
      <w:bookmarkStart w:id="136" w:name="_Toc104708412"/>
      <w:bookmarkStart w:id="137" w:name="_Toc133898762"/>
      <w:r>
        <w:rPr>
          <w:rStyle w:val="CharSectno"/>
        </w:rPr>
        <w:t>11B</w:t>
      </w:r>
      <w:r>
        <w:rPr>
          <w:snapToGrid w:val="0"/>
        </w:rPr>
        <w:t>.</w:t>
      </w:r>
      <w:r>
        <w:rPr>
          <w:snapToGrid w:val="0"/>
        </w:rPr>
        <w:tab/>
        <w:t>Continuing education</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pPr>
        <w:pStyle w:val="Indenta"/>
        <w:rPr>
          <w:snapToGrid w:val="0"/>
        </w:rPr>
      </w:pPr>
      <w:r>
        <w:rPr>
          <w:snapToGrid w:val="0"/>
        </w:rPr>
        <w:tab/>
        <w:t>(a)</w:t>
      </w:r>
      <w:r>
        <w:rPr>
          <w:snapToGrid w:val="0"/>
        </w:rPr>
        <w:tab/>
        <w:t>suspend the practising certificate of the licensed surveyor until specified conditions are fulfilled;</w:t>
      </w:r>
    </w:p>
    <w:p>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pPr>
        <w:pStyle w:val="Indenta"/>
        <w:rPr>
          <w:snapToGrid w:val="0"/>
        </w:rPr>
      </w:pPr>
      <w:r>
        <w:rPr>
          <w:snapToGrid w:val="0"/>
        </w:rPr>
        <w:tab/>
        <w:t>(c)</w:t>
      </w:r>
      <w:r>
        <w:rPr>
          <w:snapToGrid w:val="0"/>
        </w:rPr>
        <w:tab/>
        <w:t>refuse to renew the practising certificate of the licensed surveyor until specified conditions are fulfilled; or</w:t>
      </w:r>
    </w:p>
    <w:p>
      <w:pPr>
        <w:pStyle w:val="Indenta"/>
        <w:rPr>
          <w:snapToGrid w:val="0"/>
        </w:rPr>
      </w:pPr>
      <w:r>
        <w:rPr>
          <w:snapToGrid w:val="0"/>
        </w:rPr>
        <w:tab/>
        <w:t>(d)</w:t>
      </w:r>
      <w:r>
        <w:rPr>
          <w:snapToGrid w:val="0"/>
        </w:rPr>
        <w:tab/>
        <w:t>refuse to renew the practising certificate of the licensed surveyor.</w:t>
      </w:r>
    </w:p>
    <w:p>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pPr>
        <w:pStyle w:val="Defstart"/>
      </w:pPr>
      <w:r>
        <w:rPr>
          <w:b/>
        </w:rPr>
        <w:tab/>
        <w:t>“</w:t>
      </w:r>
      <w:r>
        <w:rPr>
          <w:rStyle w:val="CharDefText"/>
        </w:rPr>
        <w:t>specified</w:t>
      </w:r>
      <w:r>
        <w:rPr>
          <w:b/>
        </w:rPr>
        <w:t>”</w:t>
      </w:r>
      <w:r>
        <w:t xml:space="preserve"> means specified in writing by the Board.</w:t>
      </w:r>
    </w:p>
    <w:p>
      <w:pPr>
        <w:pStyle w:val="Footnotesection"/>
      </w:pPr>
      <w:r>
        <w:tab/>
        <w:t xml:space="preserve">[Section 11B inserted by No. 79 of 1996 s. 10.] </w:t>
      </w:r>
    </w:p>
    <w:p>
      <w:pPr>
        <w:pStyle w:val="Heading5"/>
        <w:rPr>
          <w:snapToGrid w:val="0"/>
        </w:rPr>
      </w:pPr>
      <w:bookmarkStart w:id="138" w:name="_Toc487520708"/>
      <w:bookmarkStart w:id="139" w:name="_Toc512912571"/>
      <w:bookmarkStart w:id="140" w:name="_Toc513452335"/>
      <w:bookmarkStart w:id="141" w:name="_Toc104708413"/>
      <w:bookmarkStart w:id="142" w:name="_Toc133898763"/>
      <w:r>
        <w:rPr>
          <w:rStyle w:val="CharSectno"/>
        </w:rPr>
        <w:t>12</w:t>
      </w:r>
      <w:r>
        <w:rPr>
          <w:snapToGrid w:val="0"/>
        </w:rPr>
        <w:t>.</w:t>
      </w:r>
      <w:r>
        <w:rPr>
          <w:snapToGrid w:val="0"/>
        </w:rPr>
        <w:tab/>
        <w:t>Register of licensed surveyors</w:t>
      </w:r>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pPr>
        <w:pStyle w:val="Heading5"/>
        <w:rPr>
          <w:snapToGrid w:val="0"/>
        </w:rPr>
      </w:pPr>
      <w:bookmarkStart w:id="143" w:name="_Toc487520709"/>
      <w:bookmarkStart w:id="144" w:name="_Toc512912572"/>
      <w:bookmarkStart w:id="145" w:name="_Toc513452336"/>
      <w:bookmarkStart w:id="146" w:name="_Toc104708414"/>
      <w:bookmarkStart w:id="147" w:name="_Toc133898764"/>
      <w:r>
        <w:rPr>
          <w:rStyle w:val="CharSectno"/>
        </w:rPr>
        <w:t>13</w:t>
      </w:r>
      <w:r>
        <w:rPr>
          <w:snapToGrid w:val="0"/>
        </w:rPr>
        <w:t>.</w:t>
      </w:r>
      <w:r>
        <w:rPr>
          <w:snapToGrid w:val="0"/>
        </w:rPr>
        <w:tab/>
        <w:t>Copy of register to be published</w:t>
      </w:r>
      <w:bookmarkEnd w:id="143"/>
      <w:bookmarkEnd w:id="144"/>
      <w:bookmarkEnd w:id="145"/>
      <w:bookmarkEnd w:id="146"/>
      <w:bookmarkEnd w:id="147"/>
      <w:r>
        <w:rPr>
          <w:snapToGrid w:val="0"/>
        </w:rPr>
        <w:t xml:space="preserve"> </w:t>
      </w:r>
    </w:p>
    <w:p>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pPr>
        <w:pStyle w:val="Indenta"/>
        <w:rPr>
          <w:snapToGrid w:val="0"/>
        </w:rPr>
      </w:pPr>
      <w:r>
        <w:rPr>
          <w:snapToGrid w:val="0"/>
        </w:rPr>
        <w:tab/>
        <w:t>(a)</w:t>
      </w:r>
      <w:r>
        <w:rPr>
          <w:snapToGrid w:val="0"/>
        </w:rPr>
        <w:tab/>
        <w:t>is a licensed surveyor;</w:t>
      </w:r>
    </w:p>
    <w:p>
      <w:pPr>
        <w:pStyle w:val="Indenta"/>
        <w:rPr>
          <w:snapToGrid w:val="0"/>
        </w:rPr>
      </w:pPr>
      <w:r>
        <w:rPr>
          <w:snapToGrid w:val="0"/>
        </w:rPr>
        <w:tab/>
        <w:t>(b)</w:t>
      </w:r>
      <w:r>
        <w:rPr>
          <w:snapToGrid w:val="0"/>
        </w:rPr>
        <w:tab/>
        <w:t>holds or does not hold a practising certificate;</w:t>
      </w:r>
    </w:p>
    <w:p>
      <w:pPr>
        <w:pStyle w:val="Indenta"/>
        <w:rPr>
          <w:snapToGrid w:val="0"/>
        </w:rPr>
      </w:pPr>
      <w:r>
        <w:rPr>
          <w:snapToGrid w:val="0"/>
        </w:rPr>
        <w:tab/>
        <w:t>(c)</w:t>
      </w:r>
      <w:r>
        <w:rPr>
          <w:snapToGrid w:val="0"/>
        </w:rPr>
        <w:tab/>
        <w:t>possesses the qualifications therein mentioned;</w:t>
      </w:r>
    </w:p>
    <w:p>
      <w:pPr>
        <w:pStyle w:val="Indenta"/>
        <w:rPr>
          <w:snapToGrid w:val="0"/>
        </w:rPr>
      </w:pPr>
      <w:r>
        <w:rPr>
          <w:snapToGrid w:val="0"/>
        </w:rPr>
        <w:tab/>
        <w:t>(d)</w:t>
      </w:r>
      <w:r>
        <w:rPr>
          <w:snapToGrid w:val="0"/>
        </w:rPr>
        <w:tab/>
        <w:t>has had his licence cancelled or suspended; or</w:t>
      </w:r>
    </w:p>
    <w:p>
      <w:pPr>
        <w:pStyle w:val="Indenta"/>
        <w:rPr>
          <w:snapToGrid w:val="0"/>
        </w:rPr>
      </w:pPr>
      <w:r>
        <w:rPr>
          <w:snapToGrid w:val="0"/>
        </w:rPr>
        <w:tab/>
        <w:t>(e)</w:t>
      </w:r>
      <w:r>
        <w:rPr>
          <w:snapToGrid w:val="0"/>
        </w:rPr>
        <w:tab/>
        <w:t>has had his practising certificate cancelled or suspended,</w:t>
      </w:r>
    </w:p>
    <w:p>
      <w:pPr>
        <w:pStyle w:val="Subsection"/>
        <w:rPr>
          <w:snapToGrid w:val="0"/>
        </w:rPr>
      </w:pPr>
      <w:r>
        <w:rPr>
          <w:snapToGrid w:val="0"/>
        </w:rPr>
        <w:tab/>
      </w:r>
      <w:r>
        <w:rPr>
          <w:snapToGrid w:val="0"/>
        </w:rPr>
        <w:tab/>
        <w:t>as the case requires.</w:t>
      </w:r>
    </w:p>
    <w:p>
      <w:pPr>
        <w:pStyle w:val="Footnotesection"/>
      </w:pPr>
      <w:r>
        <w:tab/>
        <w:t xml:space="preserve">[Section 13 amended by No. 79 of 1996 s. 11.] </w:t>
      </w:r>
    </w:p>
    <w:p>
      <w:pPr>
        <w:pStyle w:val="Heading5"/>
        <w:rPr>
          <w:snapToGrid w:val="0"/>
        </w:rPr>
      </w:pPr>
      <w:bookmarkStart w:id="148" w:name="_Toc487520710"/>
      <w:bookmarkStart w:id="149" w:name="_Toc512912573"/>
      <w:bookmarkStart w:id="150" w:name="_Toc513452337"/>
      <w:bookmarkStart w:id="151" w:name="_Toc104708415"/>
      <w:bookmarkStart w:id="152" w:name="_Toc133898765"/>
      <w:r>
        <w:rPr>
          <w:rStyle w:val="CharSectno"/>
        </w:rPr>
        <w:t>14</w:t>
      </w:r>
      <w:r>
        <w:rPr>
          <w:snapToGrid w:val="0"/>
        </w:rPr>
        <w:t>.</w:t>
      </w:r>
      <w:r>
        <w:rPr>
          <w:snapToGrid w:val="0"/>
        </w:rPr>
        <w:tab/>
        <w:t>Certain entries to be erased or corrected</w:t>
      </w:r>
      <w:bookmarkEnd w:id="148"/>
      <w:bookmarkEnd w:id="149"/>
      <w:bookmarkEnd w:id="150"/>
      <w:bookmarkEnd w:id="151"/>
      <w:bookmarkEnd w:id="152"/>
    </w:p>
    <w:p>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pPr>
        <w:pStyle w:val="Subsection"/>
        <w:rPr>
          <w:snapToGrid w:val="0"/>
        </w:rPr>
      </w:pPr>
      <w:r>
        <w:rPr>
          <w:snapToGrid w:val="0"/>
        </w:rPr>
        <w:tab/>
        <w:t>(2)</w:t>
      </w:r>
      <w:r>
        <w:rPr>
          <w:snapToGrid w:val="0"/>
        </w:rPr>
        <w:tab/>
        <w:t>Every licensed surveyor on changing his place of address shall forthwith give notice of the fact by post to the secretary.</w:t>
      </w:r>
    </w:p>
    <w:p>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pPr>
        <w:pStyle w:val="Subsection"/>
        <w:rPr>
          <w:snapToGrid w:val="0"/>
        </w:rPr>
      </w:pPr>
      <w:r>
        <w:rPr>
          <w:snapToGrid w:val="0"/>
        </w:rPr>
        <w:tab/>
        <w:t>(5)</w:t>
      </w:r>
      <w:r>
        <w:rPr>
          <w:snapToGrid w:val="0"/>
        </w:rPr>
        <w:tab/>
        <w:t>Any name erased from the register under this section may be restored by the Board.</w:t>
      </w:r>
    </w:p>
    <w:p>
      <w:pPr>
        <w:pStyle w:val="Footnotesection"/>
      </w:pPr>
      <w:r>
        <w:tab/>
        <w:t>[Section 14 amended by No. 79 of 1996 s. 12; No. 40 of 1998 s. 15.]</w:t>
      </w:r>
    </w:p>
    <w:p>
      <w:pPr>
        <w:pStyle w:val="Ednotesection"/>
        <w:ind w:left="890" w:hanging="890"/>
      </w:pPr>
      <w:r>
        <w:t>[</w:t>
      </w:r>
      <w:r>
        <w:rPr>
          <w:b/>
        </w:rPr>
        <w:t>15.</w:t>
      </w:r>
      <w:r>
        <w:tab/>
        <w:t xml:space="preserve">Repealed by No. 79 of 1996 s. 13.] </w:t>
      </w:r>
    </w:p>
    <w:p>
      <w:pPr>
        <w:pStyle w:val="Heading5"/>
        <w:rPr>
          <w:snapToGrid w:val="0"/>
        </w:rPr>
      </w:pPr>
      <w:bookmarkStart w:id="153" w:name="_Toc487520711"/>
      <w:bookmarkStart w:id="154" w:name="_Toc512912574"/>
      <w:bookmarkStart w:id="155" w:name="_Toc513452338"/>
      <w:bookmarkStart w:id="156" w:name="_Toc104708416"/>
      <w:bookmarkStart w:id="157" w:name="_Toc133898766"/>
      <w:r>
        <w:rPr>
          <w:rStyle w:val="CharSectno"/>
        </w:rPr>
        <w:t>16</w:t>
      </w:r>
      <w:r>
        <w:rPr>
          <w:snapToGrid w:val="0"/>
        </w:rPr>
        <w:t>.</w:t>
      </w:r>
      <w:r>
        <w:rPr>
          <w:snapToGrid w:val="0"/>
        </w:rPr>
        <w:tab/>
        <w:t>Powers of licensed surveyors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pPr>
        <w:pStyle w:val="Ednotesubsection"/>
      </w:pPr>
      <w:r>
        <w:tab/>
        <w:t>[(2)</w:t>
      </w:r>
      <w:r>
        <w:tab/>
        <w:t>repealed]</w:t>
      </w:r>
    </w:p>
    <w:p>
      <w:pPr>
        <w:pStyle w:val="Subsection"/>
        <w:rPr>
          <w:snapToGrid w:val="0"/>
        </w:rPr>
      </w:pPr>
      <w:r>
        <w:rPr>
          <w:snapToGrid w:val="0"/>
        </w:rPr>
        <w:tab/>
        <w:t>(3)</w:t>
      </w:r>
      <w:r>
        <w:rPr>
          <w:snapToGrid w:val="0"/>
        </w:rPr>
        <w:tab/>
        <w:t>A person shall not practise as a licensed surveyor unless he is the holder of a licence.</w:t>
      </w:r>
    </w:p>
    <w:p>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pPr>
        <w:pStyle w:val="Footnotesection"/>
      </w:pPr>
      <w:r>
        <w:tab/>
        <w:t xml:space="preserve">[Section 16 amended by No. 113 of 1965 s. 8; No. 107 of 1976 s. 7; No. 79 of 1996 s. 14.] </w:t>
      </w:r>
    </w:p>
    <w:p>
      <w:pPr>
        <w:pStyle w:val="Heading5"/>
        <w:rPr>
          <w:snapToGrid w:val="0"/>
        </w:rPr>
      </w:pPr>
      <w:bookmarkStart w:id="158" w:name="_Toc487520712"/>
      <w:bookmarkStart w:id="159" w:name="_Toc512912575"/>
      <w:bookmarkStart w:id="160" w:name="_Toc513452339"/>
      <w:bookmarkStart w:id="161" w:name="_Toc104708417"/>
      <w:bookmarkStart w:id="162" w:name="_Toc133898767"/>
      <w:r>
        <w:rPr>
          <w:rStyle w:val="CharSectno"/>
        </w:rPr>
        <w:t>17</w:t>
      </w:r>
      <w:r>
        <w:rPr>
          <w:snapToGrid w:val="0"/>
        </w:rPr>
        <w:t>.</w:t>
      </w:r>
      <w:r>
        <w:rPr>
          <w:snapToGrid w:val="0"/>
        </w:rPr>
        <w:tab/>
        <w:t>Surveyor may enter upon lands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pPr>
        <w:pStyle w:val="Footnotesection"/>
      </w:pPr>
      <w:r>
        <w:tab/>
        <w:t xml:space="preserve">[Section 17 amended by No. 113 of 1965 s. 8; No. 79 of 1996 s. 15.] </w:t>
      </w:r>
    </w:p>
    <w:p>
      <w:pPr>
        <w:pStyle w:val="Heading5"/>
        <w:rPr>
          <w:snapToGrid w:val="0"/>
        </w:rPr>
      </w:pPr>
      <w:bookmarkStart w:id="163" w:name="_Toc487520713"/>
      <w:bookmarkStart w:id="164" w:name="_Toc512912576"/>
      <w:bookmarkStart w:id="165" w:name="_Toc513452340"/>
      <w:bookmarkStart w:id="166" w:name="_Toc104708418"/>
      <w:bookmarkStart w:id="167" w:name="_Toc133898768"/>
      <w:r>
        <w:rPr>
          <w:rStyle w:val="CharSectno"/>
        </w:rPr>
        <w:t>18</w:t>
      </w:r>
      <w:r>
        <w:rPr>
          <w:snapToGrid w:val="0"/>
        </w:rPr>
        <w:t>.</w:t>
      </w:r>
      <w:r>
        <w:rPr>
          <w:snapToGrid w:val="0"/>
        </w:rPr>
        <w:tab/>
        <w:t>Plan to be approved by Surveyor General</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An authorised survey, other than a survey referred to in paragraph (c) of the definition of “</w:t>
      </w:r>
      <w:del w:id="168" w:author="svcMRProcess" w:date="2015-11-01T20:29:00Z">
        <w:r>
          <w:rPr>
            <w:snapToGrid w:val="0"/>
          </w:rPr>
          <w:delText>Authorised Survey</w:delText>
        </w:r>
      </w:del>
      <w:ins w:id="169" w:author="svcMRProcess" w:date="2015-11-01T20:29:00Z">
        <w:r>
          <w:rPr>
            <w:snapToGrid w:val="0"/>
          </w:rPr>
          <w:t>authorised survey</w:t>
        </w:r>
      </w:ins>
      <w:r>
        <w:rPr>
          <w:snapToGrid w:val="0"/>
        </w:rPr>
        <w:t>” in section 3(1), shall not be accepted or adopted by any Government department unless a plan of such survey has been lodged with and approved by the Surveyor General or other person appointed by the Governor to approve plans of authorised surveys.</w:t>
      </w:r>
    </w:p>
    <w:p>
      <w:pPr>
        <w:pStyle w:val="Footnotesection"/>
      </w:pPr>
      <w:r>
        <w:tab/>
        <w:t xml:space="preserve">[Section 18 amended by No. 32 of 1994 s. 19; No. 79 of 1996 s. 16.] </w:t>
      </w:r>
    </w:p>
    <w:p>
      <w:pPr>
        <w:pStyle w:val="Heading5"/>
        <w:rPr>
          <w:snapToGrid w:val="0"/>
        </w:rPr>
      </w:pPr>
      <w:bookmarkStart w:id="170" w:name="_Toc487520714"/>
      <w:bookmarkStart w:id="171" w:name="_Toc512912577"/>
      <w:bookmarkStart w:id="172" w:name="_Toc513452341"/>
      <w:bookmarkStart w:id="173" w:name="_Toc104708419"/>
      <w:bookmarkStart w:id="174" w:name="_Toc133898769"/>
      <w:r>
        <w:rPr>
          <w:rStyle w:val="CharSectno"/>
        </w:rPr>
        <w:t>19</w:t>
      </w:r>
      <w:r>
        <w:rPr>
          <w:snapToGrid w:val="0"/>
        </w:rPr>
        <w:t>.</w:t>
      </w:r>
      <w:r>
        <w:rPr>
          <w:snapToGrid w:val="0"/>
        </w:rPr>
        <w:tab/>
        <w:t>Surveyors to correct errors at their own expense</w:t>
      </w:r>
      <w:bookmarkEnd w:id="170"/>
      <w:bookmarkEnd w:id="171"/>
      <w:bookmarkEnd w:id="172"/>
      <w:bookmarkEnd w:id="173"/>
      <w:bookmarkEnd w:id="174"/>
      <w:r>
        <w:rPr>
          <w:snapToGrid w:val="0"/>
        </w:rPr>
        <w:t xml:space="preserve"> </w:t>
      </w:r>
    </w:p>
    <w:p>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pPr>
        <w:pStyle w:val="Indenta"/>
        <w:keepNext/>
        <w:rPr>
          <w:snapToGrid w:val="0"/>
        </w:rPr>
      </w:pPr>
      <w:r>
        <w:rPr>
          <w:snapToGrid w:val="0"/>
        </w:rPr>
        <w:tab/>
        <w:t>(b)</w:t>
      </w:r>
      <w:r>
        <w:rPr>
          <w:snapToGrid w:val="0"/>
        </w:rPr>
        <w:tab/>
        <w:t>any person who is or was a licensed surveyor (</w:t>
      </w:r>
      <w:r>
        <w:rPr>
          <w:b/>
          <w:snapToGrid w:val="0"/>
        </w:rPr>
        <w:t>“</w:t>
      </w:r>
      <w:r>
        <w:rPr>
          <w:rStyle w:val="CharDefText"/>
        </w:rPr>
        <w:t>the person at fault</w:t>
      </w:r>
      <w:r>
        <w:rPr>
          <w:b/>
          <w:snapToGrid w:val="0"/>
        </w:rPr>
        <w:t>”</w:t>
      </w:r>
      <w:r>
        <w:rPr>
          <w:snapToGrid w:val="0"/>
        </w:rPr>
        <w:t>) to pay the cost of correction by a licensed surveyor — </w:t>
      </w:r>
    </w:p>
    <w:p>
      <w:pPr>
        <w:pStyle w:val="Indenti"/>
        <w:rPr>
          <w:snapToGrid w:val="0"/>
        </w:rPr>
      </w:pPr>
      <w:r>
        <w:rPr>
          <w:snapToGrid w:val="0"/>
        </w:rPr>
        <w:tab/>
        <w:t>(i)</w:t>
      </w:r>
      <w:r>
        <w:rPr>
          <w:snapToGrid w:val="0"/>
        </w:rPr>
        <w:tab/>
        <w:t>holding a practising certificate; and</w:t>
      </w:r>
    </w:p>
    <w:p>
      <w:pPr>
        <w:pStyle w:val="Indenti"/>
        <w:rPr>
          <w:snapToGrid w:val="0"/>
        </w:rPr>
      </w:pPr>
      <w:r>
        <w:rPr>
          <w:snapToGrid w:val="0"/>
        </w:rPr>
        <w:tab/>
        <w:t>(ii)</w:t>
      </w:r>
      <w:r>
        <w:rPr>
          <w:snapToGrid w:val="0"/>
        </w:rPr>
        <w:tab/>
        <w:t>instructed by the Surveyor General or the other person appointed by the Governor, as the case requires,</w:t>
      </w:r>
    </w:p>
    <w:p>
      <w:pPr>
        <w:pStyle w:val="Indenta"/>
        <w:rPr>
          <w:snapToGrid w:val="0"/>
        </w:rPr>
      </w:pPr>
      <w:r>
        <w:rPr>
          <w:snapToGrid w:val="0"/>
        </w:rPr>
        <w:tab/>
      </w:r>
      <w:r>
        <w:rPr>
          <w:snapToGrid w:val="0"/>
        </w:rPr>
        <w:tab/>
        <w:t>of any error made by the person at fault in an authorised survey.</w:t>
      </w:r>
    </w:p>
    <w:p>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pPr>
        <w:pStyle w:val="Footnotesection"/>
      </w:pPr>
      <w:r>
        <w:tab/>
        <w:t>[Section 19 amended by No. 79 of 1996 s. 17.]</w:t>
      </w:r>
    </w:p>
    <w:p>
      <w:pPr>
        <w:pStyle w:val="Heading5"/>
        <w:rPr>
          <w:snapToGrid w:val="0"/>
        </w:rPr>
      </w:pPr>
      <w:bookmarkStart w:id="175" w:name="_Toc487520715"/>
      <w:bookmarkStart w:id="176" w:name="_Toc512912578"/>
      <w:bookmarkStart w:id="177" w:name="_Toc513452342"/>
      <w:bookmarkStart w:id="178" w:name="_Toc104708420"/>
      <w:bookmarkStart w:id="179" w:name="_Toc133898770"/>
      <w:r>
        <w:rPr>
          <w:rStyle w:val="CharSectno"/>
        </w:rPr>
        <w:t>20</w:t>
      </w:r>
      <w:r>
        <w:rPr>
          <w:snapToGrid w:val="0"/>
        </w:rPr>
        <w:t>.</w:t>
      </w:r>
      <w:r>
        <w:rPr>
          <w:snapToGrid w:val="0"/>
        </w:rPr>
        <w:tab/>
        <w:t>Surveyor not to be interested</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pPr>
        <w:pStyle w:val="Heading5"/>
        <w:rPr>
          <w:snapToGrid w:val="0"/>
        </w:rPr>
      </w:pPr>
      <w:bookmarkStart w:id="180" w:name="_Toc487520716"/>
      <w:bookmarkStart w:id="181" w:name="_Toc512912579"/>
      <w:bookmarkStart w:id="182" w:name="_Toc513452343"/>
      <w:bookmarkStart w:id="183" w:name="_Toc104708421"/>
      <w:bookmarkStart w:id="184" w:name="_Toc133898771"/>
      <w:r>
        <w:rPr>
          <w:rStyle w:val="CharSectno"/>
        </w:rPr>
        <w:t>20A</w:t>
      </w:r>
      <w:r>
        <w:rPr>
          <w:snapToGrid w:val="0"/>
        </w:rPr>
        <w:t>.</w:t>
      </w:r>
      <w:r>
        <w:rPr>
          <w:snapToGrid w:val="0"/>
        </w:rPr>
        <w:tab/>
        <w:t>Cancellation of licence or practising certificate at request of licensed surveyor</w:t>
      </w:r>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A licensed surveyor may — </w:t>
      </w:r>
    </w:p>
    <w:p>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pPr>
        <w:pStyle w:val="Indenta"/>
        <w:rPr>
          <w:snapToGrid w:val="0"/>
          <w:spacing w:val="-6"/>
        </w:rPr>
      </w:pPr>
      <w:r>
        <w:rPr>
          <w:snapToGrid w:val="0"/>
          <w:spacing w:val="-6"/>
        </w:rPr>
        <w:tab/>
        <w:t>(b)</w:t>
      </w:r>
      <w:r>
        <w:rPr>
          <w:snapToGrid w:val="0"/>
          <w:spacing w:val="-6"/>
        </w:rPr>
        <w:tab/>
        <w:t>surrender his licence or practising certificate to the secretary.</w:t>
      </w:r>
    </w:p>
    <w:p>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pPr>
        <w:pStyle w:val="Footnotesection"/>
      </w:pPr>
      <w:r>
        <w:tab/>
        <w:t>[Section 20A inserted by No. 79 of 1996 s. 18; amended by No.</w:t>
      </w:r>
      <w:del w:id="185" w:author="svcMRProcess" w:date="2015-11-01T20:29:00Z">
        <w:r>
          <w:delText xml:space="preserve"> </w:delText>
        </w:r>
      </w:del>
      <w:ins w:id="186" w:author="svcMRProcess" w:date="2015-11-01T20:29:00Z">
        <w:r>
          <w:t> </w:t>
        </w:r>
      </w:ins>
      <w:r>
        <w:t>55 of 2004 s. 650.]</w:t>
      </w:r>
    </w:p>
    <w:p>
      <w:pPr>
        <w:pStyle w:val="Heading5"/>
      </w:pPr>
      <w:bookmarkStart w:id="187" w:name="_Toc104708422"/>
      <w:bookmarkStart w:id="188" w:name="_Toc133898772"/>
      <w:bookmarkStart w:id="189" w:name="_Toc487520717"/>
      <w:bookmarkStart w:id="190" w:name="_Toc512912580"/>
      <w:bookmarkStart w:id="191" w:name="_Toc513452344"/>
      <w:r>
        <w:rPr>
          <w:rStyle w:val="CharSectno"/>
        </w:rPr>
        <w:t>20B</w:t>
      </w:r>
      <w:r>
        <w:t>.</w:t>
      </w:r>
      <w:r>
        <w:tab/>
        <w:t>Disciplinary proceedings against licensed surveyors</w:t>
      </w:r>
      <w:bookmarkEnd w:id="187"/>
      <w:bookmarkEnd w:id="188"/>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pPr>
        <w:pStyle w:val="Footnotesection"/>
      </w:pPr>
      <w:r>
        <w:tab/>
        <w:t>[Section 20B inserted by No. 55 of 2004 s. 651.]</w:t>
      </w:r>
    </w:p>
    <w:p>
      <w:pPr>
        <w:pStyle w:val="Heading5"/>
        <w:rPr>
          <w:snapToGrid w:val="0"/>
        </w:rPr>
      </w:pPr>
      <w:bookmarkStart w:id="192" w:name="_Toc104708423"/>
      <w:bookmarkStart w:id="193" w:name="_Toc133898773"/>
      <w:r>
        <w:rPr>
          <w:rStyle w:val="CharSectno"/>
        </w:rPr>
        <w:t>21</w:t>
      </w:r>
      <w:r>
        <w:rPr>
          <w:snapToGrid w:val="0"/>
        </w:rPr>
        <w:t>.</w:t>
      </w:r>
      <w:r>
        <w:rPr>
          <w:snapToGrid w:val="0"/>
        </w:rPr>
        <w:tab/>
        <w:t>Power of Board to deal with misconduct</w:t>
      </w:r>
      <w:bookmarkEnd w:id="189"/>
      <w:bookmarkEnd w:id="190"/>
      <w:bookmarkEnd w:id="191"/>
      <w:bookmarkEnd w:id="192"/>
      <w:bookmarkEnd w:id="193"/>
      <w:r>
        <w:rPr>
          <w:snapToGrid w:val="0"/>
        </w:rPr>
        <w:t xml:space="preserve"> </w:t>
      </w:r>
    </w:p>
    <w:p>
      <w:pPr>
        <w:pStyle w:val="Subsection"/>
        <w:keepNext/>
        <w:rPr>
          <w:snapToGrid w:val="0"/>
        </w:rPr>
      </w:pPr>
      <w:r>
        <w:rPr>
          <w:snapToGrid w:val="0"/>
        </w:rPr>
        <w:tab/>
        <w:t>(1)</w:t>
      </w:r>
      <w:r>
        <w:rPr>
          <w:snapToGrid w:val="0"/>
        </w:rPr>
        <w:tab/>
        <w:t>There is proper cause for disciplinary action in respect of a licensed surveyor if —</w:t>
      </w:r>
    </w:p>
    <w:p>
      <w:pPr>
        <w:pStyle w:val="Indenta"/>
        <w:rPr>
          <w:snapToGrid w:val="0"/>
        </w:rPr>
      </w:pPr>
      <w:r>
        <w:rPr>
          <w:snapToGrid w:val="0"/>
        </w:rPr>
        <w:tab/>
        <w:t>(a)</w:t>
      </w:r>
      <w:r>
        <w:rPr>
          <w:snapToGrid w:val="0"/>
        </w:rPr>
        <w:tab/>
        <w:t>he has falsely or negligently certified in respect of an authorised survey; or</w:t>
      </w:r>
    </w:p>
    <w:p>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pPr>
        <w:pStyle w:val="Indenta"/>
        <w:rPr>
          <w:snapToGrid w:val="0"/>
        </w:rPr>
      </w:pPr>
      <w:r>
        <w:rPr>
          <w:snapToGrid w:val="0"/>
        </w:rPr>
        <w:tab/>
        <w:t>(ba)</w:t>
      </w:r>
      <w:r>
        <w:rPr>
          <w:snapToGrid w:val="0"/>
        </w:rPr>
        <w:tab/>
        <w:t>he has, in the course of surveying practice, been guilty of incompetence or negligence; or</w:t>
      </w:r>
    </w:p>
    <w:p>
      <w:pPr>
        <w:pStyle w:val="Indenta"/>
        <w:rPr>
          <w:snapToGrid w:val="0"/>
        </w:rPr>
      </w:pPr>
      <w:r>
        <w:rPr>
          <w:snapToGrid w:val="0"/>
        </w:rPr>
        <w:tab/>
        <w:t>(c)</w:t>
      </w:r>
      <w:r>
        <w:rPr>
          <w:snapToGrid w:val="0"/>
        </w:rPr>
        <w:tab/>
        <w:t>his certificate of competency, licence or practising certificate has been obtained by fraud; or</w:t>
      </w:r>
    </w:p>
    <w:p>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pPr>
        <w:pStyle w:val="Indenta"/>
        <w:rPr>
          <w:snapToGrid w:val="0"/>
        </w:rPr>
      </w:pPr>
      <w:r>
        <w:rPr>
          <w:snapToGrid w:val="0"/>
        </w:rPr>
        <w:tab/>
        <w:t>(e)</w:t>
      </w:r>
      <w:r>
        <w:rPr>
          <w:snapToGrid w:val="0"/>
        </w:rPr>
        <w:tab/>
        <w:t>he has been guilty of a contravention or attempted contravention of section 20; or</w:t>
      </w:r>
    </w:p>
    <w:p>
      <w:pPr>
        <w:pStyle w:val="Indenta"/>
        <w:rPr>
          <w:snapToGrid w:val="0"/>
        </w:rPr>
      </w:pPr>
      <w:r>
        <w:rPr>
          <w:snapToGrid w:val="0"/>
        </w:rPr>
        <w:tab/>
        <w:t>(f)</w:t>
      </w:r>
      <w:r>
        <w:rPr>
          <w:snapToGrid w:val="0"/>
        </w:rPr>
        <w:tab/>
        <w:t>he has been guilty of unprofessional conduct; or</w:t>
      </w:r>
    </w:p>
    <w:p>
      <w:pPr>
        <w:pStyle w:val="Indenta"/>
        <w:rPr>
          <w:snapToGrid w:val="0"/>
          <w:spacing w:val="-4"/>
        </w:rPr>
      </w:pPr>
      <w:r>
        <w:rPr>
          <w:snapToGrid w:val="0"/>
          <w:spacing w:val="-4"/>
        </w:rPr>
        <w:tab/>
        <w:t>(fa)</w:t>
      </w:r>
      <w:r>
        <w:rPr>
          <w:snapToGrid w:val="0"/>
          <w:spacing w:val="-4"/>
        </w:rPr>
        <w:tab/>
        <w:t>he has disobeyed any order made under this subsection; or</w:t>
      </w:r>
    </w:p>
    <w:p>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pPr>
        <w:pStyle w:val="Indenta"/>
        <w:rPr>
          <w:snapToGrid w:val="0"/>
        </w:rPr>
      </w:pPr>
      <w:r>
        <w:rPr>
          <w:snapToGrid w:val="0"/>
        </w:rPr>
        <w:tab/>
        <w:t>(a)</w:t>
      </w:r>
      <w:r>
        <w:rPr>
          <w:snapToGrid w:val="0"/>
        </w:rPr>
        <w:tab/>
        <w:t>reprimanding or cautioning that person;</w:t>
      </w:r>
    </w:p>
    <w:p>
      <w:pPr>
        <w:pStyle w:val="Indenta"/>
        <w:rPr>
          <w:snapToGrid w:val="0"/>
        </w:rPr>
      </w:pPr>
      <w:r>
        <w:rPr>
          <w:snapToGrid w:val="0"/>
        </w:rPr>
        <w:tab/>
        <w:t>(b)</w:t>
      </w:r>
      <w:r>
        <w:rPr>
          <w:snapToGrid w:val="0"/>
        </w:rPr>
        <w:tab/>
        <w:t>imposing on that person a fine not exceeding $1 000;</w:t>
      </w:r>
    </w:p>
    <w:p>
      <w:pPr>
        <w:pStyle w:val="Indenta"/>
        <w:rPr>
          <w:snapToGrid w:val="0"/>
        </w:rPr>
      </w:pPr>
      <w:r>
        <w:rPr>
          <w:snapToGrid w:val="0"/>
        </w:rPr>
        <w:tab/>
        <w:t>(c)</w:t>
      </w:r>
      <w:r>
        <w:rPr>
          <w:snapToGrid w:val="0"/>
        </w:rPr>
        <w:tab/>
        <w:t>imposing conditions on the licence or practising certificate, or both, of that person, if that person is — </w:t>
      </w:r>
    </w:p>
    <w:p>
      <w:pPr>
        <w:pStyle w:val="Indenti"/>
        <w:rPr>
          <w:snapToGrid w:val="0"/>
        </w:rPr>
      </w:pPr>
      <w:r>
        <w:rPr>
          <w:snapToGrid w:val="0"/>
        </w:rPr>
        <w:tab/>
        <w:t>(i)</w:t>
      </w:r>
      <w:r>
        <w:rPr>
          <w:snapToGrid w:val="0"/>
        </w:rPr>
        <w:tab/>
        <w:t>still a licensed surveyor; or</w:t>
      </w:r>
    </w:p>
    <w:p>
      <w:pPr>
        <w:pStyle w:val="Indenti"/>
        <w:rPr>
          <w:snapToGrid w:val="0"/>
        </w:rPr>
      </w:pPr>
      <w:r>
        <w:rPr>
          <w:snapToGrid w:val="0"/>
        </w:rPr>
        <w:tab/>
        <w:t>(ii)</w:t>
      </w:r>
      <w:r>
        <w:rPr>
          <w:snapToGrid w:val="0"/>
        </w:rPr>
        <w:tab/>
        <w:t>an applicant for a licence or practising certificate, or both, or for the renewal of a practising certificate;</w:t>
      </w:r>
    </w:p>
    <w:p>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keepNext/>
        <w:rPr>
          <w:snapToGrid w:val="0"/>
        </w:rPr>
      </w:pPr>
      <w:r>
        <w:rPr>
          <w:snapToGrid w:val="0"/>
        </w:rPr>
        <w:tab/>
        <w:t>(e)</w:t>
      </w:r>
      <w:r>
        <w:rPr>
          <w:snapToGrid w:val="0"/>
        </w:rPr>
        <w:tab/>
        <w:t>suspending the entitlement of a person who is no longer a licensed surveyor to apply for another licence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rPr>
          <w:snapToGrid w:val="0"/>
        </w:rPr>
      </w:pPr>
      <w:r>
        <w:rPr>
          <w:snapToGrid w:val="0"/>
        </w:rPr>
        <w:tab/>
        <w:t>(f)</w:t>
      </w:r>
      <w:r>
        <w:rPr>
          <w:snapToGrid w:val="0"/>
        </w:rPr>
        <w:tab/>
        <w:t>if that person is still a licensed surveyor, cancelling his licence;</w:t>
      </w:r>
    </w:p>
    <w:p>
      <w:pPr>
        <w:pStyle w:val="Indenta"/>
        <w:rPr>
          <w:snapToGrid w:val="0"/>
        </w:rPr>
      </w:pPr>
      <w:r>
        <w:rPr>
          <w:snapToGrid w:val="0"/>
        </w:rPr>
        <w:tab/>
        <w:t>(g)</w:t>
      </w:r>
      <w:r>
        <w:rPr>
          <w:snapToGrid w:val="0"/>
        </w:rPr>
        <w:tab/>
        <w:t>if that person is not still a licensed surveyor, cancelling his entitlement to apply for another licence; or</w:t>
      </w:r>
    </w:p>
    <w:p>
      <w:pPr>
        <w:pStyle w:val="Indenta"/>
        <w:rPr>
          <w:snapToGrid w:val="0"/>
        </w:rPr>
      </w:pPr>
      <w:r>
        <w:rPr>
          <w:snapToGrid w:val="0"/>
        </w:rPr>
        <w:tab/>
        <w:t>(h)</w:t>
      </w:r>
      <w:r>
        <w:rPr>
          <w:snapToGrid w:val="0"/>
        </w:rPr>
        <w:tab/>
        <w:t>if that person is still a licensed surveyor, cancelling — </w:t>
      </w:r>
    </w:p>
    <w:p>
      <w:pPr>
        <w:pStyle w:val="Indenti"/>
        <w:rPr>
          <w:snapToGrid w:val="0"/>
        </w:rPr>
      </w:pPr>
      <w:r>
        <w:rPr>
          <w:snapToGrid w:val="0"/>
        </w:rPr>
        <w:tab/>
        <w:t>(i)</w:t>
      </w:r>
      <w:r>
        <w:rPr>
          <w:snapToGrid w:val="0"/>
        </w:rPr>
        <w:tab/>
        <w:t>his practising certificate; or</w:t>
      </w:r>
    </w:p>
    <w:p>
      <w:pPr>
        <w:pStyle w:val="Indenti"/>
        <w:rPr>
          <w:snapToGrid w:val="0"/>
        </w:rPr>
      </w:pPr>
      <w:r>
        <w:rPr>
          <w:snapToGrid w:val="0"/>
        </w:rPr>
        <w:tab/>
        <w:t>(ii)</w:t>
      </w:r>
      <w:r>
        <w:rPr>
          <w:snapToGrid w:val="0"/>
        </w:rPr>
        <w:tab/>
        <w:t>his entitlement to apply for a renewal of his expired practising certificate or for another practising certificate,</w:t>
      </w:r>
    </w:p>
    <w:p>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pPr>
        <w:pStyle w:val="Subsection"/>
        <w:keepNext/>
        <w:rPr>
          <w:snapToGrid w:val="0"/>
        </w:rPr>
      </w:pPr>
      <w:r>
        <w:rPr>
          <w:snapToGrid w:val="0"/>
        </w:rPr>
        <w:tab/>
        <w:t>(1a)</w:t>
      </w:r>
      <w:r>
        <w:rPr>
          <w:snapToGrid w:val="0"/>
        </w:rPr>
        <w:tab/>
        <w:t>The orders specified in this subsection are — </w:t>
      </w:r>
    </w:p>
    <w:p>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pPr>
        <w:pStyle w:val="Ednotepara"/>
        <w:rPr>
          <w:del w:id="194" w:author="svcMRProcess" w:date="2015-11-01T20:29:00Z"/>
          <w:snapToGrid w:val="0"/>
        </w:rPr>
      </w:pPr>
      <w:r>
        <w:tab/>
        <w:t>[(</w:t>
      </w:r>
      <w:del w:id="195" w:author="svcMRProcess" w:date="2015-11-01T20:29:00Z">
        <w:r>
          <w:rPr>
            <w:snapToGrid w:val="0"/>
          </w:rPr>
          <w:delText>d)</w:delText>
        </w:r>
        <w:r>
          <w:rPr>
            <w:snapToGrid w:val="0"/>
          </w:rPr>
          <w:tab/>
          <w:delText>deleted]</w:delText>
        </w:r>
      </w:del>
    </w:p>
    <w:p>
      <w:pPr>
        <w:pStyle w:val="Ednotesubsection"/>
      </w:pPr>
      <w:del w:id="196" w:author="svcMRProcess" w:date="2015-11-01T20:29:00Z">
        <w:r>
          <w:tab/>
          <w:delText>[(1b), (1c), (</w:delText>
        </w:r>
      </w:del>
      <w:r>
        <w:t>2)</w:t>
      </w:r>
      <w:r>
        <w:tab/>
        <w:t>repealed]</w:t>
      </w:r>
    </w:p>
    <w:p>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pPr>
        <w:pStyle w:val="Subsection"/>
        <w:keepNext/>
        <w:rPr>
          <w:snapToGrid w:val="0"/>
        </w:rPr>
      </w:pPr>
      <w:r>
        <w:rPr>
          <w:snapToGrid w:val="0"/>
        </w:rPr>
        <w:tab/>
        <w:t>(6)</w:t>
      </w:r>
      <w:r>
        <w:rPr>
          <w:snapToGrid w:val="0"/>
        </w:rPr>
        <w:tab/>
        <w:t>The State Administrative Tribunal may, on the application of the Board or a person — </w:t>
      </w:r>
    </w:p>
    <w:p>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pPr>
        <w:pStyle w:val="Indenta"/>
        <w:rPr>
          <w:snapToGrid w:val="0"/>
        </w:rPr>
      </w:pPr>
      <w:r>
        <w:rPr>
          <w:snapToGrid w:val="0"/>
        </w:rPr>
        <w:tab/>
        <w:t>(c)</w:t>
      </w:r>
      <w:r>
        <w:rPr>
          <w:snapToGrid w:val="0"/>
        </w:rPr>
        <w:tab/>
        <w:t>who held a licence cancelled under subsection (1aa)(f), order that the Board issue a fresh licence to that person;</w:t>
      </w:r>
    </w:p>
    <w:p>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pPr>
        <w:pStyle w:val="Indenta"/>
        <w:rPr>
          <w:snapToGrid w:val="0"/>
          <w:spacing w:val="-6"/>
        </w:rPr>
      </w:pPr>
      <w:r>
        <w:rPr>
          <w:snapToGrid w:val="0"/>
          <w:spacing w:val="-6"/>
        </w:rPr>
        <w:tab/>
        <w:t>(b)</w:t>
      </w:r>
      <w:r>
        <w:rPr>
          <w:snapToGrid w:val="0"/>
          <w:spacing w:val="-6"/>
        </w:rPr>
        <w:tab/>
        <w:t>the granting of any application referred to in subsection (6).</w:t>
      </w:r>
    </w:p>
    <w:p>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pPr>
        <w:pStyle w:val="Penstart"/>
        <w:rPr>
          <w:snapToGrid w:val="0"/>
        </w:rPr>
      </w:pPr>
      <w:r>
        <w:rPr>
          <w:snapToGrid w:val="0"/>
        </w:rPr>
        <w:tab/>
        <w:t>Penalty: $1 000.</w:t>
      </w:r>
    </w:p>
    <w:p>
      <w:pPr>
        <w:pStyle w:val="Footnotesection"/>
      </w:pPr>
      <w:r>
        <w:tab/>
        <w:t xml:space="preserve">[Section 21 amended by No. 79 of 1996 s. 19; No. 24 of 2000 s. 21(1); No. 55 of 2004 s. 652; No. 70 of 2004 s. 82.] </w:t>
      </w:r>
    </w:p>
    <w:p>
      <w:pPr>
        <w:pStyle w:val="Heading5"/>
      </w:pPr>
      <w:bookmarkStart w:id="197" w:name="_Toc104708424"/>
      <w:bookmarkStart w:id="198" w:name="_Toc133898774"/>
      <w:bookmarkStart w:id="199" w:name="_Toc487520718"/>
      <w:bookmarkStart w:id="200" w:name="_Toc512912581"/>
      <w:bookmarkStart w:id="201" w:name="_Toc513452345"/>
      <w:r>
        <w:rPr>
          <w:rStyle w:val="CharSectno"/>
        </w:rPr>
        <w:t>21AA</w:t>
      </w:r>
      <w:r>
        <w:t>.</w:t>
      </w:r>
      <w:r>
        <w:tab/>
        <w:t>Suspension of licence by State Administrative Tribunal</w:t>
      </w:r>
      <w:bookmarkEnd w:id="197"/>
      <w:bookmarkEnd w:id="198"/>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21AA inserted by No. 55 of 2004 s. 653.]</w:t>
      </w:r>
    </w:p>
    <w:p>
      <w:pPr>
        <w:pStyle w:val="Heading5"/>
        <w:rPr>
          <w:snapToGrid w:val="0"/>
        </w:rPr>
      </w:pPr>
      <w:bookmarkStart w:id="202" w:name="_Toc104708425"/>
      <w:bookmarkStart w:id="203" w:name="_Toc133898775"/>
      <w:r>
        <w:rPr>
          <w:rStyle w:val="CharSectno"/>
        </w:rPr>
        <w:t>21A</w:t>
      </w:r>
      <w:r>
        <w:rPr>
          <w:snapToGrid w:val="0"/>
        </w:rPr>
        <w:t>.</w:t>
      </w:r>
      <w:r>
        <w:rPr>
          <w:snapToGrid w:val="0"/>
        </w:rPr>
        <w:tab/>
        <w:t>Alteration and removal of licence or practising certificate conditions</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pPr>
        <w:pStyle w:val="Footnotesection"/>
      </w:pPr>
      <w:r>
        <w:tab/>
        <w:t>[Section 21A inserted by No. 79 of 1996 s. 20.]</w:t>
      </w:r>
    </w:p>
    <w:p>
      <w:pPr>
        <w:pStyle w:val="Heading5"/>
      </w:pPr>
      <w:bookmarkStart w:id="204" w:name="_Toc104708426"/>
      <w:bookmarkStart w:id="205" w:name="_Toc133898776"/>
      <w:bookmarkStart w:id="206" w:name="_Toc487520720"/>
      <w:bookmarkStart w:id="207" w:name="_Toc512912583"/>
      <w:bookmarkStart w:id="208" w:name="_Toc513452347"/>
      <w:r>
        <w:rPr>
          <w:rStyle w:val="CharSectno"/>
        </w:rPr>
        <w:t>22</w:t>
      </w:r>
      <w:r>
        <w:t>.</w:t>
      </w:r>
      <w:r>
        <w:tab/>
        <w:t>Charge against surveyor</w:t>
      </w:r>
      <w:bookmarkEnd w:id="204"/>
      <w:bookmarkEnd w:id="205"/>
      <w:r>
        <w:t xml:space="preserve"> </w:t>
      </w:r>
    </w:p>
    <w:p>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pPr>
        <w:pStyle w:val="Subsection"/>
        <w:rPr>
          <w:snapToGrid w:val="0"/>
        </w:rPr>
      </w:pPr>
      <w:r>
        <w:rPr>
          <w:snapToGrid w:val="0"/>
        </w:rPr>
        <w:tab/>
        <w:t>(2)</w:t>
      </w:r>
      <w:r>
        <w:rPr>
          <w:snapToGrid w:val="0"/>
        </w:rPr>
        <w:tab/>
        <w:t>Subsection (1) does not prevent the Board from commencing an investigation on its own initiative.</w:t>
      </w:r>
    </w:p>
    <w:p>
      <w:pPr>
        <w:pStyle w:val="Footnotesection"/>
      </w:pPr>
      <w:r>
        <w:tab/>
        <w:t>[Section 22 inserted by No. 55 of 2004 s. 654.]</w:t>
      </w:r>
    </w:p>
    <w:p>
      <w:pPr>
        <w:pStyle w:val="Heading5"/>
        <w:rPr>
          <w:snapToGrid w:val="0"/>
        </w:rPr>
      </w:pPr>
      <w:bookmarkStart w:id="209" w:name="_Toc104708427"/>
      <w:bookmarkStart w:id="210" w:name="_Toc133898777"/>
      <w:bookmarkStart w:id="211" w:name="_Toc487520721"/>
      <w:bookmarkStart w:id="212" w:name="_Toc512912584"/>
      <w:bookmarkStart w:id="213" w:name="_Toc513452348"/>
      <w:bookmarkEnd w:id="206"/>
      <w:bookmarkEnd w:id="207"/>
      <w:bookmarkEnd w:id="208"/>
      <w:r>
        <w:rPr>
          <w:rStyle w:val="CharSectno"/>
        </w:rPr>
        <w:t>22A</w:t>
      </w:r>
      <w:r>
        <w:rPr>
          <w:snapToGrid w:val="0"/>
        </w:rPr>
        <w:t>.</w:t>
      </w:r>
      <w:r>
        <w:rPr>
          <w:snapToGrid w:val="0"/>
        </w:rPr>
        <w:tab/>
        <w:t>Application for review</w:t>
      </w:r>
      <w:bookmarkEnd w:id="209"/>
      <w:bookmarkEnd w:id="210"/>
      <w:r>
        <w:rPr>
          <w:snapToGrid w:val="0"/>
        </w:rPr>
        <w:t xml:space="preserve"> </w:t>
      </w:r>
    </w:p>
    <w:p>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pPr>
        <w:pStyle w:val="Subsection"/>
        <w:rPr>
          <w:snapToGrid w:val="0"/>
        </w:rPr>
      </w:pPr>
      <w:r>
        <w:rPr>
          <w:snapToGrid w:val="0"/>
        </w:rPr>
        <w:tab/>
        <w:t>(2)</w:t>
      </w:r>
      <w:r>
        <w:rPr>
          <w:snapToGrid w:val="0"/>
        </w:rPr>
        <w:tab/>
        <w:t xml:space="preserve">In subsection (1) — </w:t>
      </w:r>
    </w:p>
    <w:p>
      <w:pPr>
        <w:pStyle w:val="Defstart"/>
        <w:rPr>
          <w:snapToGrid/>
        </w:rPr>
      </w:pPr>
      <w:r>
        <w:rPr>
          <w:b/>
        </w:rPr>
        <w:tab/>
        <w:t>“</w:t>
      </w:r>
      <w:r>
        <w:rPr>
          <w:rStyle w:val="CharDefText"/>
        </w:rPr>
        <w:t>person aggrieved</w:t>
      </w:r>
      <w:r>
        <w:rPr>
          <w:b/>
        </w:rPr>
        <w:t>”</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pPr>
        <w:pStyle w:val="Defstart"/>
      </w:pPr>
      <w:r>
        <w:tab/>
      </w:r>
      <w:r>
        <w:rPr>
          <w:b/>
          <w:bCs/>
        </w:rPr>
        <w:t>“</w:t>
      </w:r>
      <w:r>
        <w:rPr>
          <w:rStyle w:val="CharDefText"/>
        </w:rPr>
        <w:t>reviewable decision</w:t>
      </w:r>
      <w:r>
        <w:rPr>
          <w:b/>
          <w:bCs/>
        </w:rPr>
        <w:t>”</w:t>
      </w:r>
      <w:r>
        <w:t xml:space="preserve"> means a decision of the Board in respect of an application for the grant or renewal of a licence or practising certificate or the imposition of a condition on a licence or practising certificate.</w:t>
      </w:r>
    </w:p>
    <w:p>
      <w:pPr>
        <w:pStyle w:val="Footnotesection"/>
      </w:pPr>
      <w:r>
        <w:tab/>
        <w:t>[Section 22A inserted by No. 55 of 2004 s. 655.]</w:t>
      </w:r>
    </w:p>
    <w:p>
      <w:pPr>
        <w:pStyle w:val="Heading5"/>
        <w:rPr>
          <w:snapToGrid w:val="0"/>
        </w:rPr>
      </w:pPr>
      <w:bookmarkStart w:id="214" w:name="_Toc104708428"/>
      <w:bookmarkStart w:id="215" w:name="_Toc133898778"/>
      <w:r>
        <w:rPr>
          <w:rStyle w:val="CharSectno"/>
        </w:rPr>
        <w:t>23</w:t>
      </w:r>
      <w:r>
        <w:rPr>
          <w:snapToGrid w:val="0"/>
        </w:rPr>
        <w:t>.</w:t>
      </w:r>
      <w:r>
        <w:rPr>
          <w:snapToGrid w:val="0"/>
        </w:rPr>
        <w:tab/>
        <w:t>Offences</w:t>
      </w:r>
      <w:bookmarkEnd w:id="211"/>
      <w:bookmarkEnd w:id="212"/>
      <w:bookmarkEnd w:id="213"/>
      <w:bookmarkEnd w:id="214"/>
      <w:bookmarkEnd w:id="215"/>
      <w:r>
        <w:rPr>
          <w:snapToGrid w:val="0"/>
        </w:rPr>
        <w:t xml:space="preserve"> </w:t>
      </w:r>
    </w:p>
    <w:p>
      <w:pPr>
        <w:pStyle w:val="Subsection"/>
        <w:keepNext/>
        <w:rPr>
          <w:snapToGrid w:val="0"/>
        </w:rPr>
      </w:pPr>
      <w:r>
        <w:rPr>
          <w:snapToGrid w:val="0"/>
        </w:rPr>
        <w:tab/>
      </w:r>
      <w:r>
        <w:rPr>
          <w:snapToGrid w:val="0"/>
        </w:rPr>
        <w:tab/>
        <w:t>Any person, not being a licensed surveyor, who — </w:t>
      </w:r>
    </w:p>
    <w:p>
      <w:pPr>
        <w:pStyle w:val="Indenta"/>
        <w:rPr>
          <w:snapToGrid w:val="0"/>
        </w:rPr>
      </w:pPr>
      <w:r>
        <w:rPr>
          <w:snapToGrid w:val="0"/>
        </w:rPr>
        <w:tab/>
        <w:t>(a)</w:t>
      </w:r>
      <w:r>
        <w:rPr>
          <w:snapToGrid w:val="0"/>
        </w:rPr>
        <w:tab/>
        <w:t>falsely pretends that he is a licensed surveyor; or</w:t>
      </w:r>
    </w:p>
    <w:p>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pPr>
        <w:pStyle w:val="Indenta"/>
        <w:rPr>
          <w:snapToGrid w:val="0"/>
        </w:rPr>
      </w:pPr>
      <w:r>
        <w:rPr>
          <w:snapToGrid w:val="0"/>
        </w:rPr>
        <w:tab/>
        <w:t>(c)</w:t>
      </w:r>
      <w:r>
        <w:rPr>
          <w:snapToGrid w:val="0"/>
        </w:rPr>
        <w:tab/>
        <w:t>practises, charges, or receives a fee for work done as a licensed surveyor; or</w:t>
      </w:r>
    </w:p>
    <w:p>
      <w:pPr>
        <w:pStyle w:val="Indenta"/>
        <w:rPr>
          <w:snapToGrid w:val="0"/>
        </w:rPr>
      </w:pPr>
      <w:r>
        <w:rPr>
          <w:snapToGrid w:val="0"/>
        </w:rPr>
        <w:tab/>
        <w:t>(d)</w:t>
      </w:r>
      <w:r>
        <w:rPr>
          <w:snapToGrid w:val="0"/>
        </w:rPr>
        <w:tab/>
        <w:t>certifies in respect of the performance of an authorised survey; or</w:t>
      </w:r>
    </w:p>
    <w:p>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pPr>
        <w:pStyle w:val="Footnotesection"/>
      </w:pPr>
      <w:r>
        <w:tab/>
        <w:t xml:space="preserve">[Section 23 amended by No. 113 of 1965 s. 8; No. 107 of 1976 s. 8; No. 79 of 1996 s. 23.] </w:t>
      </w:r>
    </w:p>
    <w:p>
      <w:pPr>
        <w:pStyle w:val="Heading5"/>
        <w:rPr>
          <w:snapToGrid w:val="0"/>
        </w:rPr>
      </w:pPr>
      <w:bookmarkStart w:id="216" w:name="_Toc487520722"/>
      <w:bookmarkStart w:id="217" w:name="_Toc512912585"/>
      <w:bookmarkStart w:id="218" w:name="_Toc513452349"/>
      <w:bookmarkStart w:id="219" w:name="_Toc104708429"/>
      <w:bookmarkStart w:id="220" w:name="_Toc133898779"/>
      <w:r>
        <w:rPr>
          <w:rStyle w:val="CharSectno"/>
        </w:rPr>
        <w:t>24</w:t>
      </w:r>
      <w:r>
        <w:rPr>
          <w:snapToGrid w:val="0"/>
        </w:rPr>
        <w:t>.</w:t>
      </w:r>
      <w:r>
        <w:rPr>
          <w:snapToGrid w:val="0"/>
        </w:rPr>
        <w:tab/>
        <w:t>Board may sue and be sued</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 xml:space="preserve">The Board may, by the secretary or any person thereunto authorised in writing under the hand of the </w:t>
      </w:r>
      <w:del w:id="221" w:author="svcMRProcess" w:date="2015-11-01T20:29:00Z">
        <w:r>
          <w:rPr>
            <w:snapToGrid w:val="0"/>
          </w:rPr>
          <w:delText>Chairman</w:delText>
        </w:r>
      </w:del>
      <w:ins w:id="222" w:author="svcMRProcess" w:date="2015-11-01T20:29:00Z">
        <w:r>
          <w:rPr>
            <w:snapToGrid w:val="0"/>
          </w:rPr>
          <w:t>chairman</w:t>
        </w:r>
      </w:ins>
      <w:r>
        <w:rPr>
          <w:snapToGrid w:val="0"/>
        </w:rPr>
        <w:t>, in the name of the Board, institute, carry on, prosecute, and defend any action, prosecution, or proceeding whatsoever.</w:t>
      </w:r>
    </w:p>
    <w:p>
      <w:pPr>
        <w:pStyle w:val="Footnotesection"/>
      </w:pPr>
      <w:bookmarkStart w:id="223" w:name="_Toc487520723"/>
      <w:bookmarkStart w:id="224" w:name="_Toc512912586"/>
      <w:bookmarkStart w:id="225" w:name="_Toc513452350"/>
      <w:r>
        <w:tab/>
        <w:t xml:space="preserve">[Section 24 amended by No. 84 of 2004 s. 80.] </w:t>
      </w:r>
    </w:p>
    <w:p>
      <w:pPr>
        <w:pStyle w:val="Heading5"/>
        <w:rPr>
          <w:snapToGrid w:val="0"/>
        </w:rPr>
      </w:pPr>
      <w:bookmarkStart w:id="226" w:name="_Toc104708430"/>
      <w:bookmarkStart w:id="227" w:name="_Toc133898780"/>
      <w:r>
        <w:rPr>
          <w:rStyle w:val="CharSectno"/>
        </w:rPr>
        <w:t>24A</w:t>
      </w:r>
      <w:r>
        <w:rPr>
          <w:snapToGrid w:val="0"/>
        </w:rPr>
        <w:t>.</w:t>
      </w:r>
      <w:r>
        <w:rPr>
          <w:snapToGrid w:val="0"/>
        </w:rPr>
        <w:tab/>
        <w:t>Protection from liability for wrongdoing</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Footnotesection"/>
      </w:pPr>
      <w:r>
        <w:tab/>
        <w:t>[Section 24A inserted by No. 79 of 1996 s. 24.]</w:t>
      </w:r>
    </w:p>
    <w:p>
      <w:pPr>
        <w:pStyle w:val="Heading5"/>
        <w:rPr>
          <w:snapToGrid w:val="0"/>
        </w:rPr>
      </w:pPr>
      <w:bookmarkStart w:id="228" w:name="_Toc487520724"/>
      <w:bookmarkStart w:id="229" w:name="_Toc512912587"/>
      <w:bookmarkStart w:id="230" w:name="_Toc513452351"/>
      <w:bookmarkStart w:id="231" w:name="_Toc104708431"/>
      <w:bookmarkStart w:id="232" w:name="_Toc133898781"/>
      <w:r>
        <w:rPr>
          <w:rStyle w:val="CharSectno"/>
        </w:rPr>
        <w:t>25</w:t>
      </w:r>
      <w:r>
        <w:rPr>
          <w:snapToGrid w:val="0"/>
        </w:rPr>
        <w:t>.</w:t>
      </w:r>
      <w:r>
        <w:rPr>
          <w:snapToGrid w:val="0"/>
        </w:rPr>
        <w:tab/>
        <w:t>Application of funds</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pPr>
        <w:pStyle w:val="Heading5"/>
        <w:rPr>
          <w:snapToGrid w:val="0"/>
        </w:rPr>
      </w:pPr>
      <w:bookmarkStart w:id="233" w:name="_Toc487520725"/>
      <w:bookmarkStart w:id="234" w:name="_Toc512912588"/>
      <w:bookmarkStart w:id="235" w:name="_Toc513452352"/>
      <w:bookmarkStart w:id="236" w:name="_Toc104708432"/>
      <w:bookmarkStart w:id="237" w:name="_Toc133898782"/>
      <w:r>
        <w:rPr>
          <w:rStyle w:val="CharSectno"/>
        </w:rPr>
        <w:t>25A</w:t>
      </w:r>
      <w:r>
        <w:rPr>
          <w:snapToGrid w:val="0"/>
        </w:rPr>
        <w:t>.</w:t>
      </w:r>
      <w:r>
        <w:rPr>
          <w:snapToGrid w:val="0"/>
        </w:rPr>
        <w:tab/>
        <w:t>Accounts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25A inserted by No. 77 of 1987 </w:t>
      </w:r>
      <w:r>
        <w:rPr>
          <w:i w:val="0"/>
        </w:rPr>
        <w:t>s. </w:t>
      </w:r>
      <w:r>
        <w:t xml:space="preserve">3.] </w:t>
      </w:r>
    </w:p>
    <w:p>
      <w:pPr>
        <w:pStyle w:val="Heading5"/>
        <w:rPr>
          <w:snapToGrid w:val="0"/>
        </w:rPr>
      </w:pPr>
      <w:bookmarkStart w:id="238" w:name="_Toc487520726"/>
      <w:bookmarkStart w:id="239" w:name="_Toc512912589"/>
      <w:bookmarkStart w:id="240" w:name="_Toc513452353"/>
      <w:bookmarkStart w:id="241" w:name="_Toc104708433"/>
      <w:bookmarkStart w:id="242" w:name="_Toc133898783"/>
      <w:r>
        <w:rPr>
          <w:rStyle w:val="CharSectno"/>
        </w:rPr>
        <w:t>25B</w:t>
      </w:r>
      <w:r>
        <w:rPr>
          <w:snapToGrid w:val="0"/>
        </w:rPr>
        <w:t>.</w:t>
      </w:r>
      <w:r>
        <w:rPr>
          <w:snapToGrid w:val="0"/>
        </w:rPr>
        <w:tab/>
        <w:t>Audit</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pPr>
        <w:pStyle w:val="Footnotesection"/>
      </w:pPr>
      <w:r>
        <w:tab/>
        <w:t xml:space="preserve">[Section 25B inserted by No. 77 of 1987 s. 3.] </w:t>
      </w:r>
    </w:p>
    <w:p>
      <w:pPr>
        <w:pStyle w:val="Heading5"/>
        <w:rPr>
          <w:snapToGrid w:val="0"/>
        </w:rPr>
      </w:pPr>
      <w:bookmarkStart w:id="243" w:name="_Toc487520727"/>
      <w:bookmarkStart w:id="244" w:name="_Toc512912590"/>
      <w:bookmarkStart w:id="245" w:name="_Toc513452354"/>
      <w:bookmarkStart w:id="246" w:name="_Toc104708434"/>
      <w:bookmarkStart w:id="247" w:name="_Toc133898784"/>
      <w:r>
        <w:rPr>
          <w:rStyle w:val="CharSectno"/>
        </w:rPr>
        <w:t>25C</w:t>
      </w:r>
      <w:r>
        <w:rPr>
          <w:snapToGrid w:val="0"/>
        </w:rPr>
        <w:t>.</w:t>
      </w:r>
      <w:r>
        <w:rPr>
          <w:snapToGrid w:val="0"/>
        </w:rPr>
        <w:tab/>
        <w:t>Annual report</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25C inserted by No. 77 of 1987 s. 3; amended by No.</w:t>
      </w:r>
      <w:del w:id="248" w:author="svcMRProcess" w:date="2015-11-01T20:29:00Z">
        <w:r>
          <w:delText xml:space="preserve"> </w:delText>
        </w:r>
      </w:del>
      <w:ins w:id="249" w:author="svcMRProcess" w:date="2015-11-01T20:29:00Z">
        <w:r>
          <w:t> </w:t>
        </w:r>
      </w:ins>
      <w:r>
        <w:t>55 of 2004 s. 656.]</w:t>
      </w:r>
      <w:del w:id="250" w:author="svcMRProcess" w:date="2015-11-01T20:29:00Z">
        <w:r>
          <w:delText xml:space="preserve"> </w:delText>
        </w:r>
      </w:del>
    </w:p>
    <w:p>
      <w:pPr>
        <w:pStyle w:val="Heading5"/>
        <w:rPr>
          <w:snapToGrid w:val="0"/>
        </w:rPr>
      </w:pPr>
      <w:bookmarkStart w:id="251" w:name="_Toc487520728"/>
      <w:bookmarkStart w:id="252" w:name="_Toc512912591"/>
      <w:bookmarkStart w:id="253" w:name="_Toc513452355"/>
      <w:bookmarkStart w:id="254" w:name="_Toc104708435"/>
      <w:bookmarkStart w:id="255" w:name="_Toc133898785"/>
      <w:r>
        <w:rPr>
          <w:rStyle w:val="CharSectno"/>
        </w:rPr>
        <w:t>26</w:t>
      </w:r>
      <w:r>
        <w:rPr>
          <w:snapToGrid w:val="0"/>
        </w:rPr>
        <w:t>.</w:t>
      </w:r>
      <w:r>
        <w:rPr>
          <w:snapToGrid w:val="0"/>
        </w:rPr>
        <w:tab/>
        <w:t>Regulations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 xml:space="preserve">regulating the meetings and proceedings of the Board and the conduct of the business thereof; the election of a member to perform the duties of the </w:t>
      </w:r>
      <w:del w:id="256" w:author="svcMRProcess" w:date="2015-11-01T20:29:00Z">
        <w:r>
          <w:rPr>
            <w:snapToGrid w:val="0"/>
          </w:rPr>
          <w:delText>Chairman</w:delText>
        </w:r>
      </w:del>
      <w:ins w:id="257" w:author="svcMRProcess" w:date="2015-11-01T20:29:00Z">
        <w:r>
          <w:rPr>
            <w:snapToGrid w:val="0"/>
          </w:rPr>
          <w:t>chairman</w:t>
        </w:r>
      </w:ins>
      <w:r>
        <w:rPr>
          <w:snapToGrid w:val="0"/>
        </w:rPr>
        <w:t xml:space="preserve"> and act as </w:t>
      </w:r>
      <w:del w:id="258" w:author="svcMRProcess" w:date="2015-11-01T20:29:00Z">
        <w:r>
          <w:rPr>
            <w:snapToGrid w:val="0"/>
          </w:rPr>
          <w:delText>Deputy Chairman</w:delText>
        </w:r>
      </w:del>
      <w:ins w:id="259" w:author="svcMRProcess" w:date="2015-11-01T20:29:00Z">
        <w:r>
          <w:rPr>
            <w:snapToGrid w:val="0"/>
          </w:rPr>
          <w:t>deputy chairman</w:t>
        </w:r>
      </w:ins>
      <w:r>
        <w:rPr>
          <w:snapToGrid w:val="0"/>
        </w:rPr>
        <w:t xml:space="preserve"> during the illness or absence of the </w:t>
      </w:r>
      <w:del w:id="260" w:author="svcMRProcess" w:date="2015-11-01T20:29:00Z">
        <w:r>
          <w:rPr>
            <w:snapToGrid w:val="0"/>
          </w:rPr>
          <w:delText>Chairman</w:delText>
        </w:r>
      </w:del>
      <w:ins w:id="261" w:author="svcMRProcess" w:date="2015-11-01T20:29:00Z">
        <w:r>
          <w:rPr>
            <w:snapToGrid w:val="0"/>
          </w:rPr>
          <w:t>chairman</w:t>
        </w:r>
      </w:ins>
      <w:r>
        <w:rPr>
          <w:snapToGrid w:val="0"/>
        </w:rPr>
        <w:t>;</w:t>
      </w:r>
    </w:p>
    <w:p>
      <w:pPr>
        <w:pStyle w:val="Indenta"/>
        <w:rPr>
          <w:snapToGrid w:val="0"/>
        </w:rPr>
      </w:pPr>
      <w:r>
        <w:rPr>
          <w:snapToGrid w:val="0"/>
        </w:rPr>
        <w:tab/>
        <w:t>(b)</w:t>
      </w:r>
      <w:r>
        <w:rPr>
          <w:snapToGrid w:val="0"/>
        </w:rPr>
        <w:tab/>
        <w:t>prescribing the duties of the secretary and other officers of the Board;</w:t>
      </w:r>
    </w:p>
    <w:p>
      <w:pPr>
        <w:pStyle w:val="Indenta"/>
        <w:rPr>
          <w:snapToGrid w:val="0"/>
        </w:rPr>
      </w:pPr>
      <w:r>
        <w:rPr>
          <w:snapToGrid w:val="0"/>
        </w:rPr>
        <w:tab/>
        <w:t>(c)</w:t>
      </w:r>
      <w:r>
        <w:rPr>
          <w:snapToGrid w:val="0"/>
        </w:rPr>
        <w:tab/>
        <w:t>regulating the manner of keeping the register, and the particulars to be entered therein;</w:t>
      </w:r>
    </w:p>
    <w:p>
      <w:pPr>
        <w:pStyle w:val="Indenta"/>
        <w:rPr>
          <w:snapToGrid w:val="0"/>
        </w:rPr>
      </w:pPr>
      <w:r>
        <w:rPr>
          <w:snapToGrid w:val="0"/>
        </w:rPr>
        <w:tab/>
        <w:t>(d)</w:t>
      </w:r>
      <w:r>
        <w:rPr>
          <w:snapToGrid w:val="0"/>
        </w:rPr>
        <w:tab/>
        <w:t>prescribing forms to be used for the purposes of this Act;</w:t>
      </w:r>
    </w:p>
    <w:p>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pPr>
        <w:pStyle w:val="Indenta"/>
        <w:rPr>
          <w:snapToGrid w:val="0"/>
        </w:rPr>
      </w:pPr>
      <w:r>
        <w:rPr>
          <w:snapToGrid w:val="0"/>
        </w:rPr>
        <w:tab/>
        <w:t>(g)</w:t>
      </w:r>
      <w:r>
        <w:rPr>
          <w:snapToGrid w:val="0"/>
        </w:rPr>
        <w:tab/>
        <w:t>regulating the issue of certificates of competency and licences and the issue and renewal of practising certificates;</w:t>
      </w:r>
    </w:p>
    <w:p>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pPr>
        <w:pStyle w:val="Ednotepara"/>
        <w:spacing w:before="80"/>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pPr>
        <w:pStyle w:val="Subsection"/>
        <w:rPr>
          <w:snapToGrid w:val="0"/>
        </w:rPr>
      </w:pPr>
      <w:r>
        <w:rPr>
          <w:snapToGrid w:val="0"/>
        </w:rPr>
        <w:tab/>
        <w:t>(5)</w:t>
      </w:r>
      <w:r>
        <w:rPr>
          <w:snapToGrid w:val="0"/>
        </w:rPr>
        <w:tab/>
        <w:t>Regulations made under subsection (1) and prescribing a period or periods for the purposes of the definition of “</w:t>
      </w:r>
      <w:del w:id="262" w:author="svcMRProcess" w:date="2015-11-01T20:29:00Z">
        <w:r>
          <w:rPr>
            <w:snapToGrid w:val="0"/>
          </w:rPr>
          <w:delText>Standard Period</w:delText>
        </w:r>
      </w:del>
      <w:ins w:id="263" w:author="svcMRProcess" w:date="2015-11-01T20:29:00Z">
        <w:r>
          <w:rPr>
            <w:snapToGrid w:val="0"/>
          </w:rPr>
          <w:t>standard period</w:t>
        </w:r>
      </w:ins>
      <w:r>
        <w:rPr>
          <w:snapToGrid w:val="0"/>
        </w:rPr>
        <w:t>” in section 3(1) may confer on the Board power, subject to that definition, to determine the length of the period or periods.</w:t>
      </w:r>
    </w:p>
    <w:p>
      <w:pPr>
        <w:pStyle w:val="Footnotesection"/>
      </w:pPr>
      <w:r>
        <w:tab/>
        <w:t xml:space="preserve">[Section 26 amended by No. 113 of 1965 s. 8; No. 107 of 1976 s. 9; No. 79 of 1996 s. 25; No. 24 of 2000 s. 21(2); No. 55 of 2004 s. 657.] </w:t>
      </w:r>
    </w:p>
    <w:p>
      <w:pPr>
        <w:pStyle w:val="Heading5"/>
        <w:rPr>
          <w:snapToGrid w:val="0"/>
        </w:rPr>
      </w:pPr>
      <w:bookmarkStart w:id="264" w:name="_Toc487520729"/>
      <w:bookmarkStart w:id="265" w:name="_Toc512912592"/>
      <w:bookmarkStart w:id="266" w:name="_Toc513452356"/>
      <w:bookmarkStart w:id="267" w:name="_Toc104708436"/>
      <w:bookmarkStart w:id="268" w:name="_Toc133898786"/>
      <w:r>
        <w:rPr>
          <w:rStyle w:val="CharSectno"/>
        </w:rPr>
        <w:t>26A</w:t>
      </w:r>
      <w:r>
        <w:rPr>
          <w:snapToGrid w:val="0"/>
        </w:rPr>
        <w:t>.</w:t>
      </w:r>
      <w:r>
        <w:rPr>
          <w:snapToGrid w:val="0"/>
        </w:rPr>
        <w:tab/>
        <w:t>Professional indemnity insurance</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pPr>
        <w:pStyle w:val="Indenta"/>
        <w:rPr>
          <w:snapToGrid w:val="0"/>
        </w:rPr>
      </w:pPr>
      <w:r>
        <w:rPr>
          <w:snapToGrid w:val="0"/>
        </w:rPr>
        <w:tab/>
        <w:t>(c)</w:t>
      </w:r>
      <w:r>
        <w:rPr>
          <w:snapToGrid w:val="0"/>
        </w:rPr>
        <w:tab/>
        <w:t>a licensed surveyor or former licensed surveyor in the course of practising as a licensed surveyor.</w:t>
      </w:r>
    </w:p>
    <w:p>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pPr>
        <w:pStyle w:val="Indenti"/>
        <w:rPr>
          <w:snapToGrid w:val="0"/>
        </w:rPr>
      </w:pPr>
      <w:r>
        <w:rPr>
          <w:snapToGrid w:val="0"/>
        </w:rPr>
        <w:tab/>
        <w:t>(i)</w:t>
      </w:r>
      <w:r>
        <w:rPr>
          <w:snapToGrid w:val="0"/>
        </w:rPr>
        <w:tab/>
        <w:t>the requirements of those regulations; and</w:t>
      </w:r>
    </w:p>
    <w:p>
      <w:pPr>
        <w:pStyle w:val="Indenti"/>
        <w:rPr>
          <w:snapToGrid w:val="0"/>
        </w:rPr>
      </w:pPr>
      <w:r>
        <w:rPr>
          <w:snapToGrid w:val="0"/>
        </w:rPr>
        <w:tab/>
        <w:t>(ii)</w:t>
      </w:r>
      <w:r>
        <w:rPr>
          <w:snapToGrid w:val="0"/>
        </w:rPr>
        <w:tab/>
        <w:t>the arrangements made under those regulations or a scheme or policy of insurance approved by or under those regulations.</w:t>
      </w:r>
    </w:p>
    <w:p>
      <w:pPr>
        <w:pStyle w:val="Subsection"/>
        <w:keepNext/>
        <w:rPr>
          <w:snapToGrid w:val="0"/>
        </w:rPr>
      </w:pPr>
      <w:r>
        <w:rPr>
          <w:snapToGrid w:val="0"/>
        </w:rPr>
        <w:tab/>
        <w:t>(3)</w:t>
      </w:r>
      <w:r>
        <w:rPr>
          <w:snapToGrid w:val="0"/>
        </w:rPr>
        <w:tab/>
        <w:t>Without limiting the generality of subsections (1) and (2), regulations referred to in subsection (1)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pPr>
        <w:pStyle w:val="Indenti"/>
        <w:rPr>
          <w:snapToGrid w:val="0"/>
        </w:rPr>
      </w:pPr>
      <w:r>
        <w:rPr>
          <w:snapToGrid w:val="0"/>
        </w:rPr>
        <w:tab/>
        <w:t>(i)</w:t>
      </w:r>
      <w:r>
        <w:rPr>
          <w:snapToGrid w:val="0"/>
        </w:rPr>
        <w:tab/>
        <w:t>licensed surveyors or former licensed surveyors; or</w:t>
      </w:r>
    </w:p>
    <w:p>
      <w:pPr>
        <w:pStyle w:val="Indenti"/>
        <w:rPr>
          <w:snapToGrid w:val="0"/>
        </w:rPr>
      </w:pPr>
      <w:r>
        <w:rPr>
          <w:snapToGrid w:val="0"/>
        </w:rPr>
        <w:tab/>
        <w:t>(ii)</w:t>
      </w:r>
      <w:r>
        <w:rPr>
          <w:snapToGrid w:val="0"/>
        </w:rPr>
        <w:tab/>
        <w:t>prescribed categories of licensed surveyor or former licensed surveyor,</w:t>
      </w:r>
    </w:p>
    <w:p>
      <w:pPr>
        <w:pStyle w:val="Indenta"/>
        <w:rPr>
          <w:snapToGrid w:val="0"/>
        </w:rPr>
      </w:pPr>
      <w:r>
        <w:rPr>
          <w:snapToGrid w:val="0"/>
        </w:rPr>
        <w:tab/>
      </w:r>
      <w:r>
        <w:rPr>
          <w:snapToGrid w:val="0"/>
        </w:rPr>
        <w:tab/>
        <w:t>and the periods during which that insurance cover is to be maintained;</w:t>
      </w:r>
    </w:p>
    <w:p>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empower the Board to refuse to renew a practising certificate except to a licensed surveyor who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keepNext/>
        <w:rPr>
          <w:snapToGrid w:val="0"/>
        </w:rPr>
      </w:pPr>
      <w:r>
        <w:rPr>
          <w:snapToGrid w:val="0"/>
        </w:rPr>
        <w:tab/>
        <w:t>(e)</w:t>
      </w:r>
      <w:r>
        <w:rPr>
          <w:snapToGrid w:val="0"/>
        </w:rPr>
        <w:tab/>
        <w:t>empower the Board to suspend the licence of a licensed surveyor until the licensed surveyor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pPr>
        <w:pStyle w:val="Indenta"/>
        <w:rPr>
          <w:snapToGrid w:val="0"/>
        </w:rPr>
      </w:pPr>
      <w:r>
        <w:rPr>
          <w:snapToGrid w:val="0"/>
        </w:rPr>
        <w:tab/>
        <w:t>(g)</w:t>
      </w:r>
      <w:r>
        <w:rPr>
          <w:snapToGrid w:val="0"/>
        </w:rPr>
        <w:tab/>
        <w:t>empower the Board to vary or revoke any exemption made by the Board under those regulations;</w:t>
      </w:r>
    </w:p>
    <w:p>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pPr>
        <w:pStyle w:val="Indenta"/>
        <w:rPr>
          <w:snapToGrid w:val="0"/>
        </w:rPr>
      </w:pPr>
      <w:r>
        <w:rPr>
          <w:snapToGrid w:val="0"/>
        </w:rPr>
        <w:tab/>
        <w:t>(i)</w:t>
      </w:r>
      <w:r>
        <w:rPr>
          <w:snapToGrid w:val="0"/>
        </w:rPr>
        <w:tab/>
        <w:t>contain incidental, procedural and supplementary provisions.</w:t>
      </w:r>
    </w:p>
    <w:p>
      <w:pPr>
        <w:pStyle w:val="Footnotesection"/>
      </w:pPr>
      <w:r>
        <w:tab/>
        <w:t xml:space="preserve">[Section 26A inserted by No. 79 of 1996 s. 26; amended by No. 70 of 2003 s. 41.] </w:t>
      </w:r>
    </w:p>
    <w:p>
      <w:pPr>
        <w:pStyle w:val="Heading5"/>
        <w:rPr>
          <w:snapToGrid w:val="0"/>
        </w:rPr>
      </w:pPr>
      <w:bookmarkStart w:id="269" w:name="_Toc487520730"/>
      <w:bookmarkStart w:id="270" w:name="_Toc512912593"/>
      <w:bookmarkStart w:id="271" w:name="_Toc513452357"/>
      <w:bookmarkStart w:id="272" w:name="_Toc104708437"/>
      <w:bookmarkStart w:id="273" w:name="_Toc133898787"/>
      <w:r>
        <w:rPr>
          <w:rStyle w:val="CharSectno"/>
        </w:rPr>
        <w:t>27</w:t>
      </w:r>
      <w:r>
        <w:rPr>
          <w:snapToGrid w:val="0"/>
        </w:rPr>
        <w:t>.</w:t>
      </w:r>
      <w:r>
        <w:rPr>
          <w:snapToGrid w:val="0"/>
        </w:rPr>
        <w:tab/>
        <w:t>Evidence</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w:t>
      </w:r>
      <w:del w:id="274" w:author="svcMRProcess" w:date="2015-11-01T20:29:00Z">
        <w:r>
          <w:rPr>
            <w:snapToGrid w:val="0"/>
          </w:rPr>
          <w:delText>Courts</w:delText>
        </w:r>
      </w:del>
      <w:ins w:id="275" w:author="svcMRProcess" w:date="2015-11-01T20:29:00Z">
        <w:r>
          <w:rPr>
            <w:snapToGrid w:val="0"/>
          </w:rPr>
          <w:t>courts</w:t>
        </w:r>
      </w:ins>
      <w:r>
        <w:rPr>
          <w:snapToGrid w:val="0"/>
        </w:rPr>
        <w:t xml:space="preserve"> as </w:t>
      </w:r>
      <w:r>
        <w:rPr>
          <w:i/>
          <w:snapToGrid w:val="0"/>
        </w:rPr>
        <w:t>prima facie</w:t>
      </w:r>
      <w:r>
        <w:rPr>
          <w:snapToGrid w:val="0"/>
        </w:rPr>
        <w:t xml:space="preserve"> evidence of the facts therein published.</w:t>
      </w:r>
    </w:p>
    <w:p>
      <w:pPr>
        <w:pStyle w:val="Subsection"/>
        <w:rPr>
          <w:snapToGrid w:val="0"/>
        </w:rPr>
      </w:pPr>
      <w:r>
        <w:rPr>
          <w:snapToGrid w:val="0"/>
        </w:rPr>
        <w:tab/>
        <w:t>(2)</w:t>
      </w:r>
      <w:r>
        <w:rPr>
          <w:snapToGrid w:val="0"/>
        </w:rPr>
        <w:tab/>
        <w:t xml:space="preserve">Every </w:t>
      </w:r>
      <w:del w:id="276" w:author="svcMRProcess" w:date="2015-11-01T20:29:00Z">
        <w:r>
          <w:rPr>
            <w:snapToGrid w:val="0"/>
          </w:rPr>
          <w:delText>Court</w:delText>
        </w:r>
      </w:del>
      <w:ins w:id="277" w:author="svcMRProcess" w:date="2015-11-01T20:29:00Z">
        <w:r>
          <w:rPr>
            <w:snapToGrid w:val="0"/>
          </w:rPr>
          <w:t>court</w:t>
        </w:r>
      </w:ins>
      <w:r>
        <w:rPr>
          <w:snapToGrid w:val="0"/>
        </w:rPr>
        <w:t xml:space="preserve"> shall take judicial notice of the signature of the </w:t>
      </w:r>
      <w:del w:id="278" w:author="svcMRProcess" w:date="2015-11-01T20:29:00Z">
        <w:r>
          <w:rPr>
            <w:snapToGrid w:val="0"/>
          </w:rPr>
          <w:delText>Chairman</w:delText>
        </w:r>
      </w:del>
      <w:ins w:id="279" w:author="svcMRProcess" w:date="2015-11-01T20:29:00Z">
        <w:r>
          <w:rPr>
            <w:snapToGrid w:val="0"/>
          </w:rPr>
          <w:t>chairman</w:t>
        </w:r>
      </w:ins>
      <w:r>
        <w:rPr>
          <w:snapToGrid w:val="0"/>
        </w:rPr>
        <w:t xml:space="preserve"> of the Board.</w:t>
      </w:r>
    </w:p>
    <w:p>
      <w:pPr>
        <w:pStyle w:val="Subsection"/>
        <w:rPr>
          <w:snapToGrid w:val="0"/>
        </w:rPr>
      </w:pPr>
      <w:r>
        <w:rPr>
          <w:snapToGrid w:val="0"/>
        </w:rPr>
        <w:tab/>
        <w:t>(3)</w:t>
      </w:r>
      <w:r>
        <w:rPr>
          <w:snapToGrid w:val="0"/>
        </w:rPr>
        <w:tab/>
        <w:t xml:space="preserve">In any proceeding by or on behalf of the Board, it shall not be necessary to prove the appointment of the members, </w:t>
      </w:r>
      <w:del w:id="280" w:author="svcMRProcess" w:date="2015-11-01T20:29:00Z">
        <w:r>
          <w:rPr>
            <w:snapToGrid w:val="0"/>
          </w:rPr>
          <w:delText>Chairman</w:delText>
        </w:r>
      </w:del>
      <w:ins w:id="281" w:author="svcMRProcess" w:date="2015-11-01T20:29:00Z">
        <w:r>
          <w:rPr>
            <w:snapToGrid w:val="0"/>
          </w:rPr>
          <w:t>chairman</w:t>
        </w:r>
      </w:ins>
      <w:r>
        <w:rPr>
          <w:snapToGrid w:val="0"/>
        </w:rPr>
        <w:t>, or secretary.</w:t>
      </w:r>
    </w:p>
    <w:p>
      <w:pPr>
        <w:pStyle w:val="Ednotesection"/>
        <w:ind w:left="890" w:hanging="890"/>
      </w:pPr>
      <w:r>
        <w:t>[</w:t>
      </w:r>
      <w:r>
        <w:rPr>
          <w:b/>
        </w:rPr>
        <w:t>28,</w:t>
      </w:r>
      <w:r>
        <w:t xml:space="preserve"> </w:t>
      </w:r>
      <w:r>
        <w:rPr>
          <w:b/>
        </w:rPr>
        <w:t>29.</w:t>
      </w:r>
      <w:r>
        <w:tab/>
        <w:t xml:space="preserve">Repealed by No. 79 of 1996 s. 27.] </w:t>
      </w:r>
    </w:p>
    <w:p>
      <w:pPr>
        <w:pStyle w:val="Heading5"/>
        <w:rPr>
          <w:snapToGrid w:val="0"/>
        </w:rPr>
      </w:pPr>
      <w:bookmarkStart w:id="282" w:name="_Toc487520731"/>
      <w:bookmarkStart w:id="283" w:name="_Toc512912594"/>
      <w:bookmarkStart w:id="284" w:name="_Toc513452358"/>
      <w:bookmarkStart w:id="285" w:name="_Toc104708438"/>
      <w:bookmarkStart w:id="286" w:name="_Toc133898788"/>
      <w:r>
        <w:rPr>
          <w:rStyle w:val="CharSectno"/>
        </w:rPr>
        <w:t>30</w:t>
      </w:r>
      <w:r>
        <w:rPr>
          <w:snapToGrid w:val="0"/>
        </w:rPr>
        <w:t>.</w:t>
      </w:r>
      <w:r>
        <w:rPr>
          <w:snapToGrid w:val="0"/>
        </w:rPr>
        <w:tab/>
        <w:t>Proceedings for offences</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30 inserted by No. 78 of 1995 s. 64.] </w:t>
      </w:r>
    </w:p>
    <w:p>
      <w:pPr>
        <w:pStyle w:val="yEdnoteschedule"/>
      </w:pPr>
      <w:r>
        <w:t>[First Schedule omitted under the Reprints Act 1984 s. 7(4)(e) and (f).]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287" w:name="_Toc512912596"/>
      <w:bookmarkStart w:id="288" w:name="_Toc513452360"/>
      <w:bookmarkStart w:id="289" w:name="_Toc25729802"/>
      <w:bookmarkStart w:id="290" w:name="_Toc104708439"/>
      <w:bookmarkStart w:id="291" w:name="_Toc132075445"/>
      <w:bookmarkStart w:id="292" w:name="_Toc132515439"/>
      <w:bookmarkStart w:id="293" w:name="_Toc132533442"/>
    </w:p>
    <w:p>
      <w:pPr>
        <w:pStyle w:val="yScheduleHeading"/>
      </w:pPr>
      <w:bookmarkStart w:id="294" w:name="_Toc133809035"/>
      <w:bookmarkStart w:id="295" w:name="_Toc133811681"/>
      <w:bookmarkStart w:id="296" w:name="_Toc133898789"/>
      <w:r>
        <w:rPr>
          <w:rStyle w:val="CharSchNo"/>
        </w:rPr>
        <w:t>Second Schedule</w:t>
      </w:r>
      <w:bookmarkEnd w:id="287"/>
      <w:bookmarkEnd w:id="288"/>
      <w:bookmarkEnd w:id="289"/>
      <w:bookmarkEnd w:id="290"/>
      <w:bookmarkEnd w:id="291"/>
      <w:bookmarkEnd w:id="292"/>
      <w:bookmarkEnd w:id="293"/>
      <w:bookmarkEnd w:id="294"/>
      <w:bookmarkEnd w:id="295"/>
      <w:bookmarkEnd w:id="296"/>
    </w:p>
    <w:p>
      <w:pPr>
        <w:pStyle w:val="yShoulderClause"/>
        <w:rPr>
          <w:snapToGrid w:val="0"/>
        </w:rPr>
      </w:pPr>
      <w:r>
        <w:rPr>
          <w:snapToGrid w:val="0"/>
        </w:rPr>
        <w:t>[Section 5.]</w:t>
      </w:r>
    </w:p>
    <w:p>
      <w:pPr>
        <w:pStyle w:val="yHeading2"/>
      </w:pPr>
      <w:bookmarkStart w:id="297" w:name="_Toc104708440"/>
      <w:bookmarkStart w:id="298" w:name="_Toc132075446"/>
      <w:bookmarkStart w:id="299" w:name="_Toc132515440"/>
      <w:bookmarkStart w:id="300" w:name="_Toc132533443"/>
      <w:bookmarkStart w:id="301" w:name="_Toc133809036"/>
      <w:bookmarkStart w:id="302" w:name="_Toc133811682"/>
      <w:bookmarkStart w:id="303" w:name="_Toc133898790"/>
      <w:r>
        <w:rPr>
          <w:rStyle w:val="CharSchText"/>
        </w:rPr>
        <w:t>Rules for the conduct of the Board</w:t>
      </w:r>
      <w:bookmarkEnd w:id="297"/>
      <w:bookmarkEnd w:id="298"/>
      <w:bookmarkEnd w:id="299"/>
      <w:bookmarkEnd w:id="300"/>
      <w:bookmarkEnd w:id="301"/>
      <w:bookmarkEnd w:id="302"/>
      <w:bookmarkEnd w:id="303"/>
    </w:p>
    <w:p>
      <w:pPr>
        <w:pStyle w:val="yHeading5"/>
        <w:outlineLvl w:val="9"/>
        <w:rPr>
          <w:del w:id="304" w:author="svcMRProcess" w:date="2015-11-01T20:29:00Z"/>
          <w:snapToGrid w:val="0"/>
        </w:rPr>
      </w:pPr>
    </w:p>
    <w:p>
      <w:pPr>
        <w:pStyle w:val="ySubsection"/>
        <w:rPr>
          <w:snapToGrid w:val="0"/>
        </w:rPr>
      </w:pPr>
      <w:r>
        <w:rPr>
          <w:snapToGrid w:val="0"/>
        </w:rPr>
        <w:tab/>
        <w:t>1.</w:t>
      </w:r>
      <w:r>
        <w:rPr>
          <w:snapToGrid w:val="0"/>
        </w:rPr>
        <w:tab/>
        <w:t xml:space="preserve">The </w:t>
      </w:r>
      <w:del w:id="305" w:author="svcMRProcess" w:date="2015-11-01T20:29:00Z">
        <w:r>
          <w:rPr>
            <w:snapToGrid w:val="0"/>
          </w:rPr>
          <w:delText>Chairman</w:delText>
        </w:r>
      </w:del>
      <w:ins w:id="306" w:author="svcMRProcess" w:date="2015-11-01T20:29:00Z">
        <w:r>
          <w:rPr>
            <w:snapToGrid w:val="0"/>
          </w:rPr>
          <w:t>chairman</w:t>
        </w:r>
      </w:ins>
      <w:r>
        <w:rPr>
          <w:snapToGrid w:val="0"/>
        </w:rPr>
        <w:t xml:space="preserve"> shall be the executive officer of the Board.</w:t>
      </w:r>
    </w:p>
    <w:p>
      <w:pPr>
        <w:pStyle w:val="ySubsection"/>
        <w:rPr>
          <w:snapToGrid w:val="0"/>
          <w:spacing w:val="-4"/>
        </w:rPr>
      </w:pPr>
      <w:r>
        <w:rPr>
          <w:snapToGrid w:val="0"/>
          <w:spacing w:val="-4"/>
        </w:rPr>
        <w:tab/>
        <w:t>2.</w:t>
      </w:r>
      <w:r>
        <w:rPr>
          <w:snapToGrid w:val="0"/>
          <w:spacing w:val="-4"/>
        </w:rPr>
        <w:tab/>
        <w:t xml:space="preserve">Every appointment and every order, notice, certificate or other document of the Board relating to the execution of this Act shall be sufficiently authenticated if signed by the </w:t>
      </w:r>
      <w:del w:id="307" w:author="svcMRProcess" w:date="2015-11-01T20:29:00Z">
        <w:r>
          <w:rPr>
            <w:snapToGrid w:val="0"/>
            <w:spacing w:val="-4"/>
          </w:rPr>
          <w:delText>Chairman</w:delText>
        </w:r>
      </w:del>
      <w:ins w:id="308" w:author="svcMRProcess" w:date="2015-11-01T20:29:00Z">
        <w:r>
          <w:rPr>
            <w:snapToGrid w:val="0"/>
            <w:spacing w:val="-4"/>
          </w:rPr>
          <w:t>chairman</w:t>
        </w:r>
      </w:ins>
      <w:r>
        <w:rPr>
          <w:snapToGrid w:val="0"/>
          <w:spacing w:val="-4"/>
        </w:rPr>
        <w:t xml:space="preserve"> or any 2 members of the Board.</w:t>
      </w:r>
    </w:p>
    <w:p>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pPr>
        <w:pStyle w:val="ySubsection"/>
        <w:rPr>
          <w:snapToGrid w:val="0"/>
        </w:rPr>
      </w:pPr>
      <w:r>
        <w:rPr>
          <w:snapToGrid w:val="0"/>
        </w:rPr>
        <w:tab/>
        <w:t>4.</w:t>
      </w:r>
      <w:r>
        <w:rPr>
          <w:snapToGrid w:val="0"/>
        </w:rPr>
        <w:tab/>
        <w:t xml:space="preserve">The </w:t>
      </w:r>
      <w:del w:id="309" w:author="svcMRProcess" w:date="2015-11-01T20:29:00Z">
        <w:r>
          <w:rPr>
            <w:snapToGrid w:val="0"/>
          </w:rPr>
          <w:delText>Chairman</w:delText>
        </w:r>
      </w:del>
      <w:ins w:id="310" w:author="svcMRProcess" w:date="2015-11-01T20:29:00Z">
        <w:r>
          <w:rPr>
            <w:snapToGrid w:val="0"/>
          </w:rPr>
          <w:t>chairman</w:t>
        </w:r>
      </w:ins>
      <w:r>
        <w:rPr>
          <w:snapToGrid w:val="0"/>
        </w:rPr>
        <w:t xml:space="preserve"> shall preside at all meetings at which he is present. In the absence of the </w:t>
      </w:r>
      <w:del w:id="311" w:author="svcMRProcess" w:date="2015-11-01T20:29:00Z">
        <w:r>
          <w:rPr>
            <w:snapToGrid w:val="0"/>
          </w:rPr>
          <w:delText>Chairman</w:delText>
        </w:r>
      </w:del>
      <w:ins w:id="312" w:author="svcMRProcess" w:date="2015-11-01T20:29:00Z">
        <w:r>
          <w:rPr>
            <w:snapToGrid w:val="0"/>
          </w:rPr>
          <w:t>chairman</w:t>
        </w:r>
      </w:ins>
      <w:r>
        <w:rPr>
          <w:snapToGrid w:val="0"/>
        </w:rPr>
        <w:t xml:space="preserve">, the members present shall elect from their number a </w:t>
      </w:r>
      <w:del w:id="313" w:author="svcMRProcess" w:date="2015-11-01T20:29:00Z">
        <w:r>
          <w:rPr>
            <w:snapToGrid w:val="0"/>
          </w:rPr>
          <w:delText>Chairman</w:delText>
        </w:r>
      </w:del>
      <w:ins w:id="314" w:author="svcMRProcess" w:date="2015-11-01T20:29:00Z">
        <w:r>
          <w:rPr>
            <w:snapToGrid w:val="0"/>
          </w:rPr>
          <w:t>chairman</w:t>
        </w:r>
      </w:ins>
      <w:r>
        <w:rPr>
          <w:snapToGrid w:val="0"/>
        </w:rPr>
        <w:t xml:space="preserve"> for the day.</w:t>
      </w:r>
    </w:p>
    <w:p>
      <w:pPr>
        <w:pStyle w:val="ySubsection"/>
        <w:rPr>
          <w:snapToGrid w:val="0"/>
        </w:rPr>
      </w:pPr>
      <w:r>
        <w:rPr>
          <w:snapToGrid w:val="0"/>
        </w:rPr>
        <w:tab/>
      </w:r>
      <w:r>
        <w:rPr>
          <w:snapToGrid w:val="0"/>
        </w:rPr>
        <w:tab/>
        <w:t xml:space="preserve">The </w:t>
      </w:r>
      <w:del w:id="315" w:author="svcMRProcess" w:date="2015-11-01T20:29:00Z">
        <w:r>
          <w:rPr>
            <w:snapToGrid w:val="0"/>
          </w:rPr>
          <w:delText>Chairman</w:delText>
        </w:r>
      </w:del>
      <w:ins w:id="316" w:author="svcMRProcess" w:date="2015-11-01T20:29:00Z">
        <w:r>
          <w:rPr>
            <w:snapToGrid w:val="0"/>
          </w:rPr>
          <w:t>chairman</w:t>
        </w:r>
      </w:ins>
      <w:r>
        <w:rPr>
          <w:snapToGrid w:val="0"/>
        </w:rPr>
        <w:t xml:space="preserve">, or, in his absence, the </w:t>
      </w:r>
      <w:del w:id="317" w:author="svcMRProcess" w:date="2015-11-01T20:29:00Z">
        <w:r>
          <w:rPr>
            <w:snapToGrid w:val="0"/>
          </w:rPr>
          <w:delText>Chairman</w:delText>
        </w:r>
      </w:del>
      <w:ins w:id="318" w:author="svcMRProcess" w:date="2015-11-01T20:29:00Z">
        <w:r>
          <w:rPr>
            <w:snapToGrid w:val="0"/>
          </w:rPr>
          <w:t>chairman</w:t>
        </w:r>
      </w:ins>
      <w:r>
        <w:rPr>
          <w:snapToGrid w:val="0"/>
        </w:rPr>
        <w:t xml:space="preserve"> for the day, shall have a vote, and, when there is an equal division of votes upon any question, shall have a second or casting vote.</w:t>
      </w:r>
    </w:p>
    <w:p>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pPr>
        <w:pStyle w:val="ySubsection"/>
        <w:rPr>
          <w:snapToGrid w:val="0"/>
        </w:rPr>
      </w:pPr>
      <w:r>
        <w:rPr>
          <w:snapToGrid w:val="0"/>
        </w:rPr>
        <w:tab/>
      </w:r>
      <w:r>
        <w:rPr>
          <w:snapToGrid w:val="0"/>
        </w:rPr>
        <w:tab/>
        <w:t>At all meetings, save as herein otherwise provided, all members present shall vote.</w:t>
      </w:r>
    </w:p>
    <w:p>
      <w:pPr>
        <w:pStyle w:val="ySubsection"/>
        <w:rPr>
          <w:snapToGrid w:val="0"/>
        </w:rPr>
      </w:pPr>
      <w:r>
        <w:rPr>
          <w:snapToGrid w:val="0"/>
        </w:rPr>
        <w:tab/>
      </w:r>
      <w:r>
        <w:rPr>
          <w:snapToGrid w:val="0"/>
        </w:rPr>
        <w:tab/>
        <w:t>If a member refuses to vote, his vote shall be counted for the negative.</w:t>
      </w:r>
    </w:p>
    <w:p>
      <w:pPr>
        <w:pStyle w:val="ySubsection"/>
        <w:rPr>
          <w:snapToGrid w:val="0"/>
        </w:rPr>
      </w:pPr>
      <w:r>
        <w:rPr>
          <w:snapToGrid w:val="0"/>
        </w:rPr>
        <w:tab/>
        <w:t>6.</w:t>
      </w:r>
      <w:r>
        <w:rPr>
          <w:snapToGrid w:val="0"/>
        </w:rPr>
        <w:tab/>
        <w:t>The members present at a meeting may, from time to time, adjourn the meeting.</w:t>
      </w:r>
    </w:p>
    <w:p>
      <w:pPr>
        <w:pStyle w:val="ySubsection"/>
        <w:rPr>
          <w:rFonts w:ascii="Times" w:hAnsi="Times"/>
          <w:snapToGrid w:val="0"/>
        </w:rPr>
      </w:pPr>
      <w:r>
        <w:rPr>
          <w:snapToGrid w:val="0"/>
          <w:spacing w:val="-6"/>
        </w:rPr>
        <w:tab/>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pPr>
        <w:pStyle w:val="yScheduleHeading"/>
      </w:pPr>
      <w:bookmarkStart w:id="319" w:name="_Toc512912597"/>
      <w:bookmarkStart w:id="320" w:name="_Toc513452361"/>
      <w:bookmarkStart w:id="321" w:name="_Toc104708441"/>
      <w:bookmarkStart w:id="322" w:name="_Toc132075447"/>
      <w:bookmarkStart w:id="323" w:name="_Toc132515441"/>
      <w:bookmarkStart w:id="324" w:name="_Toc132533444"/>
      <w:bookmarkStart w:id="325" w:name="_Toc133809037"/>
      <w:bookmarkStart w:id="326" w:name="_Toc133811683"/>
      <w:bookmarkStart w:id="327" w:name="_Toc133898791"/>
      <w:r>
        <w:rPr>
          <w:rStyle w:val="CharSchNo"/>
        </w:rPr>
        <w:t>Third Schedule</w:t>
      </w:r>
      <w:bookmarkEnd w:id="319"/>
      <w:bookmarkEnd w:id="320"/>
      <w:bookmarkEnd w:id="321"/>
      <w:bookmarkEnd w:id="322"/>
      <w:bookmarkEnd w:id="323"/>
      <w:bookmarkEnd w:id="324"/>
      <w:bookmarkEnd w:id="325"/>
      <w:bookmarkEnd w:id="326"/>
      <w:bookmarkEnd w:id="327"/>
    </w:p>
    <w:p>
      <w:pPr>
        <w:pStyle w:val="yShoulderClause"/>
        <w:rPr>
          <w:snapToGrid w:val="0"/>
        </w:rPr>
      </w:pPr>
      <w:r>
        <w:rPr>
          <w:snapToGrid w:val="0"/>
        </w:rPr>
        <w:t>[Section</w:t>
      </w:r>
      <w:r>
        <w:rPr>
          <w:rStyle w:val="CharSchText"/>
        </w:rPr>
        <w:t> </w:t>
      </w:r>
      <w:r>
        <w:rPr>
          <w:snapToGrid w:val="0"/>
        </w:rPr>
        <w:t>7.]</w:t>
      </w:r>
    </w:p>
    <w:p>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pPr>
        <w:pStyle w:val="yMiscellaneousBody"/>
        <w:jc w:val="center"/>
        <w:rPr>
          <w:snapToGrid w:val="0"/>
        </w:rPr>
      </w:pPr>
      <w:r>
        <w:rPr>
          <w:snapToGrid w:val="0"/>
        </w:rPr>
        <w:t>, 20</w:t>
      </w:r>
      <w:r>
        <w:rPr>
          <w:snapToGrid w:val="0"/>
        </w:rPr>
        <w:tab/>
        <w:t xml:space="preserve"> , before me,</w:t>
      </w:r>
    </w:p>
    <w:p>
      <w:pPr>
        <w:pStyle w:val="yMiscellaneousBody"/>
        <w:jc w:val="right"/>
        <w:rPr>
          <w:snapToGrid w:val="0"/>
        </w:rPr>
      </w:pPr>
      <w:r>
        <w:rPr>
          <w:snapToGrid w:val="0"/>
        </w:rPr>
        <w:t>, Justice of the Peace.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28" w:name="_Toc89145027"/>
      <w:bookmarkStart w:id="329" w:name="_Toc89506995"/>
      <w:bookmarkStart w:id="330" w:name="_Toc90867451"/>
      <w:bookmarkStart w:id="331" w:name="_Toc92877689"/>
      <w:bookmarkStart w:id="332" w:name="_Toc97104012"/>
      <w:bookmarkStart w:id="333" w:name="_Toc103067454"/>
      <w:bookmarkStart w:id="334" w:name="_Toc104708442"/>
      <w:bookmarkStart w:id="335" w:name="_Toc132075448"/>
      <w:bookmarkStart w:id="336" w:name="_Toc132515442"/>
      <w:bookmarkStart w:id="337" w:name="_Toc132533445"/>
    </w:p>
    <w:p>
      <w:pPr>
        <w:pStyle w:val="nHeading2"/>
      </w:pPr>
      <w:bookmarkStart w:id="338" w:name="_Toc133809038"/>
      <w:bookmarkStart w:id="339" w:name="_Toc133811684"/>
      <w:bookmarkStart w:id="340" w:name="_Toc133898792"/>
      <w:r>
        <w:t>Notes</w:t>
      </w:r>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w:t>
      </w:r>
      <w:ins w:id="341" w:author="svcMRProcess" w:date="2015-11-01T20:29:00Z">
        <w:r>
          <w:rPr>
            <w:snapToGrid w:val="0"/>
          </w:rPr>
          <w:t xml:space="preserve">reprint </w:t>
        </w:r>
      </w:ins>
      <w:r>
        <w:rPr>
          <w:snapToGrid w:val="0"/>
        </w:rPr>
        <w:t xml:space="preserve">is a compilation </w:t>
      </w:r>
      <w:ins w:id="342" w:author="svcMRProcess" w:date="2015-11-01T20:29:00Z">
        <w:r>
          <w:rPr>
            <w:snapToGrid w:val="0"/>
          </w:rPr>
          <w:t xml:space="preserve">as at 5 May 2006 </w:t>
        </w:r>
      </w:ins>
      <w:r>
        <w:rPr>
          <w:snapToGrid w:val="0"/>
        </w:rPr>
        <w:t xml:space="preserve">of the </w:t>
      </w:r>
      <w:r>
        <w:rPr>
          <w:i/>
          <w:noProof/>
          <w:snapToGrid w:val="0"/>
        </w:rPr>
        <w:t>Licensed Surveyors Act</w:t>
      </w:r>
      <w:del w:id="343" w:author="svcMRProcess" w:date="2015-11-01T20:29:00Z">
        <w:r>
          <w:rPr>
            <w:i/>
            <w:noProof/>
            <w:snapToGrid w:val="0"/>
          </w:rPr>
          <w:delText> </w:delText>
        </w:r>
      </w:del>
      <w:ins w:id="344" w:author="svcMRProcess" w:date="2015-11-01T20:29:00Z">
        <w:r>
          <w:rPr>
            <w:i/>
            <w:noProof/>
            <w:snapToGrid w:val="0"/>
          </w:rPr>
          <w:t xml:space="preserve"> </w:t>
        </w:r>
      </w:ins>
      <w:r>
        <w:rPr>
          <w:i/>
          <w:noProof/>
          <w:snapToGrid w:val="0"/>
        </w:rPr>
        <w:t>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5" w:name="_Toc133898793"/>
      <w:bookmarkStart w:id="346" w:name="_Toc104708443"/>
      <w:r>
        <w:rPr>
          <w:snapToGrid w:val="0"/>
        </w:rPr>
        <w:t>Compilation table</w:t>
      </w:r>
      <w:bookmarkEnd w:id="345"/>
      <w:bookmarkEnd w:id="3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Licensed Surveyors Act 1909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rPr>
                <w:i/>
                <w:sz w:val="19"/>
              </w:rPr>
            </w:pPr>
            <w:r>
              <w:rPr>
                <w:i/>
                <w:sz w:val="19"/>
              </w:rPr>
              <w:t>Licensed Surveyors Act Amendment Act 1940</w:t>
            </w:r>
          </w:p>
        </w:tc>
        <w:tc>
          <w:tcPr>
            <w:tcW w:w="1134" w:type="dxa"/>
          </w:tcPr>
          <w:p>
            <w:pPr>
              <w:pStyle w:val="nTable"/>
              <w:spacing w:after="40"/>
              <w:rPr>
                <w:sz w:val="19"/>
              </w:rPr>
            </w:pPr>
            <w:r>
              <w:rPr>
                <w:sz w:val="19"/>
              </w:rPr>
              <w:t>16 of 1940</w:t>
            </w:r>
          </w:p>
        </w:tc>
        <w:tc>
          <w:tcPr>
            <w:tcW w:w="1134" w:type="dxa"/>
          </w:tcPr>
          <w:p>
            <w:pPr>
              <w:pStyle w:val="nTable"/>
              <w:spacing w:after="40"/>
              <w:rPr>
                <w:sz w:val="19"/>
              </w:rPr>
            </w:pPr>
            <w:r>
              <w:rPr>
                <w:sz w:val="19"/>
              </w:rPr>
              <w:t>12 Nov 1940</w:t>
            </w:r>
          </w:p>
        </w:tc>
        <w:tc>
          <w:tcPr>
            <w:tcW w:w="2551" w:type="dxa"/>
          </w:tcPr>
          <w:p>
            <w:pPr>
              <w:pStyle w:val="nTable"/>
              <w:spacing w:after="40"/>
              <w:rPr>
                <w:sz w:val="19"/>
              </w:rPr>
            </w:pPr>
            <w:r>
              <w:rPr>
                <w:sz w:val="19"/>
              </w:rPr>
              <w:t>12 Nov 1940</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Licensed Surveyors Act Amendment Act 1958</w:t>
            </w:r>
          </w:p>
        </w:tc>
        <w:tc>
          <w:tcPr>
            <w:tcW w:w="1134" w:type="dxa"/>
          </w:tcPr>
          <w:p>
            <w:pPr>
              <w:pStyle w:val="nTable"/>
              <w:spacing w:after="40"/>
              <w:rPr>
                <w:sz w:val="19"/>
              </w:rPr>
            </w:pPr>
            <w:r>
              <w:rPr>
                <w:sz w:val="19"/>
              </w:rPr>
              <w:t>14 of 1958</w:t>
            </w:r>
          </w:p>
        </w:tc>
        <w:tc>
          <w:tcPr>
            <w:tcW w:w="1134" w:type="dxa"/>
          </w:tcPr>
          <w:p>
            <w:pPr>
              <w:pStyle w:val="nTable"/>
              <w:spacing w:after="40"/>
              <w:rPr>
                <w:sz w:val="19"/>
              </w:rPr>
            </w:pPr>
            <w:r>
              <w:rPr>
                <w:sz w:val="19"/>
              </w:rPr>
              <w:t>6 Oct 1958</w:t>
            </w:r>
          </w:p>
        </w:tc>
        <w:tc>
          <w:tcPr>
            <w:tcW w:w="2551" w:type="dxa"/>
          </w:tcPr>
          <w:p>
            <w:pPr>
              <w:pStyle w:val="nTable"/>
              <w:spacing w:after="40"/>
              <w:rPr>
                <w:sz w:val="19"/>
              </w:rPr>
            </w:pPr>
            <w:r>
              <w:rPr>
                <w:sz w:val="19"/>
              </w:rPr>
              <w:t>6 Oct 1958</w:t>
            </w:r>
          </w:p>
        </w:tc>
      </w:tr>
      <w:tr>
        <w:trPr>
          <w:cantSplit/>
          <w:ins w:id="347" w:author="svcMRProcess" w:date="2015-11-01T20:29:00Z"/>
        </w:trPr>
        <w:tc>
          <w:tcPr>
            <w:tcW w:w="2268" w:type="dxa"/>
          </w:tcPr>
          <w:p>
            <w:pPr>
              <w:pStyle w:val="nTable"/>
              <w:spacing w:after="40"/>
              <w:rPr>
                <w:ins w:id="348" w:author="svcMRProcess" w:date="2015-11-01T20:29:00Z"/>
                <w:i/>
                <w:sz w:val="19"/>
              </w:rPr>
            </w:pPr>
            <w:ins w:id="349" w:author="svcMRProcess" w:date="2015-11-01T20:29:00Z">
              <w:r>
                <w:rPr>
                  <w:i/>
                  <w:sz w:val="19"/>
                </w:rPr>
                <w:t>Decimal Currency Act 1965</w:t>
              </w:r>
            </w:ins>
          </w:p>
        </w:tc>
        <w:tc>
          <w:tcPr>
            <w:tcW w:w="1134" w:type="dxa"/>
          </w:tcPr>
          <w:p>
            <w:pPr>
              <w:pStyle w:val="nTable"/>
              <w:spacing w:after="40"/>
              <w:rPr>
                <w:ins w:id="350" w:author="svcMRProcess" w:date="2015-11-01T20:29:00Z"/>
                <w:sz w:val="19"/>
              </w:rPr>
            </w:pPr>
            <w:ins w:id="351" w:author="svcMRProcess" w:date="2015-11-01T20:29:00Z">
              <w:r>
                <w:rPr>
                  <w:sz w:val="19"/>
                </w:rPr>
                <w:t>113 of 1965</w:t>
              </w:r>
            </w:ins>
          </w:p>
        </w:tc>
        <w:tc>
          <w:tcPr>
            <w:tcW w:w="1134" w:type="dxa"/>
          </w:tcPr>
          <w:p>
            <w:pPr>
              <w:pStyle w:val="nTable"/>
              <w:spacing w:after="40"/>
              <w:rPr>
                <w:ins w:id="352" w:author="svcMRProcess" w:date="2015-11-01T20:29:00Z"/>
                <w:sz w:val="19"/>
              </w:rPr>
            </w:pPr>
            <w:ins w:id="353" w:author="svcMRProcess" w:date="2015-11-01T20:29:00Z">
              <w:r>
                <w:rPr>
                  <w:sz w:val="19"/>
                </w:rPr>
                <w:t>21 Dec 1965</w:t>
              </w:r>
            </w:ins>
          </w:p>
        </w:tc>
        <w:tc>
          <w:tcPr>
            <w:tcW w:w="2551" w:type="dxa"/>
          </w:tcPr>
          <w:p>
            <w:pPr>
              <w:pStyle w:val="nTable"/>
              <w:spacing w:after="40"/>
              <w:rPr>
                <w:ins w:id="354" w:author="svcMRProcess" w:date="2015-11-01T20:29:00Z"/>
                <w:sz w:val="19"/>
              </w:rPr>
            </w:pPr>
            <w:ins w:id="355" w:author="svcMRProcess" w:date="2015-11-01T20:29:00Z">
              <w:r>
                <w:rPr>
                  <w:sz w:val="19"/>
                </w:rPr>
                <w:t>Act other than s. 4-9: 21 Dec 1965 (see s. 2(1));</w:t>
              </w:r>
              <w:r>
                <w:rPr>
                  <w:sz w:val="19"/>
                </w:rPr>
                <w:br/>
                <w:t>s. 4-9: 14 Feb 1966 (see s. 2(2))</w:t>
              </w:r>
            </w:ins>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trPr>
          <w:cantSplit/>
        </w:trPr>
        <w:tc>
          <w:tcPr>
            <w:tcW w:w="2268" w:type="dxa"/>
          </w:tcPr>
          <w:p>
            <w:pPr>
              <w:pStyle w:val="nTable"/>
              <w:spacing w:after="40"/>
              <w:rPr>
                <w:i/>
                <w:sz w:val="19"/>
              </w:rPr>
            </w:pPr>
            <w:r>
              <w:rPr>
                <w:i/>
                <w:sz w:val="19"/>
              </w:rPr>
              <w:t>Licensed Surveyors Act Amendment Act 1976</w:t>
            </w:r>
          </w:p>
        </w:tc>
        <w:tc>
          <w:tcPr>
            <w:tcW w:w="1134" w:type="dxa"/>
          </w:tcPr>
          <w:p>
            <w:pPr>
              <w:pStyle w:val="nTable"/>
              <w:spacing w:after="40"/>
              <w:rPr>
                <w:sz w:val="19"/>
              </w:rPr>
            </w:pPr>
            <w:r>
              <w:rPr>
                <w:sz w:val="19"/>
              </w:rPr>
              <w:t>107 of 1976</w:t>
            </w:r>
          </w:p>
        </w:tc>
        <w:tc>
          <w:tcPr>
            <w:tcW w:w="1134" w:type="dxa"/>
          </w:tcPr>
          <w:p>
            <w:pPr>
              <w:pStyle w:val="nTable"/>
              <w:spacing w:after="40"/>
              <w:rPr>
                <w:sz w:val="19"/>
              </w:rPr>
            </w:pPr>
            <w:r>
              <w:rPr>
                <w:sz w:val="19"/>
              </w:rPr>
              <w:t>17 Nov 1976</w:t>
            </w:r>
          </w:p>
        </w:tc>
        <w:tc>
          <w:tcPr>
            <w:tcW w:w="2551" w:type="dxa"/>
          </w:tcPr>
          <w:p>
            <w:pPr>
              <w:pStyle w:val="nTable"/>
              <w:spacing w:after="4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trPr>
          <w:cantSplit/>
        </w:trPr>
        <w:tc>
          <w:tcPr>
            <w:tcW w:w="2268" w:type="dxa"/>
          </w:tcPr>
          <w:p>
            <w:pPr>
              <w:pStyle w:val="nTable"/>
              <w:spacing w:after="40"/>
              <w:rPr>
                <w:sz w:val="19"/>
                <w:vertAlign w:val="superscript"/>
              </w:rPr>
            </w:pPr>
            <w:r>
              <w:rPr>
                <w:i/>
                <w:sz w:val="19"/>
              </w:rPr>
              <w:t xml:space="preserve">Acts Amendment (Financial </w:t>
            </w:r>
            <w:del w:id="356" w:author="svcMRProcess" w:date="2015-11-01T20:29:00Z">
              <w:r>
                <w:rPr>
                  <w:i/>
                  <w:sz w:val="19"/>
                </w:rPr>
                <w:delText>Provisions</w:delText>
              </w:r>
            </w:del>
            <w:ins w:id="357" w:author="svcMRProcess" w:date="2015-11-01T20:29:00Z">
              <w:r>
                <w:rPr>
                  <w:i/>
                  <w:sz w:val="19"/>
                </w:rPr>
                <w:t>provisions</w:t>
              </w:r>
            </w:ins>
            <w:r>
              <w:rPr>
                <w:i/>
                <w:sz w:val="19"/>
              </w:rPr>
              <w:t xml:space="preserve"> of </w:t>
            </w:r>
            <w:del w:id="358" w:author="svcMRProcess" w:date="2015-11-01T20:29:00Z">
              <w:r>
                <w:rPr>
                  <w:i/>
                  <w:sz w:val="19"/>
                </w:rPr>
                <w:delText>Regulatory Bodies</w:delText>
              </w:r>
            </w:del>
            <w:ins w:id="359" w:author="svcMRProcess" w:date="2015-11-01T20:29:00Z">
              <w:r>
                <w:rPr>
                  <w:i/>
                  <w:sz w:val="19"/>
                </w:rPr>
                <w:t>regulatory bodies</w:t>
              </w:r>
            </w:ins>
            <w:r>
              <w:rPr>
                <w:i/>
                <w:sz w:val="19"/>
              </w:rPr>
              <w:t>)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68" w:type="dxa"/>
          </w:tcPr>
          <w:p>
            <w:pPr>
              <w:pStyle w:val="nTable"/>
              <w:spacing w:after="40"/>
              <w:rPr>
                <w:sz w:val="19"/>
              </w:rPr>
            </w:pPr>
            <w:r>
              <w:rPr>
                <w:i/>
                <w:sz w:val="19"/>
              </w:rPr>
              <w:t>Sentencing (Consequential Provisions) Act 1995</w:t>
            </w:r>
            <w:r>
              <w:rPr>
                <w:sz w:val="19"/>
              </w:rPr>
              <w:t xml:space="preserve"> Pt. 45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Licensed Surveyors Amendment Act 1996</w:t>
            </w:r>
          </w:p>
        </w:tc>
        <w:tc>
          <w:tcPr>
            <w:tcW w:w="1134" w:type="dxa"/>
          </w:tcPr>
          <w:p>
            <w:pPr>
              <w:pStyle w:val="nTable"/>
              <w:spacing w:after="40"/>
              <w:rPr>
                <w:sz w:val="19"/>
              </w:rPr>
            </w:pPr>
            <w:r>
              <w:rPr>
                <w:sz w:val="19"/>
              </w:rPr>
              <w:t>79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del w:id="360" w:author="svcMRProcess" w:date="2015-11-01T20:29:00Z"/>
        </w:trPr>
        <w:tc>
          <w:tcPr>
            <w:tcW w:w="7087" w:type="dxa"/>
            <w:gridSpan w:val="4"/>
          </w:tcPr>
          <w:p>
            <w:pPr>
              <w:pStyle w:val="nTable"/>
              <w:spacing w:before="80"/>
              <w:rPr>
                <w:del w:id="361" w:author="svcMRProcess" w:date="2015-11-01T20:29:00Z"/>
                <w:sz w:val="19"/>
              </w:rPr>
            </w:pPr>
            <w:del w:id="362" w:author="svcMRProcess" w:date="2015-11-01T20:29:00Z">
              <w:r>
                <w:rPr>
                  <w:b/>
                  <w:sz w:val="19"/>
                </w:rPr>
                <w:delText xml:space="preserve">Reprint of the </w:delText>
              </w:r>
              <w:r>
                <w:rPr>
                  <w:b/>
                  <w:i/>
                  <w:sz w:val="19"/>
                </w:rPr>
                <w:delText>Licensed Surveyors Act 1909</w:delText>
              </w:r>
              <w:r>
                <w:rPr>
                  <w:b/>
                  <w:sz w:val="19"/>
                </w:rPr>
                <w:delText xml:space="preserve"> as at 1 Jan 1999 </w:delText>
              </w:r>
              <w:r>
                <w:rPr>
                  <w:sz w:val="19"/>
                </w:rPr>
                <w:delText xml:space="preserve">(includes amendments listed above) (correction to reprint in </w:delText>
              </w:r>
              <w:r>
                <w:rPr>
                  <w:i/>
                  <w:sz w:val="19"/>
                </w:rPr>
                <w:delText>Gazette</w:delText>
              </w:r>
              <w:r>
                <w:rPr>
                  <w:sz w:val="19"/>
                </w:rPr>
                <w:delText xml:space="preserve"> 11 Jan 2000 p. 103)</w:delText>
              </w:r>
            </w:del>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15</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ind w:right="199"/>
              <w:rPr>
                <w:sz w:val="19"/>
              </w:rPr>
            </w:pPr>
            <w:r>
              <w:rPr>
                <w:sz w:val="19"/>
              </w:rPr>
              <w:t xml:space="preserve">14 Apr 1999 (see s. 2 and </w:t>
            </w:r>
            <w:r>
              <w:rPr>
                <w:i/>
                <w:sz w:val="19"/>
              </w:rPr>
              <w:t>Gazette</w:t>
            </w:r>
            <w:r>
              <w:rPr>
                <w:sz w:val="19"/>
              </w:rPr>
              <w:t xml:space="preserve"> 9 Apr 1999 p. 1433)</w:t>
            </w:r>
          </w:p>
        </w:tc>
      </w:tr>
      <w:tr>
        <w:trPr>
          <w:cantSplit/>
          <w:ins w:id="363" w:author="svcMRProcess" w:date="2015-11-01T20:29:00Z"/>
        </w:trPr>
        <w:tc>
          <w:tcPr>
            <w:tcW w:w="7087" w:type="dxa"/>
            <w:gridSpan w:val="4"/>
          </w:tcPr>
          <w:p>
            <w:pPr>
              <w:pStyle w:val="nTable"/>
              <w:spacing w:after="40"/>
              <w:rPr>
                <w:ins w:id="364" w:author="svcMRProcess" w:date="2015-11-01T20:29:00Z"/>
                <w:sz w:val="19"/>
              </w:rPr>
            </w:pPr>
            <w:ins w:id="365" w:author="svcMRProcess" w:date="2015-11-01T20:29:00Z">
              <w:r>
                <w:rPr>
                  <w:b/>
                  <w:sz w:val="19"/>
                </w:rPr>
                <w:t xml:space="preserve">Reprint of the </w:t>
              </w:r>
              <w:r>
                <w:rPr>
                  <w:b/>
                  <w:i/>
                  <w:sz w:val="19"/>
                </w:rPr>
                <w:t>Licensed Surveyors Act 1909</w:t>
              </w:r>
              <w:r>
                <w:rPr>
                  <w:b/>
                  <w:sz w:val="19"/>
                </w:rPr>
                <w:t xml:space="preserve"> as at 1 Jan 1999 </w:t>
              </w:r>
              <w:r>
                <w:rPr>
                  <w:sz w:val="19"/>
                </w:rPr>
                <w:t xml:space="preserve">(includes amendments listed above except those in the </w:t>
              </w:r>
              <w:r>
                <w:rPr>
                  <w:i/>
                  <w:sz w:val="19"/>
                </w:rPr>
                <w:t>Acts Repeal and Amendment (Births, Deaths and Marriages Registration) Act 1998</w:t>
              </w:r>
              <w:r>
                <w:rPr>
                  <w:sz w:val="19"/>
                </w:rPr>
                <w:t xml:space="preserve">) (correction to reprint in </w:t>
              </w:r>
              <w:r>
                <w:rPr>
                  <w:i/>
                  <w:sz w:val="19"/>
                </w:rPr>
                <w:t>Gazette</w:t>
              </w:r>
              <w:r>
                <w:rPr>
                  <w:sz w:val="19"/>
                </w:rPr>
                <w:t xml:space="preserve"> 11 Jan 2000 p. 103)</w:t>
              </w:r>
            </w:ins>
          </w:p>
        </w:tc>
      </w:tr>
      <w:tr>
        <w:trPr>
          <w:cantSplit/>
        </w:trPr>
        <w:tc>
          <w:tcPr>
            <w:tcW w:w="2268" w:type="dxa"/>
          </w:tcPr>
          <w:p>
            <w:pPr>
              <w:pStyle w:val="nTable"/>
              <w:spacing w:after="40"/>
              <w:rPr>
                <w:i/>
                <w:sz w:val="19"/>
              </w:rPr>
            </w:pPr>
            <w:r>
              <w:rPr>
                <w:i/>
                <w:sz w:val="19"/>
              </w:rPr>
              <w:t>Statutes (Repeals and Minor Amendments) Act 2000</w:t>
            </w:r>
            <w:r>
              <w:rPr>
                <w:sz w:val="19"/>
              </w:rPr>
              <w:t xml:space="preserve"> s. 21</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as at 22 Nov 2002 </w:t>
            </w:r>
            <w:del w:id="366" w:author="svcMRProcess" w:date="2015-11-01T20:29:00Z">
              <w:r>
                <w:rPr>
                  <w:b/>
                  <w:sz w:val="19"/>
                </w:rPr>
                <w:br/>
              </w:r>
            </w:del>
            <w:r>
              <w:rPr>
                <w:sz w:val="19"/>
              </w:rPr>
              <w:t>(includes amendments listed above)</w:t>
            </w:r>
          </w:p>
        </w:tc>
      </w:tr>
      <w:tr>
        <w:trPr>
          <w:cantSplit/>
        </w:trPr>
        <w:tc>
          <w:tcPr>
            <w:tcW w:w="2268" w:type="dxa"/>
          </w:tcPr>
          <w:p>
            <w:pPr>
              <w:pStyle w:val="nTable"/>
              <w:spacing w:after="40"/>
              <w:rPr>
                <w:i/>
                <w:sz w:val="19"/>
              </w:rPr>
            </w:pPr>
            <w:r>
              <w:rPr>
                <w:i/>
                <w:sz w:val="19"/>
              </w:rPr>
              <w:t>Acts Amendment and Repeal (Competition Policy) Act 2003</w:t>
            </w:r>
            <w:r>
              <w:rPr>
                <w:sz w:val="19"/>
              </w:rPr>
              <w:t xml:space="preserve"> Pt. 10</w:t>
            </w:r>
            <w:r>
              <w:rPr>
                <w:sz w:val="19"/>
                <w:vertAlign w:val="superscript"/>
              </w:rPr>
              <w:t> </w:t>
            </w:r>
            <w:del w:id="367" w:author="svcMRProcess" w:date="2015-11-01T20:29:00Z">
              <w:r>
                <w:rPr>
                  <w:sz w:val="19"/>
                  <w:vertAlign w:val="superscript"/>
                </w:rPr>
                <w:delText>3</w:delText>
              </w:r>
            </w:del>
            <w:ins w:id="368" w:author="svcMRProcess" w:date="2015-11-01T20:29:00Z">
              <w:r>
                <w:rPr>
                  <w:sz w:val="19"/>
                  <w:vertAlign w:val="superscript"/>
                </w:rPr>
                <w:t>2</w:t>
              </w:r>
            </w:ins>
          </w:p>
        </w:tc>
        <w:tc>
          <w:tcPr>
            <w:tcW w:w="1134" w:type="dxa"/>
          </w:tcPr>
          <w:p>
            <w:pPr>
              <w:pStyle w:val="nTable"/>
              <w:spacing w:after="40"/>
              <w:rPr>
                <w:sz w:val="19"/>
              </w:rPr>
            </w:pPr>
            <w:r>
              <w:rPr>
                <w:sz w:val="19"/>
              </w:rPr>
              <w:t>70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w:t>
            </w:r>
            <w:del w:id="369" w:author="svcMRProcess" w:date="2015-11-01T20:29:00Z">
              <w:r>
                <w:rPr>
                  <w:bCs/>
                  <w:snapToGrid w:val="0"/>
                  <w:sz w:val="19"/>
                  <w:vertAlign w:val="superscript"/>
                </w:rPr>
                <w:delText>6</w:delText>
              </w:r>
            </w:del>
            <w:ins w:id="370" w:author="svcMRProcess" w:date="2015-11-01T20:29:00Z">
              <w:r>
                <w:rPr>
                  <w:bCs/>
                  <w:snapToGrid w:val="0"/>
                  <w:sz w:val="19"/>
                  <w:vertAlign w:val="superscript"/>
                </w:rPr>
                <w:t>3</w:t>
              </w:r>
            </w:ins>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pPr>
              <w:pStyle w:val="nTable"/>
              <w:spacing w:after="40"/>
              <w:rPr>
                <w:bCs/>
                <w:sz w:val="19"/>
              </w:rPr>
            </w:pPr>
            <w:r>
              <w:rPr>
                <w:bCs/>
                <w:snapToGrid w:val="0"/>
                <w:sz w:val="19"/>
                <w:lang w:val="en-US"/>
              </w:rPr>
              <w:t>70 of 2004</w:t>
            </w:r>
          </w:p>
        </w:tc>
        <w:tc>
          <w:tcPr>
            <w:tcW w:w="1134" w:type="dxa"/>
          </w:tcPr>
          <w:p>
            <w:pPr>
              <w:pStyle w:val="nTable"/>
              <w:spacing w:after="40"/>
              <w:rPr>
                <w:bCs/>
                <w:sz w:val="19"/>
              </w:rPr>
            </w:pPr>
            <w:r>
              <w:rPr>
                <w:bC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del w:id="371" w:author="svcMRProcess" w:date="2015-11-01T20:29:00Z">
              <w:r>
                <w:rPr>
                  <w:snapToGrid w:val="0"/>
                  <w:sz w:val="19"/>
                  <w:vertAlign w:val="superscript"/>
                  <w:lang w:val="en-US"/>
                </w:rPr>
                <w:delText>7</w:delText>
              </w:r>
            </w:del>
            <w:ins w:id="372" w:author="svcMRProcess" w:date="2015-11-01T20:29:00Z">
              <w:r>
                <w:rPr>
                  <w:snapToGrid w:val="0"/>
                  <w:sz w:val="19"/>
                  <w:vertAlign w:val="superscript"/>
                  <w:lang w:val="en-US"/>
                </w:rPr>
                <w:t>4</w:t>
              </w:r>
            </w:ins>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 xml:space="preserve">31 Dec 2004 p. 7129 (correction in </w:t>
            </w:r>
            <w:r>
              <w:rPr>
                <w:i/>
                <w:iCs/>
                <w:snapToGrid w:val="0"/>
                <w:sz w:val="19"/>
                <w:lang w:val="en-US"/>
              </w:rPr>
              <w:t>Gazette</w:t>
            </w:r>
            <w:r>
              <w:rPr>
                <w:snapToGrid w:val="0"/>
                <w:sz w:val="19"/>
                <w:lang w:val="en-US"/>
              </w:rPr>
              <w:t xml:space="preserve"> 7 Jan 2005 p. 53))</w:t>
            </w:r>
          </w:p>
        </w:tc>
      </w:tr>
      <w:tr>
        <w:trPr>
          <w:cantSplit/>
          <w:ins w:id="373" w:author="svcMRProcess" w:date="2015-11-01T20:29:00Z"/>
        </w:trPr>
        <w:tc>
          <w:tcPr>
            <w:tcW w:w="7087" w:type="dxa"/>
            <w:gridSpan w:val="4"/>
            <w:tcBorders>
              <w:bottom w:val="single" w:sz="8" w:space="0" w:color="auto"/>
            </w:tcBorders>
          </w:tcPr>
          <w:p>
            <w:pPr>
              <w:pStyle w:val="nTable"/>
              <w:spacing w:after="40"/>
              <w:rPr>
                <w:ins w:id="374" w:author="svcMRProcess" w:date="2015-11-01T20:29:00Z"/>
                <w:snapToGrid w:val="0"/>
                <w:sz w:val="19"/>
                <w:lang w:val="en-US"/>
              </w:rPr>
            </w:pPr>
            <w:ins w:id="375" w:author="svcMRProcess" w:date="2015-11-01T20:29:00Z">
              <w:r>
                <w:rPr>
                  <w:b/>
                  <w:sz w:val="19"/>
                </w:rPr>
                <w:t xml:space="preserve">Reprint 5: The </w:t>
              </w:r>
              <w:r>
                <w:rPr>
                  <w:b/>
                  <w:i/>
                  <w:sz w:val="19"/>
                </w:rPr>
                <w:t>Licensed Surveyors Act 1909</w:t>
              </w:r>
              <w:r>
                <w:rPr>
                  <w:b/>
                  <w:sz w:val="19"/>
                </w:rPr>
                <w:t xml:space="preserve"> as at 5 May 2006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376" w:name="_Hlt507390729"/>
      <w:bookmarkEnd w:id="376"/>
      <w:r>
        <w:t xml:space="preserve">s </w:t>
      </w:r>
      <w:del w:id="377" w:author="svcMRProcess" w:date="2015-11-01T20:29:00Z">
        <w:r>
          <w:delText>compilation</w:delText>
        </w:r>
      </w:del>
      <w:ins w:id="378" w:author="svcMRProcess" w:date="2015-11-01T20:29:00Z">
        <w:r>
          <w:t>reprint</w:t>
        </w:r>
      </w:ins>
      <w:r>
        <w:t xml:space="preserve"> was prepared, provisions referred to in the following table had not come into operation and were therefore not included in </w:t>
      </w:r>
      <w:del w:id="379" w:author="svcMRProcess" w:date="2015-11-01T20:29:00Z">
        <w:r>
          <w:delText>this compilation.</w:delText>
        </w:r>
      </w:del>
      <w:ins w:id="380" w:author="svcMRProcess" w:date="2015-11-01T20:29:00Z">
        <w:r>
          <w:t>compiling the reprint.</w:t>
        </w:r>
      </w:ins>
      <w:r>
        <w:t xml:space="preserve">  For the text of the provisions see the </w:t>
      </w:r>
      <w:del w:id="381" w:author="svcMRProcess" w:date="2015-11-01T20:29:00Z">
        <w:r>
          <w:delText>endnote</w:delText>
        </w:r>
      </w:del>
      <w:ins w:id="382" w:author="svcMRProcess" w:date="2015-11-01T20:29:00Z">
        <w:r>
          <w:t>endnotes</w:t>
        </w:r>
      </w:ins>
      <w:r>
        <w:t xml:space="preserve"> referred to in the table.</w:t>
      </w:r>
    </w:p>
    <w:p>
      <w:pPr>
        <w:pStyle w:val="nHeading3"/>
        <w:rPr>
          <w:snapToGrid w:val="0"/>
        </w:rPr>
      </w:pPr>
      <w:bookmarkStart w:id="383" w:name="_Toc133898794"/>
      <w:bookmarkStart w:id="384" w:name="_Toc512912599"/>
      <w:bookmarkStart w:id="385" w:name="_Toc513452363"/>
      <w:bookmarkStart w:id="386" w:name="_Toc104708444"/>
      <w:r>
        <w:rPr>
          <w:snapToGrid w:val="0"/>
        </w:rPr>
        <w:t>Provisions that have not come into operation</w:t>
      </w:r>
      <w:bookmarkEnd w:id="383"/>
      <w:bookmarkEnd w:id="384"/>
      <w:bookmarkEnd w:id="385"/>
      <w:bookmarkEnd w:id="3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387" w:author="svcMRProcess" w:date="2015-11-01T20:29:00Z">
              <w:r>
                <w:rPr>
                  <w:b/>
                  <w:sz w:val="19"/>
                </w:rPr>
                <w:delText> </w:delText>
              </w:r>
            </w:del>
            <w:ins w:id="388" w:author="svcMRProcess" w:date="2015-11-01T20:29: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(Land Administration) Act 1987</w:t>
            </w:r>
            <w:r>
              <w:rPr>
                <w:snapToGrid w:val="0"/>
                <w:sz w:val="19"/>
              </w:rPr>
              <w:t xml:space="preserve"> Pt. IX </w:t>
            </w:r>
            <w:del w:id="389" w:author="svcMRProcess" w:date="2015-11-01T20:29:00Z">
              <w:r>
                <w:rPr>
                  <w:snapToGrid w:val="0"/>
                  <w:vertAlign w:val="superscript"/>
                </w:rPr>
                <w:delText>2</w:delText>
              </w:r>
            </w:del>
            <w:ins w:id="390" w:author="svcMRProcess" w:date="2015-11-01T20:29:00Z">
              <w:r>
                <w:rPr>
                  <w:snapToGrid w:val="0"/>
                  <w:sz w:val="19"/>
                  <w:vertAlign w:val="superscript"/>
                </w:rPr>
                <w:t>5</w:t>
              </w:r>
            </w:ins>
          </w:p>
        </w:tc>
        <w:tc>
          <w:tcPr>
            <w:tcW w:w="1134" w:type="dxa"/>
            <w:tcBorders>
              <w:top w:val="single" w:sz="8" w:space="0" w:color="auto"/>
            </w:tcBorders>
          </w:tcPr>
          <w:p>
            <w:pPr>
              <w:pStyle w:val="nTable"/>
              <w:keepNext/>
              <w:spacing w:after="40"/>
              <w:rPr>
                <w:sz w:val="19"/>
              </w:rPr>
            </w:pPr>
            <w:r>
              <w:rPr>
                <w:sz w:val="19"/>
              </w:rPr>
              <w:t>126 of 1987</w:t>
            </w:r>
          </w:p>
        </w:tc>
        <w:tc>
          <w:tcPr>
            <w:tcW w:w="1134" w:type="dxa"/>
            <w:tcBorders>
              <w:top w:val="single" w:sz="8" w:space="0" w:color="auto"/>
            </w:tcBorders>
          </w:tcPr>
          <w:p>
            <w:pPr>
              <w:pStyle w:val="nTable"/>
              <w:keepNext/>
              <w:spacing w:after="40"/>
              <w:rPr>
                <w:sz w:val="19"/>
              </w:rPr>
            </w:pPr>
            <w:r>
              <w:rPr>
                <w:sz w:val="19"/>
              </w:rPr>
              <w:t>31 Dec 1987</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w:t>
            </w:r>
            <w:del w:id="391" w:author="svcMRProcess" w:date="2015-11-01T20:29:00Z">
              <w:r>
                <w:rPr>
                  <w:snapToGrid w:val="0"/>
                  <w:sz w:val="19"/>
                  <w:vertAlign w:val="superscript"/>
                  <w:lang w:val="en-US"/>
                </w:rPr>
                <w:delText>4</w:delText>
              </w:r>
            </w:del>
            <w:ins w:id="392" w:author="svcMRProcess" w:date="2015-11-01T20:29:00Z">
              <w:r>
                <w:rPr>
                  <w:snapToGrid w:val="0"/>
                  <w:sz w:val="19"/>
                  <w:vertAlign w:val="superscript"/>
                  <w:lang w:val="en-US"/>
                </w:rPr>
                <w:t>6</w:t>
              </w:r>
            </w:ins>
          </w:p>
        </w:tc>
        <w:tc>
          <w:tcPr>
            <w:tcW w:w="1134" w:type="dxa"/>
            <w:tcBorders>
              <w:bottom w:val="single" w:sz="8" w:space="0" w:color="auto"/>
            </w:tcBorders>
          </w:tcPr>
          <w:p>
            <w:pPr>
              <w:pStyle w:val="nTable"/>
              <w:keepNext/>
              <w:spacing w:after="40"/>
              <w:rPr>
                <w:sz w:val="19"/>
              </w:rPr>
            </w:pPr>
            <w:r>
              <w:rPr>
                <w:snapToGrid w:val="0"/>
                <w:sz w:val="19"/>
                <w:lang w:val="en-US"/>
              </w:rPr>
              <w:t>59 of 2004</w:t>
            </w:r>
          </w:p>
        </w:tc>
        <w:tc>
          <w:tcPr>
            <w:tcW w:w="1134" w:type="dxa"/>
            <w:tcBorders>
              <w:bottom w:val="single" w:sz="8" w:space="0" w:color="auto"/>
            </w:tcBorders>
          </w:tcPr>
          <w:p>
            <w:pPr>
              <w:pStyle w:val="nTable"/>
              <w:keepNext/>
              <w:spacing w:after="40"/>
              <w:rPr>
                <w:sz w:val="19"/>
              </w:rPr>
            </w:pPr>
            <w:r>
              <w:rPr>
                <w:sz w:val="19"/>
              </w:rPr>
              <w:t>23 Nov 2004</w:t>
            </w:r>
          </w:p>
        </w:tc>
        <w:tc>
          <w:tcPr>
            <w:tcW w:w="2551" w:type="dxa"/>
            <w:tcBorders>
              <w:bottom w:val="single" w:sz="8" w:space="0" w:color="auto"/>
            </w:tcBorders>
          </w:tcPr>
          <w:p>
            <w:pPr>
              <w:pStyle w:val="nTable"/>
              <w:keepNext/>
              <w:spacing w:after="40"/>
              <w:rPr>
                <w:sz w:val="19"/>
              </w:rPr>
            </w:pPr>
            <w:r>
              <w:rPr>
                <w:snapToGrid w:val="0"/>
                <w:sz w:val="19"/>
                <w:lang w:val="en-US"/>
              </w:rPr>
              <w:t>To be proclaimed (see s. 2)</w:t>
            </w:r>
          </w:p>
        </w:tc>
      </w:tr>
    </w:tbl>
    <w:p>
      <w:pPr>
        <w:pStyle w:val="nSubsection"/>
        <w:rPr>
          <w:ins w:id="393" w:author="svcMRProcess" w:date="2015-11-01T20:29:00Z"/>
          <w:snapToGrid w:val="0"/>
        </w:rPr>
      </w:pPr>
      <w:del w:id="394" w:author="svcMRProcess" w:date="2015-11-01T20:29:00Z">
        <w:r>
          <w:rPr>
            <w:vertAlign w:val="superscript"/>
          </w:rPr>
          <w:delText>2</w:delText>
        </w:r>
      </w:del>
      <w:ins w:id="395" w:author="svcMRProcess" w:date="2015-11-01T20:29:00Z">
        <w:r>
          <w:rPr>
            <w:vertAlign w:val="superscript"/>
          </w:rPr>
          <w:t>2</w:t>
        </w:r>
        <w:r>
          <w:tab/>
          <w:t xml:space="preserve">The </w:t>
        </w:r>
        <w:r>
          <w:rPr>
            <w:i/>
          </w:rPr>
          <w:t>Acts Amendment and Repeal (Competition Policy) Act 2003</w:t>
        </w:r>
        <w:r>
          <w:t xml:space="preserve"> s. 40(7)-(9) reads as follows</w:t>
        </w:r>
        <w:r>
          <w:rPr>
            <w:snapToGrid w:val="0"/>
          </w:rPr>
          <w:t>:</w:t>
        </w:r>
      </w:ins>
    </w:p>
    <w:p>
      <w:pPr>
        <w:pStyle w:val="MiscOpen"/>
        <w:rPr>
          <w:ins w:id="396" w:author="svcMRProcess" w:date="2015-11-01T20:29:00Z"/>
        </w:rPr>
      </w:pPr>
      <w:ins w:id="397" w:author="svcMRProcess" w:date="2015-11-01T20:29:00Z">
        <w:r>
          <w:t>“</w:t>
        </w:r>
      </w:ins>
    </w:p>
    <w:p>
      <w:pPr>
        <w:pStyle w:val="nzSubsection"/>
        <w:rPr>
          <w:ins w:id="398" w:author="svcMRProcess" w:date="2015-11-01T20:29:00Z"/>
        </w:rPr>
      </w:pPr>
      <w:ins w:id="399" w:author="svcMRProcess" w:date="2015-11-01T20:29:00Z">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b/>
          </w:rPr>
          <w:t>“</w:t>
        </w:r>
        <w:r>
          <w:rPr>
            <w:rStyle w:val="CharDefText"/>
          </w:rPr>
          <w:t>the transitional period</w:t>
        </w:r>
        <w:r>
          <w:rPr>
            <w:b/>
          </w:rPr>
          <w:t>”</w:t>
        </w:r>
        <w:r>
          <w:t>) as if this section had not been enacted.</w:t>
        </w:r>
      </w:ins>
    </w:p>
    <w:p>
      <w:pPr>
        <w:pStyle w:val="nzSubsection"/>
        <w:rPr>
          <w:ins w:id="400" w:author="svcMRProcess" w:date="2015-11-01T20:29:00Z"/>
        </w:rPr>
      </w:pPr>
      <w:ins w:id="401" w:author="svcMRProcess" w:date="2015-11-01T20:29:00Z">
        <w:r>
          <w:tab/>
          <w:t>(8)</w:t>
        </w:r>
        <w:r>
          <w:tab/>
          <w:t>The Surveyor General continues to hold office as the chairman of the Land Surveyors Licensing Board during the transitional period as if this section had not been enacted.</w:t>
        </w:r>
      </w:ins>
    </w:p>
    <w:p>
      <w:pPr>
        <w:pStyle w:val="nzSubsection"/>
        <w:rPr>
          <w:ins w:id="402" w:author="svcMRProcess" w:date="2015-11-01T20:29:00Z"/>
        </w:rPr>
      </w:pPr>
      <w:ins w:id="403" w:author="svcMRProcess" w:date="2015-11-01T20:29:00Z">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ins>
    </w:p>
    <w:p>
      <w:pPr>
        <w:pStyle w:val="MiscClose"/>
        <w:rPr>
          <w:ins w:id="404" w:author="svcMRProcess" w:date="2015-11-01T20:29:00Z"/>
        </w:rPr>
      </w:pPr>
      <w:ins w:id="405" w:author="svcMRProcess" w:date="2015-11-01T20:29:00Z">
        <w:r>
          <w:t>”.</w:t>
        </w:r>
      </w:ins>
    </w:p>
    <w:p>
      <w:pPr>
        <w:pStyle w:val="nSubsection"/>
        <w:rPr>
          <w:ins w:id="406" w:author="svcMRProcess" w:date="2015-11-01T20:29:00Z"/>
          <w:iCs/>
        </w:rPr>
      </w:pPr>
      <w:ins w:id="407" w:author="svcMRProcess" w:date="2015-11-01T20:29:00Z">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p>
    <w:p>
      <w:pPr>
        <w:pStyle w:val="nSubsection"/>
        <w:keepLines/>
        <w:spacing w:before="120"/>
        <w:rPr>
          <w:ins w:id="408" w:author="svcMRProcess" w:date="2015-11-01T20:29:00Z"/>
          <w:snapToGrid w:val="0"/>
          <w:lang w:val="en-US"/>
        </w:rPr>
      </w:pPr>
      <w:ins w:id="409" w:author="svcMRProcess" w:date="2015-11-01T20:29:00Z">
        <w:r>
          <w:rPr>
            <w:vertAlign w:val="superscript"/>
          </w:rPr>
          <w:t>4</w:t>
        </w:r>
        <w:r>
          <w:tab/>
          <w:t xml:space="preserve">The </w:t>
        </w:r>
        <w:r>
          <w:rPr>
            <w:snapToGrid w:val="0"/>
          </w:rPr>
          <w:t xml:space="preserve">amendment in the </w:t>
        </w:r>
        <w:r>
          <w:rPr>
            <w:i/>
            <w:iCs/>
            <w:snapToGrid w:val="0"/>
            <w:lang w:val="en-US"/>
          </w:rPr>
          <w:t xml:space="preserve">Criminal Procedure and Appeals (Consequential and Other Provisions) Act 2004 </w:t>
        </w:r>
        <w:r>
          <w:rPr>
            <w:snapToGrid w:val="0"/>
            <w:lang w:val="en-US"/>
          </w:rPr>
          <w:t>s. 82 will not be included because of an error in the reference to the provision to be amended.</w:t>
        </w:r>
      </w:ins>
    </w:p>
    <w:p>
      <w:pPr>
        <w:pStyle w:val="nSubsection"/>
        <w:keepNext/>
        <w:keepLines/>
        <w:spacing w:before="120"/>
      </w:pPr>
      <w:ins w:id="410" w:author="svcMRProcess" w:date="2015-11-01T20:29:00Z">
        <w:r>
          <w:rPr>
            <w:vertAlign w:val="superscript"/>
          </w:rPr>
          <w:t>5</w:t>
        </w:r>
      </w:ins>
      <w:r>
        <w:tab/>
        <w:t xml:space="preserve">On the date as at which this </w:t>
      </w:r>
      <w:del w:id="411" w:author="svcMRProcess" w:date="2015-11-01T20:29:00Z">
        <w:r>
          <w:delText>compilation</w:delText>
        </w:r>
      </w:del>
      <w:ins w:id="412" w:author="svcMRProcess" w:date="2015-11-01T20:29:00Z">
        <w:r>
          <w:t>reprint</w:t>
        </w:r>
      </w:ins>
      <w:r>
        <w:t xml:space="preserve"> was prepared, the </w:t>
      </w:r>
      <w:r>
        <w:rPr>
          <w:i/>
        </w:rPr>
        <w:t>Acts Amendment (Land Administration) Act 1987</w:t>
      </w:r>
      <w:r>
        <w:t xml:space="preserve"> Pt. IX (s. 40</w:t>
      </w:r>
      <w:r>
        <w:noBreakHyphen/>
        <w:t>44) had not come into operation.  It reads</w:t>
      </w:r>
      <w:ins w:id="413" w:author="svcMRProcess" w:date="2015-11-01T20:29:00Z">
        <w:r>
          <w:t xml:space="preserve"> as follows</w:t>
        </w:r>
      </w:ins>
      <w:r>
        <w:t xml:space="preserve">: </w:t>
      </w:r>
    </w:p>
    <w:p>
      <w:pPr>
        <w:pStyle w:val="nSubsection"/>
        <w:keepNext/>
        <w:keepLines/>
      </w:pPr>
      <w:r>
        <w:t>“</w:t>
      </w:r>
    </w:p>
    <w:p>
      <w:pPr>
        <w:pStyle w:val="nzHeading2"/>
        <w:rPr>
          <w:i/>
        </w:rPr>
      </w:pPr>
      <w:r>
        <w:t>Part IX — </w:t>
      </w:r>
      <w:r>
        <w:rPr>
          <w:i/>
        </w:rPr>
        <w:t>Licensed Surveyors Act 1909</w:t>
      </w:r>
    </w:p>
    <w:p>
      <w:pPr>
        <w:pStyle w:val="nzHeading5"/>
        <w:spacing w:before="180"/>
      </w:pPr>
      <w:r>
        <w:t>40.</w:t>
      </w:r>
      <w:r>
        <w:tab/>
        <w:t>Principal Act</w:t>
      </w:r>
    </w:p>
    <w:p>
      <w:pPr>
        <w:pStyle w:val="nzSubsection"/>
      </w:pPr>
      <w:r>
        <w:tab/>
      </w:r>
      <w:r>
        <w:tab/>
        <w:t xml:space="preserve">In this Part the </w:t>
      </w:r>
      <w:r>
        <w:rPr>
          <w:i/>
        </w:rPr>
        <w:t>Licensed Surveyors Act 1909</w:t>
      </w:r>
      <w:r>
        <w:t xml:space="preserve"> is referred to as the principal Act.</w:t>
      </w:r>
    </w:p>
    <w:p>
      <w:pPr>
        <w:pStyle w:val="nzHeading5"/>
        <w:spacing w:before="180"/>
      </w:pPr>
      <w:r>
        <w:t>41.</w:t>
      </w:r>
      <w:r>
        <w:tab/>
        <w:t>Section 3 amended</w:t>
      </w:r>
    </w:p>
    <w:p>
      <w:pPr>
        <w:pStyle w:val="nzSubsection"/>
      </w:pPr>
      <w:r>
        <w:rPr>
          <w:i/>
        </w:rPr>
        <w:tab/>
      </w:r>
      <w:r>
        <w:rPr>
          <w:i/>
        </w:rPr>
        <w:tab/>
      </w:r>
      <w:r>
        <w:t>Section 3 of the principal Act is amended by deleting the definition of “Surveyor General ”.</w:t>
      </w:r>
    </w:p>
    <w:p>
      <w:pPr>
        <w:pStyle w:val="nzHeading5"/>
        <w:spacing w:before="180"/>
      </w:pPr>
      <w:r>
        <w:t>42.</w:t>
      </w:r>
      <w:r>
        <w:tab/>
        <w:t>Section 4 amended</w:t>
      </w:r>
    </w:p>
    <w:p>
      <w:pPr>
        <w:pStyle w:val="nzSubsection"/>
      </w:pPr>
      <w:r>
        <w:tab/>
        <w:t>(1)</w:t>
      </w:r>
      <w:r>
        <w:tab/>
        <w:t>Section 4 of the principal Act is amended —</w:t>
      </w:r>
    </w:p>
    <w:p>
      <w:pPr>
        <w:pStyle w:val="nzIndenta"/>
      </w:pPr>
      <w:r>
        <w:tab/>
        <w:t>(a)</w:t>
      </w:r>
      <w:r>
        <w:tab/>
        <w:t>in subsection (1) by deleting —</w:t>
      </w:r>
    </w:p>
    <w:p>
      <w:pPr>
        <w:pStyle w:val="nzIndenti"/>
      </w:pPr>
      <w:r>
        <w:tab/>
        <w:t>(i)</w:t>
      </w:r>
      <w:r>
        <w:tab/>
        <w:t>paragraph (a); and</w:t>
      </w:r>
    </w:p>
    <w:p>
      <w:pPr>
        <w:pStyle w:val="nzIndenti"/>
      </w:pPr>
      <w:r>
        <w:tab/>
        <w:t>(ii)</w:t>
      </w:r>
      <w:r>
        <w:tab/>
        <w:t>“Surveyor General” in paragraph (b) and substituting the following —</w:t>
      </w:r>
    </w:p>
    <w:p>
      <w:pPr>
        <w:pStyle w:val="nzIndenti"/>
      </w:pPr>
      <w:r>
        <w:tab/>
      </w:r>
      <w:r>
        <w:tab/>
        <w:t>“    Minister    ”;</w:t>
      </w:r>
    </w:p>
    <w:p>
      <w:pPr>
        <w:pStyle w:val="nzIndenta"/>
      </w:pPr>
      <w:r>
        <w:tab/>
        <w:t>(b)</w:t>
      </w:r>
      <w:r>
        <w:tab/>
        <w:t>by repealing subsection (1a);</w:t>
      </w:r>
    </w:p>
    <w:p>
      <w:pPr>
        <w:pStyle w:val="nzIndenta"/>
      </w:pPr>
      <w:r>
        <w:tab/>
        <w:t>(c)</w:t>
      </w:r>
      <w:r>
        <w:tab/>
        <w:t>in subsection (2) by deleting “, other than the Surveyor General,”;</w:t>
      </w:r>
    </w:p>
    <w:p>
      <w:pPr>
        <w:pStyle w:val="nzIndenta"/>
      </w:pPr>
      <w:r>
        <w:tab/>
        <w:t>(d)</w:t>
      </w:r>
      <w:r>
        <w:tab/>
        <w:t>in subsection (3) by deleting “other than the Surveyor General,”;</w:t>
      </w:r>
    </w:p>
    <w:p>
      <w:pPr>
        <w:pStyle w:val="nzIndenta"/>
      </w:pPr>
      <w:r>
        <w:tab/>
        <w:t>(e)</w:t>
      </w:r>
      <w:r>
        <w:tab/>
        <w:t>in subsection (4) by deleting —</w:t>
      </w:r>
    </w:p>
    <w:p>
      <w:pPr>
        <w:pStyle w:val="nzIndenti"/>
      </w:pPr>
      <w:r>
        <w:tab/>
        <w:t>(i)</w:t>
      </w:r>
      <w:r>
        <w:tab/>
        <w:t>“other than the Surveyor General”; and</w:t>
      </w:r>
    </w:p>
    <w:p>
      <w:pPr>
        <w:pStyle w:val="nzIndenti"/>
      </w:pPr>
      <w:r>
        <w:tab/>
        <w:t>(ii)</w:t>
      </w:r>
      <w:r>
        <w:tab/>
        <w:t>“Surveyor General”, where it occurs for the second and third times, and substituting in each case the following —</w:t>
      </w:r>
    </w:p>
    <w:p>
      <w:pPr>
        <w:pStyle w:val="nzIndenti"/>
      </w:pPr>
      <w:r>
        <w:tab/>
      </w:r>
      <w:r>
        <w:tab/>
        <w:t>“   Minister  ”;</w:t>
      </w:r>
    </w:p>
    <w:p>
      <w:pPr>
        <w:pStyle w:val="nzIndenta"/>
      </w:pPr>
      <w:r>
        <w:tab/>
        <w:t>(f)</w:t>
      </w:r>
      <w:r>
        <w:tab/>
        <w:t>in subsection (4a) by deleting —</w:t>
      </w:r>
    </w:p>
    <w:p>
      <w:pPr>
        <w:pStyle w:val="nzIndenti"/>
      </w:pPr>
      <w:r>
        <w:tab/>
        <w:t>(i)</w:t>
      </w:r>
      <w:r>
        <w:tab/>
        <w:t>“Surveyor General” and substituting the following —</w:t>
      </w:r>
    </w:p>
    <w:p>
      <w:pPr>
        <w:pStyle w:val="nzIndenti"/>
      </w:pPr>
      <w:r>
        <w:tab/>
      </w:r>
      <w:r>
        <w:tab/>
        <w:t>“   Minister   ”;</w:t>
      </w:r>
    </w:p>
    <w:p>
      <w:pPr>
        <w:pStyle w:val="nzIndenti"/>
      </w:pPr>
      <w:r>
        <w:tab/>
        <w:t>(ii)</w:t>
      </w:r>
      <w:r>
        <w:tab/>
        <w:t>paragraph (a) and substituting the following paragraph —</w:t>
      </w:r>
    </w:p>
    <w:p>
      <w:pPr>
        <w:pStyle w:val="nzIndenti"/>
        <w:tabs>
          <w:tab w:val="clear" w:pos="2608"/>
          <w:tab w:val="clear" w:pos="2892"/>
          <w:tab w:val="left" w:pos="2835"/>
          <w:tab w:val="left" w:pos="3119"/>
          <w:tab w:val="left" w:pos="3686"/>
        </w:tabs>
        <w:ind w:left="3686" w:hanging="1702"/>
      </w:pPr>
      <w:r>
        <w:tab/>
        <w:t>“</w:t>
      </w:r>
    </w:p>
    <w:p>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pPr>
        <w:pStyle w:val="nzIndenti"/>
        <w:tabs>
          <w:tab w:val="clear" w:pos="2608"/>
          <w:tab w:val="clear" w:pos="2892"/>
          <w:tab w:val="left" w:pos="2835"/>
          <w:tab w:val="left" w:pos="3119"/>
          <w:tab w:val="left" w:pos="3686"/>
        </w:tabs>
        <w:ind w:left="3686" w:hanging="1702"/>
        <w:jc w:val="right"/>
      </w:pPr>
      <w:r>
        <w:t>”;</w:t>
      </w:r>
    </w:p>
    <w:p>
      <w:pPr>
        <w:pStyle w:val="nzIndenta"/>
      </w:pPr>
      <w:r>
        <w:tab/>
        <w:t>(g)</w:t>
      </w:r>
      <w:r>
        <w:tab/>
        <w:t>in subsection (5) by deleting “Surveyor General”, wherever it occurs, and substituting in each case the following —</w:t>
      </w:r>
    </w:p>
    <w:p>
      <w:pPr>
        <w:pStyle w:val="nzIndenta"/>
      </w:pPr>
      <w:r>
        <w:tab/>
      </w:r>
      <w:r>
        <w:tab/>
        <w:t>“   Minister   ”;</w:t>
      </w:r>
    </w:p>
    <w:p>
      <w:pPr>
        <w:pStyle w:val="nzIndenta"/>
        <w:keepNext/>
        <w:spacing w:before="60"/>
      </w:pPr>
      <w:r>
        <w:tab/>
        <w:t>(h)</w:t>
      </w:r>
      <w:r>
        <w:tab/>
        <w:t>in subsection (5a) by deleting “Surveyor General” and substituting the following —</w:t>
      </w:r>
    </w:p>
    <w:p>
      <w:pPr>
        <w:pStyle w:val="nzIndenta"/>
      </w:pPr>
      <w:r>
        <w:tab/>
      </w:r>
      <w:r>
        <w:tab/>
        <w:t>“   Minister   ”; and</w:t>
      </w:r>
    </w:p>
    <w:p>
      <w:pPr>
        <w:pStyle w:val="nzIndenta"/>
        <w:keepNext/>
        <w:spacing w:before="60"/>
      </w:pPr>
      <w:r>
        <w:tab/>
        <w:t>(i)</w:t>
      </w:r>
      <w:r>
        <w:tab/>
        <w:t>by inserting after subsection (5a) the following subsection —</w:t>
      </w:r>
    </w:p>
    <w:p>
      <w:pPr>
        <w:pStyle w:val="nzIndenta"/>
        <w:keepNext/>
        <w:tabs>
          <w:tab w:val="clear" w:pos="1899"/>
          <w:tab w:val="left" w:pos="2552"/>
          <w:tab w:val="left" w:pos="3119"/>
        </w:tabs>
        <w:ind w:left="3119" w:hanging="1787"/>
      </w:pPr>
      <w:r>
        <w:tab/>
        <w:t>“</w:t>
      </w:r>
    </w:p>
    <w:p>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pPr>
        <w:pStyle w:val="nzIndenta"/>
        <w:tabs>
          <w:tab w:val="clear" w:pos="1899"/>
          <w:tab w:val="left" w:pos="2552"/>
          <w:tab w:val="left" w:pos="3119"/>
        </w:tabs>
        <w:ind w:left="3119" w:hanging="1787"/>
        <w:jc w:val="right"/>
      </w:pPr>
      <w:r>
        <w:t>”.</w:t>
      </w:r>
    </w:p>
    <w:p>
      <w:pPr>
        <w:pStyle w:val="nzSubsection"/>
        <w:spacing w:before="120"/>
      </w:pPr>
      <w:r>
        <w:tab/>
        <w:t>(2)</w:t>
      </w:r>
      <w:r>
        <w:tab/>
        <w:t>Notwithstanding anything in subsection (1) —</w:t>
      </w:r>
    </w:p>
    <w:p>
      <w:pPr>
        <w:pStyle w:val="nzIndenta"/>
        <w:keepNext/>
        <w:spacing w:before="60"/>
      </w:pPr>
      <w:r>
        <w:tab/>
        <w:t>(a)</w:t>
      </w:r>
      <w:r>
        <w:tab/>
        <w:t>the members of the Board who were in office immediately before the commencement of this section, except for the member referred to in section 4(1)(a) of the principal Act, shall —</w:t>
      </w:r>
    </w:p>
    <w:p>
      <w:pPr>
        <w:pStyle w:val="nzIndenti"/>
      </w:pPr>
      <w:r>
        <w:tab/>
        <w:t>(i)</w:t>
      </w:r>
      <w:r>
        <w:tab/>
        <w:t>if that commencement occurred before 1 January 1988, continue in office until 31 December 1987; or</w:t>
      </w:r>
    </w:p>
    <w:p>
      <w:pPr>
        <w:pStyle w:val="nzIndenti"/>
      </w:pPr>
      <w:r>
        <w:tab/>
        <w:t>(ii)</w:t>
      </w:r>
      <w:r>
        <w:tab/>
        <w:t>if that commencement occurred on or after 1 January 1988 but before 1 January 1989, continue in office until 31 December 1988;</w:t>
      </w:r>
    </w:p>
    <w:p>
      <w:pPr>
        <w:pStyle w:val="nzIndenta"/>
      </w:pPr>
      <w:r>
        <w:tab/>
      </w:r>
      <w:r>
        <w:tab/>
        <w:t>and</w:t>
      </w:r>
    </w:p>
    <w:p>
      <w:pPr>
        <w:pStyle w:val="nzIndenta"/>
        <w:keepNext/>
        <w:spacing w:before="60"/>
      </w:pPr>
      <w:r>
        <w:tab/>
        <w:t>(b)</w:t>
      </w:r>
      <w:r>
        <w:tab/>
        <w:t>if the commencement of this section occurred —</w:t>
      </w:r>
    </w:p>
    <w:p>
      <w:pPr>
        <w:pStyle w:val="nzIndenti"/>
      </w:pPr>
      <w:r>
        <w:tab/>
        <w:t>(i)</w:t>
      </w:r>
      <w:r>
        <w:tab/>
        <w:t>before 1 January 1988, any vacancy in the office of member of the Board which occurred after that commencement but before 1 January 1988; or</w:t>
      </w:r>
    </w:p>
    <w:p>
      <w:pPr>
        <w:pStyle w:val="nzIndenti"/>
      </w:pPr>
      <w:r>
        <w:tab/>
        <w:t>(ii)</w:t>
      </w:r>
      <w:r>
        <w:tab/>
        <w:t>on or after 1 January 1988 but before 1 January 1989, any vacancy in the office of member of the Board which occurred after that commencement but before 1 January 1989,</w:t>
      </w:r>
    </w:p>
    <w:p>
      <w:pPr>
        <w:pStyle w:val="nzIndenta"/>
      </w:pPr>
      <w:r>
        <w:tab/>
      </w:r>
      <w:r>
        <w:tab/>
        <w:t>shall be filled, subject to subsection (3), in the manner provided by the principal Act as in force immediately before that commencement.</w:t>
      </w:r>
    </w:p>
    <w:p>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pPr>
        <w:pStyle w:val="nzSubsection"/>
        <w:spacing w:before="120"/>
      </w:pPr>
      <w:r>
        <w:tab/>
        <w:t>(4)</w:t>
      </w:r>
      <w:r>
        <w:tab/>
        <w:t>In subsections (2) and (3) “Board” has the meaning given by the principal Act.</w:t>
      </w:r>
    </w:p>
    <w:p>
      <w:pPr>
        <w:pStyle w:val="nzHeading5"/>
        <w:spacing w:before="160"/>
      </w:pPr>
      <w:r>
        <w:t>43.</w:t>
      </w:r>
      <w:r>
        <w:tab/>
        <w:t>Section 18 amended</w:t>
      </w:r>
    </w:p>
    <w:p>
      <w:pPr>
        <w:pStyle w:val="nzSubsection"/>
        <w:spacing w:before="120"/>
      </w:pPr>
      <w:r>
        <w:tab/>
      </w:r>
      <w:r>
        <w:tab/>
        <w:t>Section 18 of the principal Act is amended by deleting “Surveyor General” and substituting the following —</w:t>
      </w:r>
    </w:p>
    <w:p>
      <w:pPr>
        <w:pStyle w:val="nzSubsection"/>
      </w:pPr>
      <w:r>
        <w:tab/>
      </w:r>
      <w:r>
        <w:tab/>
        <w:t>“   Registrar of Titles   ”.</w:t>
      </w:r>
    </w:p>
    <w:p>
      <w:pPr>
        <w:pStyle w:val="nzHeading5"/>
        <w:spacing w:before="160"/>
      </w:pPr>
      <w:r>
        <w:t>44.</w:t>
      </w:r>
      <w:r>
        <w:tab/>
        <w:t>Section 19 amended</w:t>
      </w:r>
    </w:p>
    <w:p>
      <w:pPr>
        <w:pStyle w:val="nzSubsection"/>
        <w:spacing w:before="120"/>
      </w:pPr>
      <w:r>
        <w:tab/>
      </w:r>
      <w:r>
        <w:tab/>
        <w:t>Section 19 of the principal Act is amended by deleting “Surveyor General”, wherever it occurs, and substituting in each case the following —</w:t>
      </w:r>
    </w:p>
    <w:p>
      <w:pPr>
        <w:pStyle w:val="nzSubsection"/>
      </w:pPr>
      <w:r>
        <w:tab/>
      </w:r>
      <w:r>
        <w:tab/>
        <w:t>“   Registrar of Titles   ”.</w:t>
      </w:r>
    </w:p>
    <w:p>
      <w:pPr>
        <w:pStyle w:val="MiscClose"/>
      </w:pPr>
      <w:r>
        <w:t>”.</w:t>
      </w:r>
    </w:p>
    <w:p>
      <w:pPr>
        <w:pStyle w:val="nSubsection"/>
        <w:rPr>
          <w:del w:id="414" w:author="svcMRProcess" w:date="2015-11-01T20:29:00Z"/>
          <w:snapToGrid w:val="0"/>
        </w:rPr>
      </w:pPr>
      <w:del w:id="415" w:author="svcMRProcess" w:date="2015-11-01T20:29:00Z">
        <w:r>
          <w:rPr>
            <w:vertAlign w:val="superscript"/>
          </w:rPr>
          <w:delText>3</w:delText>
        </w:r>
        <w:r>
          <w:tab/>
          <w:delText xml:space="preserve">The </w:delText>
        </w:r>
        <w:r>
          <w:rPr>
            <w:i/>
          </w:rPr>
          <w:delText>Acts Amendment and Repeal (Competition Policy) Act 2003</w:delText>
        </w:r>
        <w:r>
          <w:delText xml:space="preserve"> s. 40(7)-(9) reads as follows</w:delText>
        </w:r>
        <w:r>
          <w:rPr>
            <w:snapToGrid w:val="0"/>
          </w:rPr>
          <w:delText> — </w:delText>
        </w:r>
      </w:del>
    </w:p>
    <w:p>
      <w:pPr>
        <w:pStyle w:val="MiscOpen"/>
        <w:rPr>
          <w:del w:id="416" w:author="svcMRProcess" w:date="2015-11-01T20:29:00Z"/>
        </w:rPr>
      </w:pPr>
      <w:del w:id="417" w:author="svcMRProcess" w:date="2015-11-01T20:29:00Z">
        <w:r>
          <w:delText>“</w:delText>
        </w:r>
      </w:del>
    </w:p>
    <w:p>
      <w:pPr>
        <w:pStyle w:val="nzSubsection"/>
        <w:rPr>
          <w:del w:id="418" w:author="svcMRProcess" w:date="2015-11-01T20:29:00Z"/>
        </w:rPr>
      </w:pPr>
      <w:del w:id="419" w:author="svcMRProcess" w:date="2015-11-01T20:29:00Z">
        <w:r>
          <w:tab/>
          <w:delText>(7)</w:delText>
        </w:r>
        <w:r>
          <w:tab/>
          <w:delText xml:space="preserve">A person appointed under section 4 of the </w:delText>
        </w:r>
        <w:r>
          <w:rPr>
            <w:i/>
          </w:rPr>
          <w:delText>Licensed Surveyors Act 1909</w:delText>
        </w:r>
        <w:r>
          <w:delText xml:space="preserve"> as a member of the Land Surveyors Licensing Board and holding office immediately before the commencement of this section continues to hold office under the first</w:delText>
        </w:r>
        <w:r>
          <w:noBreakHyphen/>
          <w:delText>mentioned section during the period from that commencement until the following 31 December (</w:delText>
        </w:r>
        <w:r>
          <w:rPr>
            <w:b/>
          </w:rPr>
          <w:delText>“</w:delText>
        </w:r>
        <w:r>
          <w:rPr>
            <w:rStyle w:val="CharDefText"/>
          </w:rPr>
          <w:delText>the transitional period</w:delText>
        </w:r>
        <w:r>
          <w:rPr>
            <w:b/>
          </w:rPr>
          <w:delText>”</w:delText>
        </w:r>
        <w:r>
          <w:delText>) as if this section had not been enacted.</w:delText>
        </w:r>
      </w:del>
    </w:p>
    <w:p>
      <w:pPr>
        <w:pStyle w:val="nzSubsection"/>
        <w:rPr>
          <w:del w:id="420" w:author="svcMRProcess" w:date="2015-11-01T20:29:00Z"/>
        </w:rPr>
      </w:pPr>
      <w:del w:id="421" w:author="svcMRProcess" w:date="2015-11-01T20:29:00Z">
        <w:r>
          <w:tab/>
          <w:delText>(8)</w:delText>
        </w:r>
        <w:r>
          <w:tab/>
          <w:delText>The Surveyor General continues to hold office as the chairman of the Land Surveyors Licensing Board during the transitional period as if this section had not been enacted.</w:delText>
        </w:r>
      </w:del>
    </w:p>
    <w:p>
      <w:pPr>
        <w:pStyle w:val="nzSubsection"/>
        <w:rPr>
          <w:del w:id="422" w:author="svcMRProcess" w:date="2015-11-01T20:29:00Z"/>
        </w:rPr>
      </w:pPr>
      <w:del w:id="423" w:author="svcMRProcess" w:date="2015-11-01T20:29:00Z">
        <w:r>
          <w:tab/>
          <w:delText>(9)</w:delText>
        </w:r>
        <w:r>
          <w:tab/>
          <w:delText xml:space="preserve">A vacancy that occurs in the membership of the Land Surveyors Licensing Board during the transitional period is to be filled in accordance with section 4 of the </w:delText>
        </w:r>
        <w:r>
          <w:rPr>
            <w:i/>
          </w:rPr>
          <w:delText>Licensed Surveyors Act 1909</w:delText>
        </w:r>
        <w:r>
          <w:delText>, as enacted immediately before the commencement of this section.</w:delText>
        </w:r>
      </w:del>
    </w:p>
    <w:p>
      <w:pPr>
        <w:pStyle w:val="MiscClose"/>
        <w:rPr>
          <w:del w:id="424" w:author="svcMRProcess" w:date="2015-11-01T20:29:00Z"/>
        </w:rPr>
      </w:pPr>
      <w:del w:id="425" w:author="svcMRProcess" w:date="2015-11-01T20:29:00Z">
        <w:r>
          <w:delText>”.</w:delText>
        </w:r>
      </w:del>
    </w:p>
    <w:p>
      <w:pPr>
        <w:pStyle w:val="nSubsection"/>
        <w:spacing w:before="60"/>
        <w:rPr>
          <w:snapToGrid w:val="0"/>
        </w:rPr>
      </w:pPr>
      <w:del w:id="426" w:author="svcMRProcess" w:date="2015-11-01T20:29:00Z">
        <w:r>
          <w:rPr>
            <w:vertAlign w:val="superscript"/>
          </w:rPr>
          <w:delText>4</w:delText>
        </w:r>
      </w:del>
      <w:ins w:id="427" w:author="svcMRProcess" w:date="2015-11-01T20:29:00Z">
        <w:r>
          <w:rPr>
            <w:vertAlign w:val="superscript"/>
          </w:rPr>
          <w:t>6</w:t>
        </w:r>
      </w:ins>
      <w:r>
        <w:tab/>
      </w:r>
      <w:r>
        <w:rPr>
          <w:snapToGrid w:val="0"/>
        </w:rPr>
        <w:t xml:space="preserve">On the date as at which this </w:t>
      </w:r>
      <w:del w:id="428" w:author="svcMRProcess" w:date="2015-11-01T20:29:00Z">
        <w:r>
          <w:rPr>
            <w:snapToGrid w:val="0"/>
          </w:rPr>
          <w:delText>compilation</w:delText>
        </w:r>
      </w:del>
      <w:ins w:id="429" w:author="svcMRProcess" w:date="2015-11-01T20:29:00Z">
        <w:r>
          <w:rPr>
            <w:snapToGrid w:val="0"/>
          </w:rPr>
          <w:t>reprint</w:t>
        </w:r>
      </w:ins>
      <w:r>
        <w:rPr>
          <w:snapToGrid w:val="0"/>
        </w:rPr>
        <w:t xml:space="preserve">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spacing w:before="60"/>
      </w:pPr>
      <w:bookmarkStart w:id="430" w:name="_Toc448803174"/>
      <w:bookmarkStart w:id="431" w:name="_Toc491766624"/>
      <w:bookmarkStart w:id="432" w:name="_Toc88630544"/>
      <w:r>
        <w:rPr>
          <w:rStyle w:val="CharSectno"/>
        </w:rPr>
        <w:t>142</w:t>
      </w:r>
      <w:r>
        <w:t>.</w:t>
      </w:r>
      <w:r>
        <w:tab/>
        <w:t xml:space="preserve">Other amendments to various Acts </w:t>
      </w:r>
      <w:bookmarkEnd w:id="430"/>
      <w:bookmarkEnd w:id="431"/>
      <w:bookmarkEnd w:id="43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spacing w:before="60"/>
        <w:rPr>
          <w:snapToGrid w:val="0"/>
        </w:rPr>
      </w:pPr>
      <w:r>
        <w:rPr>
          <w:snapToGrid w:val="0"/>
        </w:rPr>
        <w:tab/>
        <w:t>Schedule 2 cl. 27 reads as follows:</w:t>
      </w:r>
    </w:p>
    <w:p>
      <w:pPr>
        <w:pStyle w:val="MiscOpen"/>
        <w:rPr>
          <w:snapToGrid w:val="0"/>
        </w:rPr>
      </w:pPr>
      <w:r>
        <w:rPr>
          <w:snapToGrid w:val="0"/>
        </w:rPr>
        <w:t>“</w:t>
      </w:r>
    </w:p>
    <w:p>
      <w:pPr>
        <w:pStyle w:val="nzHeading2"/>
        <w:spacing w:before="0"/>
      </w:pPr>
      <w:r>
        <w:rPr>
          <w:rStyle w:val="CharSchNo"/>
        </w:rPr>
        <w:t>Schedule 2</w:t>
      </w:r>
      <w:r>
        <w:t xml:space="preserve"> — </w:t>
      </w:r>
      <w:r>
        <w:rPr>
          <w:rStyle w:val="CharSchText"/>
        </w:rPr>
        <w:t xml:space="preserve">Other </w:t>
      </w:r>
      <w:del w:id="433" w:author="svcMRProcess" w:date="2015-11-01T20:29:00Z">
        <w:r>
          <w:rPr>
            <w:rStyle w:val="CharSchText"/>
          </w:rPr>
          <w:delText>Amendments</w:delText>
        </w:r>
      </w:del>
      <w:ins w:id="434" w:author="svcMRProcess" w:date="2015-11-01T20:29:00Z">
        <w:r>
          <w:rPr>
            <w:rStyle w:val="CharSchText"/>
          </w:rPr>
          <w:t>amendments</w:t>
        </w:r>
      </w:ins>
      <w:r>
        <w:rPr>
          <w:rStyle w:val="CharSchText"/>
        </w:rPr>
        <w:t xml:space="preserve"> to Acts</w:t>
      </w:r>
    </w:p>
    <w:p>
      <w:pPr>
        <w:pStyle w:val="nzHeading5"/>
        <w:spacing w:after="120"/>
      </w:pPr>
      <w:bookmarkStart w:id="435" w:name="_Toc491766732"/>
      <w:bookmarkStart w:id="436" w:name="_Toc497185855"/>
      <w:bookmarkStart w:id="437" w:name="_Toc88630749"/>
      <w:r>
        <w:t>27.</w:t>
      </w:r>
      <w:r>
        <w:tab/>
      </w:r>
      <w:r>
        <w:rPr>
          <w:i/>
        </w:rPr>
        <w:t>Licensed Surveyors Act 1909</w:t>
      </w:r>
      <w:bookmarkEnd w:id="435"/>
      <w:bookmarkEnd w:id="436"/>
      <w:bookmarkEnd w:id="437"/>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
        <w:gridCol w:w="4459"/>
      </w:tblGrid>
      <w:tr>
        <w:trPr>
          <w:cantSplit/>
        </w:trPr>
        <w:tc>
          <w:tcPr>
            <w:tcW w:w="1069" w:type="dxa"/>
          </w:tcPr>
          <w:p>
            <w:pPr>
              <w:pStyle w:val="nzTable"/>
            </w:pPr>
            <w:r>
              <w:t>s. 21(1b)</w:t>
            </w:r>
            <w:ins w:id="438" w:author="svcMRProcess" w:date="2015-11-01T20:29:00Z">
              <w:r>
                <w:rPr>
                  <w:rFonts w:ascii="Times" w:hAnsi="Times"/>
                  <w:vertAlign w:val="superscript"/>
                </w:rPr>
                <w:t> </w:t>
              </w:r>
              <w:r>
                <w:rPr>
                  <w:vertAlign w:val="superscript"/>
                </w:rPr>
                <w:t>7</w:t>
              </w:r>
            </w:ins>
          </w:p>
          <w:p>
            <w:pPr>
              <w:pStyle w:val="nzTable"/>
            </w:pPr>
            <w:r>
              <w:t>s. 21(1c)</w:t>
            </w:r>
            <w:ins w:id="439" w:author="svcMRProcess" w:date="2015-11-01T20:29:00Z">
              <w:r>
                <w:rPr>
                  <w:rFonts w:ascii="Times" w:hAnsi="Times"/>
                  <w:vertAlign w:val="superscript"/>
                </w:rPr>
                <w:t xml:space="preserve">  </w:t>
              </w:r>
              <w:r>
                <w:rPr>
                  <w:vertAlign w:val="superscript"/>
                </w:rPr>
                <w:t>7</w:t>
              </w:r>
            </w:ins>
          </w:p>
        </w:tc>
        <w:tc>
          <w:tcPr>
            <w:tcW w:w="4459" w:type="dxa"/>
          </w:tcPr>
          <w:p>
            <w:pPr>
              <w:pStyle w:val="nzTable"/>
            </w:pPr>
            <w:r>
              <w:t xml:space="preserve">In each provision, delete “a Local Court” and insert instead — </w:t>
            </w:r>
          </w:p>
          <w:p>
            <w:pPr>
              <w:pStyle w:val="nzTable"/>
            </w:pPr>
            <w:r>
              <w:t>“    the Magistrates Court    ”.</w:t>
            </w:r>
          </w:p>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069" w:type="dxa"/>
          </w:tcPr>
          <w:p>
            <w:pPr>
              <w:pStyle w:val="nzTable"/>
            </w:pPr>
            <w:r>
              <w:t>s. 21(1b)</w:t>
            </w:r>
            <w:ins w:id="440" w:author="svcMRProcess" w:date="2015-11-01T20:29:00Z">
              <w:r>
                <w:rPr>
                  <w:rFonts w:ascii="Times" w:hAnsi="Times"/>
                  <w:vertAlign w:val="superscript"/>
                </w:rPr>
                <w:t xml:space="preserve">  </w:t>
              </w:r>
              <w:r>
                <w:rPr>
                  <w:vertAlign w:val="superscript"/>
                </w:rPr>
                <w:t>7</w:t>
              </w:r>
            </w:ins>
          </w:p>
        </w:tc>
        <w:tc>
          <w:tcPr>
            <w:tcW w:w="4459" w:type="dxa"/>
          </w:tcPr>
          <w:p>
            <w:pPr>
              <w:pStyle w:val="nzTable"/>
            </w:pPr>
            <w:r>
              <w:t>Delete “the clerk of”.</w:t>
            </w:r>
          </w:p>
        </w:tc>
      </w:tr>
    </w:tbl>
    <w:p>
      <w:pPr>
        <w:pStyle w:val="MiscClose"/>
      </w:pPr>
      <w:r>
        <w:t>”.</w:t>
      </w:r>
    </w:p>
    <w:p>
      <w:pPr>
        <w:pStyle w:val="nSubsection"/>
        <w:rPr>
          <w:del w:id="441" w:author="svcMRProcess" w:date="2015-11-01T20:29:00Z"/>
          <w:snapToGrid w:val="0"/>
        </w:rPr>
      </w:pPr>
      <w:del w:id="442" w:author="svcMRProcess" w:date="2015-11-01T20:29:00Z">
        <w:r>
          <w:rPr>
            <w:vertAlign w:val="superscript"/>
          </w:rPr>
          <w:delText>5</w:delText>
        </w:r>
        <w:r>
          <w:tab/>
        </w:r>
        <w:r>
          <w:rPr>
            <w:snapToGrid w:val="0"/>
          </w:rPr>
          <w:delText>Footnote no longer applicable.</w:delText>
        </w:r>
      </w:del>
    </w:p>
    <w:p>
      <w:pPr>
        <w:pStyle w:val="nSubsection"/>
      </w:pPr>
      <w:del w:id="443" w:author="svcMRProcess" w:date="2015-11-01T20:29:00Z">
        <w:r>
          <w:rPr>
            <w:vertAlign w:val="superscript"/>
          </w:rPr>
          <w:delText>6</w:delText>
        </w:r>
      </w:del>
      <w:ins w:id="444" w:author="svcMRProcess" w:date="2015-11-01T20:29:00Z">
        <w:r>
          <w:rPr>
            <w:vertAlign w:val="superscript"/>
          </w:rPr>
          <w:t>7</w:t>
        </w:r>
      </w:ins>
      <w:r>
        <w:tab/>
        <w:t xml:space="preserve">The </w:t>
      </w:r>
      <w:ins w:id="445" w:author="svcMRProcess" w:date="2015-11-01T20:29:00Z">
        <w:r>
          <w:t xml:space="preserve">amendments to section 21(1b) and (1c) in the </w:t>
        </w:r>
        <w:r>
          <w:rPr>
            <w:i/>
            <w:iCs/>
          </w:rPr>
          <w:t>Courts Legislation Amendment and Repeal Act 2004</w:t>
        </w:r>
        <w:r>
          <w:t xml:space="preserve"> have not been proclaimed because those subsections were repealed by the </w:t>
        </w:r>
      </w:ins>
      <w:r>
        <w:rPr>
          <w:i/>
          <w:iCs/>
        </w:rPr>
        <w:t>State Administrative Tribunal (Conferral of Jurisdiction) Amendment and Repeal Act 2004</w:t>
      </w:r>
      <w:r>
        <w:t xml:space="preserve"> </w:t>
      </w:r>
      <w:del w:id="446" w:author="svcMRProcess" w:date="2015-11-01T20:29:00Z">
        <w:r>
          <w:delText xml:space="preserve">Pt. 5, the </w:delText>
        </w:r>
        <w:r>
          <w:rPr>
            <w:i/>
            <w:iCs/>
          </w:rPr>
          <w:delText>State Administration Tribunal Act 2004</w:delText>
        </w:r>
        <w:r>
          <w:delText xml:space="preserve"> </w:delText>
        </w:r>
      </w:del>
      <w:r>
        <w:t>s. </w:t>
      </w:r>
      <w:del w:id="447" w:author="svcMRProcess" w:date="2015-11-01T20:29:00Z">
        <w:r>
          <w:delText xml:space="preserve">167 and 169, and the </w:delText>
        </w:r>
        <w:r>
          <w:rPr>
            <w:i/>
            <w:iCs/>
          </w:rPr>
          <w:delText>State Administrative Tribunal Regulations 2004</w:delText>
        </w:r>
        <w:r>
          <w:rPr>
            <w:iCs/>
          </w:rPr>
          <w:delText xml:space="preserve"> r. 28 and 42 deal with certain transitional issues some of which may be relevant for this Act</w:delText>
        </w:r>
      </w:del>
      <w:ins w:id="448" w:author="svcMRProcess" w:date="2015-11-01T20:29:00Z">
        <w:r>
          <w:t>562</w:t>
        </w:r>
      </w:ins>
      <w:r>
        <w:t>.</w:t>
      </w:r>
    </w:p>
    <w:p>
      <w:pPr>
        <w:pStyle w:val="nSubsection"/>
        <w:rPr>
          <w:del w:id="449" w:author="svcMRProcess" w:date="2015-11-01T20:29:00Z"/>
        </w:rPr>
      </w:pPr>
      <w:del w:id="450" w:author="svcMRProcess" w:date="2015-11-01T20:29:00Z">
        <w:r>
          <w:rPr>
            <w:vertAlign w:val="superscript"/>
          </w:rPr>
          <w:delText>7</w:delText>
        </w:r>
        <w:r>
          <w:tab/>
          <w:delText xml:space="preserve">The </w:delText>
        </w:r>
        <w:r>
          <w:rPr>
            <w:snapToGrid w:val="0"/>
          </w:rPr>
          <w:delText xml:space="preserve">amendment in the </w:delText>
        </w:r>
        <w:r>
          <w:rPr>
            <w:i/>
            <w:iCs/>
            <w:snapToGrid w:val="0"/>
            <w:lang w:val="en-US"/>
          </w:rPr>
          <w:delText xml:space="preserve">Criminal Procedure and Appeals (Consequential and Other Provisions) Act 2004 </w:delText>
        </w:r>
        <w:r>
          <w:rPr>
            <w:snapToGrid w:val="0"/>
            <w:lang w:val="en-US"/>
          </w:rPr>
          <w:delText>s. 82 will not be included because of an error in the reference to the provision to be amended.</w:delText>
        </w:r>
      </w:del>
    </w:p>
    <w:p>
      <w:pPr>
        <w:rPr>
          <w:del w:id="451" w:author="svcMRProcess" w:date="2015-11-01T20:29: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Licensed Surveyors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Licensed Surveyors Act 1909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Licensed Surveyors Act 1909</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Licensed Surveyors Act 1909</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Licensed Surveyors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Licensed Surveyors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8CA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EC4C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D65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E4B1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D06E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F85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5EB5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2C0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16F1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C4DC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E6404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780A0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11859</Words>
  <Characters>57518</Characters>
  <Application>Microsoft Office Word</Application>
  <DocSecurity>0</DocSecurity>
  <Lines>1554</Lines>
  <Paragraphs>770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68607</CharactersWithSpaces>
  <SharedDoc>false</SharedDoc>
  <HLinks>
    <vt:vector size="12" baseType="variant">
      <vt:variant>
        <vt:i4>3014716</vt:i4>
      </vt:variant>
      <vt:variant>
        <vt:i4>4663</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04-e0-03 - 05-a0-02</dc:title>
  <dc:subject/>
  <dc:creator/>
  <cp:keywords/>
  <dc:description/>
  <cp:lastModifiedBy>svcMRProcess</cp:lastModifiedBy>
  <cp:revision>2</cp:revision>
  <cp:lastPrinted>2006-05-15T02:48:00Z</cp:lastPrinted>
  <dcterms:created xsi:type="dcterms:W3CDTF">2015-11-01T12:29:00Z</dcterms:created>
  <dcterms:modified xsi:type="dcterms:W3CDTF">2015-11-01T12:29:00Z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20060505</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FromSuffix">
    <vt:lpwstr>04-e0-03</vt:lpwstr>
  </property>
  <property fmtid="{D5CDD505-2E9C-101B-9397-08002B2CF9AE}" pid="8" name="FromAsAtDate">
    <vt:lpwstr>31 May 2005</vt:lpwstr>
  </property>
  <property fmtid="{D5CDD505-2E9C-101B-9397-08002B2CF9AE}" pid="9" name="ToSuffix">
    <vt:lpwstr>05-a0-02</vt:lpwstr>
  </property>
  <property fmtid="{D5CDD505-2E9C-101B-9397-08002B2CF9AE}" pid="10" name="ToAsAtDate">
    <vt:lpwstr>05 May 2006</vt:lpwstr>
  </property>
</Properties>
</file>