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26 Nov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215454995"/>
      <w:bookmarkStart w:id="9" w:name="_Toc21442322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15454996"/>
      <w:bookmarkStart w:id="20" w:name="_Toc2144232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215454997"/>
      <w:bookmarkStart w:id="22" w:name="_Toc214423223"/>
      <w:bookmarkStart w:id="23" w:name="_Toc90877309"/>
      <w:bookmarkStart w:id="24" w:name="_Toc121827274"/>
      <w:r>
        <w:rPr>
          <w:rStyle w:val="CharSectno"/>
        </w:rPr>
        <w:t>3</w:t>
      </w:r>
      <w:r>
        <w:t>.</w:t>
      </w:r>
      <w:r>
        <w:tab/>
        <w:t>Terms used in these regulations</w:t>
      </w:r>
      <w:bookmarkEnd w:id="21"/>
      <w:bookmarkEnd w:id="22"/>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5" w:name="_Toc215454998"/>
      <w:bookmarkStart w:id="26" w:name="_Toc214423224"/>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215454999"/>
      <w:bookmarkStart w:id="30" w:name="_Toc214423225"/>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31" w:name="_Toc90877311"/>
      <w:bookmarkStart w:id="32"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del w:id="33" w:author="Master Repository Process" w:date="2021-07-31T18:45:00Z">
        <w:r>
          <w:delText>.</w:delText>
        </w:r>
      </w:del>
      <w:ins w:id="34" w:author="Master Repository Process" w:date="2021-07-31T18:45:00Z">
        <w:r>
          <w:t>;</w:t>
        </w:r>
      </w:ins>
    </w:p>
    <w:p>
      <w:pPr>
        <w:pStyle w:val="Indenta"/>
        <w:rPr>
          <w:ins w:id="35" w:author="Master Repository Process" w:date="2021-07-31T18:45:00Z"/>
        </w:rPr>
      </w:pPr>
      <w:ins w:id="36" w:author="Master Repository Process" w:date="2021-07-31T18:45:00Z">
        <w:r>
          <w:tab/>
          <w:t>(h)</w:t>
        </w:r>
        <w:r>
          <w:tab/>
          <w:t xml:space="preserve">the </w:t>
        </w:r>
        <w:r>
          <w:rPr>
            <w:i/>
            <w:iCs/>
          </w:rPr>
          <w:t>Sexual Offences Act 2003</w:t>
        </w:r>
        <w:r>
          <w:t xml:space="preserve"> (United Kingdom).</w:t>
        </w:r>
      </w:ins>
    </w:p>
    <w:p>
      <w:pPr>
        <w:pStyle w:val="Footnotesection"/>
      </w:pPr>
      <w:r>
        <w:tab/>
        <w:t>[Regulation 5 amended in Gazette 8 Sep 2006 p. 3641; 22 Jun 2007 p. 2862; 28 Mar 2008 p. 914</w:t>
      </w:r>
      <w:ins w:id="37" w:author="Master Repository Process" w:date="2021-07-31T18:45:00Z">
        <w:r>
          <w:t>; 25 Nov 2008 p. 4990</w:t>
        </w:r>
      </w:ins>
      <w:r>
        <w:t>.]</w:t>
      </w:r>
    </w:p>
    <w:p>
      <w:pPr>
        <w:pStyle w:val="Heading5"/>
      </w:pPr>
      <w:bookmarkStart w:id="38" w:name="_Toc215455000"/>
      <w:bookmarkStart w:id="39" w:name="_Toc214423226"/>
      <w:r>
        <w:rPr>
          <w:rStyle w:val="CharSectno"/>
        </w:rPr>
        <w:t>6</w:t>
      </w:r>
      <w:r>
        <w:t>.</w:t>
      </w:r>
      <w:r>
        <w:tab/>
        <w:t>Corresponding offender reporting orders (s. 3)</w:t>
      </w:r>
      <w:bookmarkEnd w:id="31"/>
      <w:bookmarkEnd w:id="32"/>
      <w:bookmarkEnd w:id="38"/>
      <w:bookmarkEnd w:id="3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40" w:name="_Toc90877312"/>
      <w:bookmarkStart w:id="41"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42" w:name="_Toc215455001"/>
      <w:bookmarkStart w:id="43" w:name="_Toc214423227"/>
      <w:r>
        <w:rPr>
          <w:rStyle w:val="CharSectno"/>
        </w:rPr>
        <w:t>6A</w:t>
      </w:r>
      <w:r>
        <w:t>.</w:t>
      </w:r>
      <w:r>
        <w:tab/>
        <w:t>Sentences (s. 3)</w:t>
      </w:r>
      <w:bookmarkEnd w:id="42"/>
      <w:bookmarkEnd w:id="43"/>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44" w:name="_Toc215455002"/>
      <w:bookmarkStart w:id="45" w:name="_Toc214423228"/>
      <w:r>
        <w:rPr>
          <w:rStyle w:val="CharSectno"/>
        </w:rPr>
        <w:t>7</w:t>
      </w:r>
      <w:r>
        <w:t>.</w:t>
      </w:r>
      <w:r>
        <w:tab/>
        <w:t>Supervising authorities (s. 3)</w:t>
      </w:r>
      <w:bookmarkEnd w:id="40"/>
      <w:bookmarkEnd w:id="41"/>
      <w:bookmarkEnd w:id="44"/>
      <w:bookmarkEnd w:id="45"/>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46" w:name="_Toc90877313"/>
      <w:bookmarkStart w:id="47" w:name="_Toc121827278"/>
      <w:bookmarkStart w:id="48" w:name="_Toc215455003"/>
      <w:bookmarkStart w:id="49" w:name="_Toc214423229"/>
      <w:r>
        <w:rPr>
          <w:rStyle w:val="CharSectno"/>
        </w:rPr>
        <w:t>8</w:t>
      </w:r>
      <w:r>
        <w:t>.</w:t>
      </w:r>
      <w:r>
        <w:tab/>
        <w:t>Offences — relevance if committed by child (s. 6)</w:t>
      </w:r>
      <w:bookmarkEnd w:id="46"/>
      <w:bookmarkEnd w:id="47"/>
      <w:bookmarkEnd w:id="48"/>
      <w:bookmarkEnd w:id="49"/>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50" w:name="_Toc90877314"/>
      <w:bookmarkStart w:id="51" w:name="_Toc121827279"/>
      <w:bookmarkStart w:id="52" w:name="_Toc215455004"/>
      <w:bookmarkStart w:id="53" w:name="_Toc214423230"/>
      <w:r>
        <w:rPr>
          <w:rStyle w:val="CharSectno"/>
        </w:rPr>
        <w:t>9</w:t>
      </w:r>
      <w:r>
        <w:t>.</w:t>
      </w:r>
      <w:r>
        <w:tab/>
        <w:t>Foreign witness protection laws (s. 6 and 75)</w:t>
      </w:r>
      <w:bookmarkEnd w:id="50"/>
      <w:bookmarkEnd w:id="51"/>
      <w:bookmarkEnd w:id="52"/>
      <w:bookmarkEnd w:id="53"/>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54" w:name="_Toc90877315"/>
      <w:bookmarkStart w:id="55" w:name="_Toc121827280"/>
      <w:bookmarkStart w:id="56" w:name="_Toc215455005"/>
      <w:bookmarkStart w:id="57" w:name="_Toc214423231"/>
      <w:r>
        <w:rPr>
          <w:rStyle w:val="CharSectno"/>
        </w:rPr>
        <w:t>10</w:t>
      </w:r>
      <w:r>
        <w:t>.</w:t>
      </w:r>
      <w:r>
        <w:tab/>
        <w:t>Specified date for determining New South Wales reportable offenders (s. 8)</w:t>
      </w:r>
      <w:bookmarkEnd w:id="54"/>
      <w:bookmarkEnd w:id="55"/>
      <w:bookmarkEnd w:id="56"/>
      <w:bookmarkEnd w:id="57"/>
    </w:p>
    <w:p>
      <w:pPr>
        <w:pStyle w:val="Subsection"/>
      </w:pPr>
      <w:r>
        <w:tab/>
      </w:r>
      <w:r>
        <w:tab/>
        <w:t>For the purposes of section 8 of the Act, 1 February 2005 is specified.</w:t>
      </w:r>
    </w:p>
    <w:p>
      <w:pPr>
        <w:pStyle w:val="Heading5"/>
      </w:pPr>
      <w:bookmarkStart w:id="58" w:name="_Toc90877316"/>
      <w:bookmarkStart w:id="59" w:name="_Toc121827281"/>
      <w:bookmarkStart w:id="60" w:name="_Toc215455006"/>
      <w:bookmarkStart w:id="61" w:name="_Toc214423232"/>
      <w:r>
        <w:rPr>
          <w:rStyle w:val="CharSectno"/>
        </w:rPr>
        <w:t>11</w:t>
      </w:r>
      <w:r>
        <w:t>.</w:t>
      </w:r>
      <w:r>
        <w:tab/>
        <w:t>Class 2 offences (s. 11)</w:t>
      </w:r>
      <w:bookmarkEnd w:id="58"/>
      <w:bookmarkEnd w:id="59"/>
      <w:bookmarkEnd w:id="60"/>
      <w:bookmarkEnd w:id="61"/>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62" w:name="_Toc90877317"/>
      <w:bookmarkStart w:id="63" w:name="_Toc121827282"/>
      <w:bookmarkStart w:id="64" w:name="_Toc215455007"/>
      <w:bookmarkStart w:id="65" w:name="_Toc214423233"/>
      <w:r>
        <w:rPr>
          <w:rStyle w:val="CharSectno"/>
        </w:rPr>
        <w:t>12</w:t>
      </w:r>
      <w:r>
        <w:t>.</w:t>
      </w:r>
      <w:r>
        <w:tab/>
        <w:t>Means of contacting authorised person for certain persons entering Western Australia (s. 27)</w:t>
      </w:r>
      <w:bookmarkEnd w:id="62"/>
      <w:bookmarkEnd w:id="63"/>
      <w:bookmarkEnd w:id="64"/>
      <w:bookmarkEnd w:id="65"/>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6" w:name="_Toc90877318"/>
      <w:bookmarkStart w:id="67" w:name="_Toc121827283"/>
      <w:bookmarkStart w:id="68" w:name="_Toc215455008"/>
      <w:bookmarkStart w:id="69" w:name="_Toc214423234"/>
      <w:r>
        <w:rPr>
          <w:rStyle w:val="CharSectno"/>
        </w:rPr>
        <w:t>13</w:t>
      </w:r>
      <w:r>
        <w:t>.</w:t>
      </w:r>
      <w:r>
        <w:tab/>
        <w:t>Manner of reporting change of reportable offender’s travel plans while out of Western Australia (s. 31)</w:t>
      </w:r>
      <w:bookmarkEnd w:id="66"/>
      <w:bookmarkEnd w:id="67"/>
      <w:bookmarkEnd w:id="68"/>
      <w:bookmarkEnd w:id="69"/>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70" w:name="_Toc90877319"/>
      <w:bookmarkStart w:id="71" w:name="_Toc121827284"/>
      <w:bookmarkStart w:id="72" w:name="_Toc215455009"/>
      <w:bookmarkStart w:id="73" w:name="_Toc214423235"/>
      <w:r>
        <w:rPr>
          <w:rStyle w:val="CharSectno"/>
        </w:rPr>
        <w:t>14</w:t>
      </w:r>
      <w:r>
        <w:t>.</w:t>
      </w:r>
      <w:r>
        <w:tab/>
        <w:t>Directions as to police station or approved place at which reportable offender must report (s. 34)</w:t>
      </w:r>
      <w:bookmarkEnd w:id="70"/>
      <w:bookmarkEnd w:id="71"/>
      <w:bookmarkEnd w:id="72"/>
      <w:bookmarkEnd w:id="7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74" w:name="_Toc90877320"/>
      <w:bookmarkStart w:id="75" w:name="_Toc121827285"/>
      <w:bookmarkStart w:id="76" w:name="_Toc215455010"/>
      <w:bookmarkStart w:id="77" w:name="_Toc214423236"/>
      <w:r>
        <w:rPr>
          <w:rStyle w:val="CharSectno"/>
        </w:rPr>
        <w:t>15</w:t>
      </w:r>
      <w:r>
        <w:t>.</w:t>
      </w:r>
      <w:r>
        <w:tab/>
        <w:t>Form of identification for reporting in person (s. 38)</w:t>
      </w:r>
      <w:bookmarkEnd w:id="74"/>
      <w:bookmarkEnd w:id="75"/>
      <w:bookmarkEnd w:id="76"/>
      <w:bookmarkEnd w:id="77"/>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78" w:name="_Toc90877321"/>
      <w:bookmarkStart w:id="79" w:name="_Toc121827286"/>
      <w:bookmarkStart w:id="80" w:name="_Toc215455011"/>
      <w:bookmarkStart w:id="81" w:name="_Toc214423237"/>
      <w:r>
        <w:rPr>
          <w:rStyle w:val="CharSectno"/>
        </w:rPr>
        <w:t>16</w:t>
      </w:r>
      <w:r>
        <w:t>.</w:t>
      </w:r>
      <w:r>
        <w:tab/>
        <w:t>Prescribed distance — reporting by remote offenders (s. 43)</w:t>
      </w:r>
      <w:bookmarkEnd w:id="78"/>
      <w:bookmarkEnd w:id="79"/>
      <w:bookmarkEnd w:id="80"/>
      <w:bookmarkEnd w:id="81"/>
    </w:p>
    <w:p>
      <w:pPr>
        <w:pStyle w:val="Subsection"/>
      </w:pPr>
      <w:r>
        <w:tab/>
      </w:r>
      <w:r>
        <w:tab/>
        <w:t>For the purposes of section 43(1) of the Act, the prescribed distance is 100 km.</w:t>
      </w:r>
    </w:p>
    <w:p>
      <w:pPr>
        <w:pStyle w:val="Heading5"/>
      </w:pPr>
      <w:bookmarkStart w:id="82" w:name="_Toc90877322"/>
      <w:bookmarkStart w:id="83" w:name="_Toc121827287"/>
      <w:bookmarkStart w:id="84" w:name="_Toc215455012"/>
      <w:bookmarkStart w:id="85" w:name="_Toc214423238"/>
      <w:r>
        <w:rPr>
          <w:rStyle w:val="CharSectno"/>
        </w:rPr>
        <w:t>17</w:t>
      </w:r>
      <w:r>
        <w:t>.</w:t>
      </w:r>
      <w:r>
        <w:tab/>
        <w:t>Offences — approval by Commissioner of suspension of reporting obligations (s. 61)</w:t>
      </w:r>
      <w:bookmarkEnd w:id="82"/>
      <w:bookmarkEnd w:id="83"/>
      <w:bookmarkEnd w:id="84"/>
      <w:bookmarkEnd w:id="85"/>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86" w:name="_Toc90877323"/>
      <w:bookmarkStart w:id="87" w:name="_Toc121827288"/>
      <w:bookmarkStart w:id="88" w:name="_Toc215455013"/>
      <w:bookmarkStart w:id="89" w:name="_Toc214423239"/>
      <w:r>
        <w:rPr>
          <w:rStyle w:val="CharSectno"/>
        </w:rPr>
        <w:t>18</w:t>
      </w:r>
      <w:r>
        <w:t>.</w:t>
      </w:r>
      <w:r>
        <w:tab/>
        <w:t>Sentences — approval by Commissioner of suspension of reporting obligations (s. 61)</w:t>
      </w:r>
      <w:bookmarkEnd w:id="86"/>
      <w:bookmarkEnd w:id="87"/>
      <w:bookmarkEnd w:id="88"/>
      <w:bookmarkEnd w:id="8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90" w:name="_Toc90877324"/>
      <w:bookmarkStart w:id="91" w:name="_Toc121827289"/>
      <w:bookmarkStart w:id="92" w:name="_Toc215455014"/>
      <w:bookmarkStart w:id="93" w:name="_Toc214423240"/>
      <w:r>
        <w:rPr>
          <w:rStyle w:val="CharSectno"/>
        </w:rPr>
        <w:t>19</w:t>
      </w:r>
      <w:r>
        <w:t>.</w:t>
      </w:r>
      <w:r>
        <w:tab/>
        <w:t>Persons required to give notice of reporting obligations etc. to reportable offenders (s. 67)</w:t>
      </w:r>
      <w:bookmarkEnd w:id="90"/>
      <w:bookmarkEnd w:id="91"/>
      <w:bookmarkEnd w:id="92"/>
      <w:bookmarkEnd w:id="9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94" w:name="_Toc90877325"/>
      <w:bookmarkStart w:id="95" w:name="_Toc121827290"/>
      <w:r>
        <w:tab/>
        <w:t>[Regulation 19 amended in Gazette 1 Jun 2007 p. 2528.]</w:t>
      </w:r>
    </w:p>
    <w:p>
      <w:pPr>
        <w:pStyle w:val="Heading5"/>
      </w:pPr>
      <w:bookmarkStart w:id="96" w:name="_Toc215455015"/>
      <w:bookmarkStart w:id="97" w:name="_Toc214423241"/>
      <w:r>
        <w:rPr>
          <w:rStyle w:val="CharSectno"/>
        </w:rPr>
        <w:t>20</w:t>
      </w:r>
      <w:r>
        <w:t>.</w:t>
      </w:r>
      <w:r>
        <w:tab/>
        <w:t>Details to be included in notice given by supervising authority to Commissioner (s. 70)</w:t>
      </w:r>
      <w:bookmarkEnd w:id="94"/>
      <w:bookmarkEnd w:id="95"/>
      <w:bookmarkEnd w:id="96"/>
      <w:bookmarkEnd w:id="9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8" w:name="_Toc90877326"/>
      <w:bookmarkStart w:id="99" w:name="_Toc121827291"/>
      <w:bookmarkStart w:id="100" w:name="_Toc215455016"/>
      <w:bookmarkStart w:id="101" w:name="_Toc214423242"/>
      <w:r>
        <w:rPr>
          <w:rStyle w:val="CharSectno"/>
        </w:rPr>
        <w:t>21</w:t>
      </w:r>
      <w:r>
        <w:t>.</w:t>
      </w:r>
      <w:r>
        <w:tab/>
        <w:t>Corresponding prohibition orders (s. 85)</w:t>
      </w:r>
      <w:bookmarkEnd w:id="98"/>
      <w:bookmarkEnd w:id="99"/>
      <w:bookmarkEnd w:id="100"/>
      <w:bookmarkEnd w:id="101"/>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del w:id="102" w:author="Master Repository Process" w:date="2021-07-31T18:45:00Z">
        <w:r>
          <w:delText>.</w:delText>
        </w:r>
      </w:del>
      <w:ins w:id="103" w:author="Master Repository Process" w:date="2021-07-31T18:45:00Z">
        <w:r>
          <w:t>;</w:t>
        </w:r>
      </w:ins>
    </w:p>
    <w:p>
      <w:pPr>
        <w:pStyle w:val="Indenta"/>
        <w:rPr>
          <w:ins w:id="104" w:author="Master Repository Process" w:date="2021-07-31T18:45:00Z"/>
        </w:rPr>
      </w:pPr>
      <w:ins w:id="105" w:author="Master Repository Process" w:date="2021-07-31T18:45:00Z">
        <w:r>
          <w:tab/>
          <w:t>(d)</w:t>
        </w:r>
        <w:r>
          <w:tab/>
          <w:t xml:space="preserve">a sexual offences prevention order made under the </w:t>
        </w:r>
        <w:r>
          <w:rPr>
            <w:i/>
            <w:iCs/>
          </w:rPr>
          <w:t>Sexual Offences Act 2003</w:t>
        </w:r>
        <w:r>
          <w:t xml:space="preserve"> (United Kingdom) section 104 or 105.</w:t>
        </w:r>
      </w:ins>
    </w:p>
    <w:p>
      <w:pPr>
        <w:pStyle w:val="Footnotesection"/>
      </w:pPr>
      <w:r>
        <w:tab/>
        <w:t>[Regulation 21 amended in Gazette 14 Nov 2008 p. 4878</w:t>
      </w:r>
      <w:ins w:id="106" w:author="Master Repository Process" w:date="2021-07-31T18:45:00Z">
        <w:r>
          <w:t>; 25 Nov 2008 p. 4990</w:t>
        </w:r>
      </w:ins>
      <w:r>
        <w:t>.]</w:t>
      </w:r>
    </w:p>
    <w:p>
      <w:pPr>
        <w:pStyle w:val="Heading5"/>
      </w:pPr>
      <w:bookmarkStart w:id="107" w:name="_Toc215455017"/>
      <w:bookmarkStart w:id="108" w:name="_Toc214423243"/>
      <w:r>
        <w:rPr>
          <w:rStyle w:val="CharSectno"/>
        </w:rPr>
        <w:t>22</w:t>
      </w:r>
      <w:r>
        <w:t>.</w:t>
      </w:r>
      <w:r>
        <w:tab/>
        <w:t>Application for recognition of corresponding prohibition orders (s. 108(2)(a))</w:t>
      </w:r>
      <w:bookmarkEnd w:id="107"/>
      <w:bookmarkEnd w:id="108"/>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09" w:name="_Toc215455018"/>
      <w:bookmarkStart w:id="110" w:name="_Toc214423244"/>
      <w:r>
        <w:rPr>
          <w:rStyle w:val="CharSectno"/>
        </w:rPr>
        <w:t>23</w:t>
      </w:r>
      <w:r>
        <w:t>.</w:t>
      </w:r>
      <w:r>
        <w:tab/>
        <w:t>Recognition of corresponding prohibition orders (s. 108(2)(b))</w:t>
      </w:r>
      <w:bookmarkEnd w:id="109"/>
      <w:bookmarkEnd w:id="110"/>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11" w:name="_Toc215455019"/>
      <w:bookmarkStart w:id="112" w:name="_Toc214423245"/>
      <w:r>
        <w:rPr>
          <w:rStyle w:val="CharSectno"/>
        </w:rPr>
        <w:t>24</w:t>
      </w:r>
      <w:r>
        <w:t>.</w:t>
      </w:r>
      <w:r>
        <w:tab/>
        <w:t>Effect of recognition of corresponding prohibition orders (s. 108(2)(d))</w:t>
      </w:r>
      <w:bookmarkEnd w:id="111"/>
      <w:bookmarkEnd w:id="112"/>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13" w:name="_Toc215455020"/>
      <w:bookmarkStart w:id="114" w:name="_Toc214423246"/>
      <w:r>
        <w:rPr>
          <w:rStyle w:val="CharSectno"/>
        </w:rPr>
        <w:t>25</w:t>
      </w:r>
      <w:r>
        <w:t>.</w:t>
      </w:r>
      <w:r>
        <w:tab/>
        <w:t>Variation or revocation of recognised order in a foreign jurisdiction</w:t>
      </w:r>
      <w:bookmarkEnd w:id="113"/>
      <w:bookmarkEnd w:id="114"/>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15" w:name="_Toc215455021"/>
      <w:bookmarkStart w:id="116" w:name="_Toc214423247"/>
      <w:r>
        <w:rPr>
          <w:rStyle w:val="CharSectno"/>
        </w:rPr>
        <w:t>26</w:t>
      </w:r>
      <w:r>
        <w:t>.</w:t>
      </w:r>
      <w:r>
        <w:tab/>
        <w:t>Forms</w:t>
      </w:r>
      <w:bookmarkEnd w:id="115"/>
      <w:bookmarkEnd w:id="116"/>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7" w:name="_Toc121827293"/>
      <w:bookmarkStart w:id="118" w:name="_Toc145395849"/>
      <w:bookmarkStart w:id="119" w:name="_Toc145471972"/>
      <w:bookmarkStart w:id="120" w:name="_Toc168375090"/>
      <w:bookmarkStart w:id="121" w:name="_Toc168383354"/>
      <w:bookmarkStart w:id="122" w:name="_Toc170269739"/>
      <w:bookmarkStart w:id="123" w:name="_Toc173301893"/>
      <w:bookmarkStart w:id="124" w:name="_Toc173302116"/>
      <w:bookmarkStart w:id="125" w:name="_Toc173899078"/>
      <w:bookmarkStart w:id="126" w:name="_Toc175544696"/>
      <w:bookmarkStart w:id="127" w:name="_Toc177962645"/>
      <w:bookmarkStart w:id="128" w:name="_Toc178497954"/>
      <w:bookmarkStart w:id="129" w:name="_Toc178497988"/>
      <w:bookmarkStart w:id="130" w:name="_Toc179858750"/>
      <w:bookmarkStart w:id="131" w:name="_Toc179858968"/>
      <w:bookmarkStart w:id="132" w:name="_Toc179859001"/>
      <w:bookmarkStart w:id="133" w:name="_Toc194459398"/>
      <w:bookmarkStart w:id="134" w:name="_Toc204583648"/>
      <w:bookmarkStart w:id="135" w:name="_Toc214423248"/>
      <w:bookmarkStart w:id="136" w:name="_Toc215455022"/>
      <w:bookmarkStart w:id="137" w:name="_Toc93212204"/>
      <w:r>
        <w:rPr>
          <w:rStyle w:val="CharSchNo"/>
        </w:rPr>
        <w:t>Schedule 1</w:t>
      </w:r>
      <w:r>
        <w:rPr>
          <w:rStyle w:val="CharSDivNo"/>
        </w:rPr>
        <w:t> </w:t>
      </w:r>
      <w:r>
        <w:t>—</w:t>
      </w:r>
      <w:r>
        <w:rPr>
          <w:rStyle w:val="CharSDivText"/>
        </w:rPr>
        <w:t> </w:t>
      </w:r>
      <w:r>
        <w:rPr>
          <w:rStyle w:val="CharSchText"/>
        </w:rPr>
        <w:t>Forms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26]</w:t>
      </w:r>
    </w:p>
    <w:p>
      <w:pPr>
        <w:pStyle w:val="yFootnotesection"/>
      </w:pPr>
      <w:r>
        <w:tab/>
        <w:t>[Heading inserted in Gazette 9 Dec 2005 p. 5888; amended in Gazette 1 Jun 2007 p. 2528.]</w:t>
      </w:r>
    </w:p>
    <w:p>
      <w:pPr>
        <w:pStyle w:val="yHeading5"/>
      </w:pPr>
      <w:bookmarkStart w:id="138" w:name="_Toc121827294"/>
      <w:bookmarkStart w:id="139" w:name="_Toc175544697"/>
      <w:bookmarkStart w:id="140" w:name="_Toc215455023"/>
      <w:bookmarkStart w:id="141" w:name="_Toc214423249"/>
      <w:r>
        <w:rPr>
          <w:rStyle w:val="CharSClsNo"/>
        </w:rPr>
        <w:t>1</w:t>
      </w:r>
      <w:r>
        <w:t>.</w:t>
      </w:r>
      <w:r>
        <w:tab/>
        <w:t>Summons: Application for order</w:t>
      </w:r>
      <w:bookmarkEnd w:id="138"/>
      <w:bookmarkEnd w:id="139"/>
      <w:bookmarkEnd w:id="140"/>
      <w:bookmarkEnd w:id="141"/>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42" w:name="_Toc121827295"/>
      <w:bookmarkStart w:id="143" w:name="_Toc175544698"/>
      <w:bookmarkStart w:id="144" w:name="_Toc215455024"/>
      <w:bookmarkStart w:id="145" w:name="_Toc214423250"/>
      <w:r>
        <w:rPr>
          <w:rStyle w:val="CharSClsNo"/>
        </w:rPr>
        <w:t>2</w:t>
      </w:r>
      <w:r>
        <w:t>.</w:t>
      </w:r>
      <w:r>
        <w:tab/>
        <w:t>Summons: Further hearing after interim order</w:t>
      </w:r>
      <w:bookmarkEnd w:id="142"/>
      <w:bookmarkEnd w:id="143"/>
      <w:bookmarkEnd w:id="144"/>
      <w:bookmarkEnd w:id="14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46" w:name="_Toc121827296"/>
      <w:bookmarkStart w:id="147" w:name="_Toc175544699"/>
      <w:bookmarkStart w:id="148" w:name="_Toc215455025"/>
      <w:bookmarkStart w:id="149" w:name="_Toc214423251"/>
      <w:r>
        <w:rPr>
          <w:rStyle w:val="CharSClsNo"/>
        </w:rPr>
        <w:t>3</w:t>
      </w:r>
      <w:r>
        <w:t>.</w:t>
      </w:r>
      <w:r>
        <w:tab/>
        <w:t>Summons: Application to vary or revoke child</w:t>
      </w:r>
      <w:bookmarkEnd w:id="146"/>
      <w:r>
        <w:t xml:space="preserve"> </w:t>
      </w:r>
      <w:bookmarkStart w:id="150" w:name="_Toc121827297"/>
      <w:r>
        <w:t>protection prohibition order</w:t>
      </w:r>
      <w:bookmarkEnd w:id="147"/>
      <w:bookmarkEnd w:id="148"/>
      <w:bookmarkEnd w:id="150"/>
      <w:bookmarkEnd w:id="149"/>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51" w:name="_Toc121813512"/>
      <w:bookmarkStart w:id="152" w:name="_Toc121827298"/>
      <w:bookmarkStart w:id="153" w:name="_Toc145395850"/>
      <w:bookmarkStart w:id="154" w:name="_Toc145471973"/>
      <w:bookmarkStart w:id="155" w:name="_Toc168375091"/>
      <w:bookmarkStart w:id="156" w:name="_Toc168383355"/>
      <w:bookmarkStart w:id="157" w:name="_Toc170269740"/>
      <w:bookmarkStart w:id="158" w:name="_Toc173301897"/>
      <w:bookmarkStart w:id="159" w:name="_Toc173302120"/>
      <w:bookmarkStart w:id="160" w:name="_Toc173899082"/>
      <w:bookmarkStart w:id="161" w:name="_Toc175544700"/>
      <w:bookmarkStart w:id="162" w:name="_Toc177962649"/>
      <w:bookmarkStart w:id="163" w:name="_Toc178497958"/>
      <w:bookmarkStart w:id="164" w:name="_Toc178497992"/>
      <w:bookmarkStart w:id="165" w:name="_Toc179858754"/>
      <w:bookmarkStart w:id="166" w:name="_Toc179858972"/>
      <w:bookmarkStart w:id="167" w:name="_Toc179859005"/>
      <w:bookmarkStart w:id="168" w:name="_Toc194459402"/>
      <w:bookmarkStart w:id="169" w:name="_Toc204583652"/>
      <w:bookmarkStart w:id="170" w:name="_Toc214423252"/>
      <w:bookmarkStart w:id="171" w:name="_Toc215455026"/>
      <w:r>
        <w:t>Notes</w:t>
      </w:r>
      <w:bookmarkEnd w:id="137"/>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72" w:name="_Toc215455027"/>
      <w:bookmarkStart w:id="173" w:name="_Toc214423253"/>
      <w: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w:t>
            </w:r>
            <w:r>
              <w:t> </w:t>
            </w:r>
            <w:r>
              <w:rPr>
                <w:sz w:val="19"/>
              </w:rPr>
              <w:t>r. 2(a));</w:t>
            </w:r>
          </w:p>
          <w:p>
            <w:pPr>
              <w:pStyle w:val="nTable"/>
              <w:spacing w:before="0" w:after="40"/>
              <w:rPr>
                <w:sz w:val="19"/>
              </w:rPr>
            </w:pPr>
            <w:r>
              <w:rPr>
                <w:sz w:val="19"/>
              </w:rP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w:t>
            </w:r>
            <w:r>
              <w:t> </w:t>
            </w:r>
            <w:r>
              <w:rPr>
                <w:sz w:val="19"/>
              </w:rPr>
              <w:t>r. 2(a));</w:t>
            </w:r>
            <w:r>
              <w:rPr>
                <w:sz w:val="19"/>
              </w:rPr>
              <w:br/>
              <w:t>Regulations other than r. 1 and 2: 15 Nov 2008 (see r. 2(b))</w:t>
            </w:r>
          </w:p>
        </w:tc>
      </w:tr>
      <w:tr>
        <w:trPr>
          <w:ins w:id="174" w:author="Master Repository Process" w:date="2021-07-31T18:45:00Z"/>
        </w:trPr>
        <w:tc>
          <w:tcPr>
            <w:tcW w:w="3118" w:type="dxa"/>
            <w:tcBorders>
              <w:bottom w:val="single" w:sz="4" w:space="0" w:color="auto"/>
            </w:tcBorders>
          </w:tcPr>
          <w:p>
            <w:pPr>
              <w:pStyle w:val="nTable"/>
              <w:spacing w:after="40"/>
              <w:rPr>
                <w:ins w:id="175" w:author="Master Repository Process" w:date="2021-07-31T18:45:00Z"/>
                <w:i/>
                <w:noProof/>
                <w:snapToGrid w:val="0"/>
                <w:sz w:val="19"/>
              </w:rPr>
            </w:pPr>
            <w:ins w:id="176" w:author="Master Repository Process" w:date="2021-07-31T18:45:00Z">
              <w:r>
                <w:rPr>
                  <w:i/>
                  <w:noProof/>
                  <w:snapToGrid w:val="0"/>
                  <w:sz w:val="19"/>
                </w:rPr>
                <w:t>Community Protection (Offender Reporting) Amendment Regulations (No. 3) 2008</w:t>
              </w:r>
            </w:ins>
          </w:p>
        </w:tc>
        <w:tc>
          <w:tcPr>
            <w:tcW w:w="1276" w:type="dxa"/>
            <w:tcBorders>
              <w:bottom w:val="single" w:sz="4" w:space="0" w:color="auto"/>
            </w:tcBorders>
          </w:tcPr>
          <w:p>
            <w:pPr>
              <w:pStyle w:val="nTable"/>
              <w:spacing w:after="40"/>
              <w:rPr>
                <w:ins w:id="177" w:author="Master Repository Process" w:date="2021-07-31T18:45:00Z"/>
                <w:sz w:val="19"/>
              </w:rPr>
            </w:pPr>
            <w:ins w:id="178" w:author="Master Repository Process" w:date="2021-07-31T18:45:00Z">
              <w:r>
                <w:rPr>
                  <w:sz w:val="19"/>
                </w:rPr>
                <w:t>25 Nov 2008 p. 4989-90</w:t>
              </w:r>
            </w:ins>
          </w:p>
        </w:tc>
        <w:tc>
          <w:tcPr>
            <w:tcW w:w="2693" w:type="dxa"/>
            <w:tcBorders>
              <w:bottom w:val="single" w:sz="4" w:space="0" w:color="auto"/>
            </w:tcBorders>
          </w:tcPr>
          <w:p>
            <w:pPr>
              <w:pStyle w:val="nTable"/>
              <w:spacing w:after="40"/>
              <w:rPr>
                <w:ins w:id="179" w:author="Master Repository Process" w:date="2021-07-31T18:45:00Z"/>
                <w:sz w:val="19"/>
              </w:rPr>
            </w:pPr>
            <w:ins w:id="180" w:author="Master Repository Process" w:date="2021-07-31T18:45:00Z">
              <w:r>
                <w:rPr>
                  <w:sz w:val="19"/>
                </w:rPr>
                <w:t>r. 1 and 2: 25 Nov 2008 (see</w:t>
              </w:r>
              <w:r>
                <w:t> </w:t>
              </w:r>
              <w:r>
                <w:rPr>
                  <w:sz w:val="19"/>
                </w:rPr>
                <w:t>r. 2(a));</w:t>
              </w:r>
              <w:r>
                <w:rPr>
                  <w:sz w:val="19"/>
                </w:rPr>
                <w:br/>
                <w:t>Regulations other than r. 1 and 2: 26 Nov 2008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51"/>
    <w:docVar w:name="WAFER_20151208100051" w:val="RemoveTrackChanges"/>
    <w:docVar w:name="WAFER_20151208100051_GUID" w:val="f0753024-f680-4e25-b919-d140e4aa0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BD23AA-B926-423D-891D-041A0261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4514</Words>
  <Characters>23433</Characters>
  <Application>Microsoft Office Word</Application>
  <DocSecurity>0</DocSecurity>
  <Lines>781</Lines>
  <Paragraphs>490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01-c0-01 - 01-d0-02</dc:title>
  <dc:subject/>
  <dc:creator/>
  <cp:keywords/>
  <dc:description/>
  <cp:lastModifiedBy>Master Repository Process</cp:lastModifiedBy>
  <cp:revision>2</cp:revision>
  <cp:lastPrinted>2007-09-19T03:15:00Z</cp:lastPrinted>
  <dcterms:created xsi:type="dcterms:W3CDTF">2021-07-31T10:45:00Z</dcterms:created>
  <dcterms:modified xsi:type="dcterms:W3CDTF">2021-07-31T10:45:00Z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20081126</vt:lpwstr>
  </property>
  <property fmtid="{D5CDD505-2E9C-101B-9397-08002B2CF9AE}" pid="4" name="DocumentType">
    <vt:lpwstr>Reg</vt:lpwstr>
  </property>
  <property fmtid="{D5CDD505-2E9C-101B-9397-08002B2CF9AE}" pid="5" name="OwlsUID">
    <vt:i4>37311</vt:i4>
  </property>
  <property fmtid="{D5CDD505-2E9C-101B-9397-08002B2CF9AE}" pid="6" name="ReprintNo">
    <vt:lpwstr>1</vt:lpwstr>
  </property>
  <property fmtid="{D5CDD505-2E9C-101B-9397-08002B2CF9AE}" pid="7" name="ReprintedAsAt">
    <vt:filetime>2007-09-20T16:00:00Z</vt:filetime>
  </property>
  <property fmtid="{D5CDD505-2E9C-101B-9397-08002B2CF9AE}" pid="8" name="FromSuffix">
    <vt:lpwstr>01-c0-01</vt:lpwstr>
  </property>
  <property fmtid="{D5CDD505-2E9C-101B-9397-08002B2CF9AE}" pid="9" name="FromAsAtDate">
    <vt:lpwstr>15 Nov 2008</vt:lpwstr>
  </property>
  <property fmtid="{D5CDD505-2E9C-101B-9397-08002B2CF9AE}" pid="10" name="ToSuffix">
    <vt:lpwstr>01-d0-02</vt:lpwstr>
  </property>
  <property fmtid="{D5CDD505-2E9C-101B-9397-08002B2CF9AE}" pid="11" name="ToAsAtDate">
    <vt:lpwstr>26 Nov 2008</vt:lpwstr>
  </property>
</Properties>
</file>