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04-b0-05</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4:47:00Z"/>
        </w:trPr>
        <w:tc>
          <w:tcPr>
            <w:tcW w:w="2434" w:type="dxa"/>
            <w:vMerge w:val="restart"/>
          </w:tcPr>
          <w:p>
            <w:pPr>
              <w:rPr>
                <w:del w:id="1" w:author="svcMRProcess" w:date="2018-09-04T14:47:00Z"/>
              </w:rPr>
            </w:pPr>
          </w:p>
        </w:tc>
        <w:tc>
          <w:tcPr>
            <w:tcW w:w="2434" w:type="dxa"/>
            <w:vMerge w:val="restart"/>
          </w:tcPr>
          <w:p>
            <w:pPr>
              <w:jc w:val="center"/>
              <w:rPr>
                <w:del w:id="2" w:author="svcMRProcess" w:date="2018-09-04T14:47:00Z"/>
              </w:rPr>
            </w:pPr>
            <w:del w:id="3" w:author="svcMRProcess" w:date="2018-09-04T14:4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14:47:00Z"/>
              </w:rPr>
            </w:pPr>
          </w:p>
        </w:tc>
      </w:tr>
      <w:tr>
        <w:trPr>
          <w:cantSplit/>
          <w:del w:id="5" w:author="svcMRProcess" w:date="2018-09-04T14:47:00Z"/>
        </w:trPr>
        <w:tc>
          <w:tcPr>
            <w:tcW w:w="2434" w:type="dxa"/>
            <w:vMerge/>
          </w:tcPr>
          <w:p>
            <w:pPr>
              <w:rPr>
                <w:del w:id="6" w:author="svcMRProcess" w:date="2018-09-04T14:47:00Z"/>
              </w:rPr>
            </w:pPr>
          </w:p>
        </w:tc>
        <w:tc>
          <w:tcPr>
            <w:tcW w:w="2434" w:type="dxa"/>
            <w:vMerge/>
          </w:tcPr>
          <w:p>
            <w:pPr>
              <w:jc w:val="center"/>
              <w:rPr>
                <w:del w:id="7" w:author="svcMRProcess" w:date="2018-09-04T14:47:00Z"/>
              </w:rPr>
            </w:pPr>
          </w:p>
        </w:tc>
        <w:tc>
          <w:tcPr>
            <w:tcW w:w="2434" w:type="dxa"/>
          </w:tcPr>
          <w:p>
            <w:pPr>
              <w:keepNext/>
              <w:rPr>
                <w:del w:id="8" w:author="svcMRProcess" w:date="2018-09-04T14:47:00Z"/>
                <w:b/>
                <w:sz w:val="22"/>
              </w:rPr>
            </w:pPr>
            <w:del w:id="9" w:author="svcMRProcess" w:date="2018-09-04T14:47:00Z">
              <w:r>
                <w:rPr>
                  <w:b/>
                  <w:sz w:val="22"/>
                </w:rPr>
                <w:delText xml:space="preserve">Reprinted under the </w:delText>
              </w:r>
              <w:r>
                <w:rPr>
                  <w:b/>
                  <w:i/>
                  <w:sz w:val="22"/>
                </w:rPr>
                <w:delText>Reprints Act 1984</w:delText>
              </w:r>
              <w:r>
                <w:rPr>
                  <w:b/>
                  <w:sz w:val="22"/>
                </w:rPr>
                <w:delText xml:space="preserve"> as at 1</w:delText>
              </w:r>
              <w:r>
                <w:rPr>
                  <w:b/>
                  <w:snapToGrid w:val="0"/>
                  <w:sz w:val="22"/>
                </w:rPr>
                <w:delText xml:space="preserve"> September 2006</w:delText>
              </w:r>
            </w:del>
          </w:p>
        </w:tc>
      </w:tr>
    </w:tbl>
    <w:p>
      <w:pPr>
        <w:pStyle w:val="WA"/>
        <w:spacing w:before="120"/>
      </w:pPr>
      <w:r>
        <w:t>Western Australia</w:t>
      </w:r>
    </w:p>
    <w:p>
      <w:pPr>
        <w:pStyle w:val="NameofActReg"/>
        <w:spacing w:before="840" w:after="840"/>
      </w:pPr>
      <w:r>
        <w:t xml:space="preserve">Long Service Leave Act 1958 </w:t>
      </w:r>
    </w:p>
    <w:p>
      <w:pPr>
        <w:pStyle w:val="LongTitle"/>
        <w:rPr>
          <w:snapToGrid w:val="0"/>
        </w:rPr>
      </w:pPr>
      <w:r>
        <w:rPr>
          <w:snapToGrid w:val="0"/>
        </w:rPr>
        <w:t>A</w:t>
      </w:r>
      <w:bookmarkStart w:id="10" w:name="_GoBack"/>
      <w:bookmarkEnd w:id="10"/>
      <w:r>
        <w:rPr>
          <w:snapToGrid w:val="0"/>
        </w:rPr>
        <w:t xml:space="preserve">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11" w:name="_Toc89155436"/>
      <w:bookmarkStart w:id="12" w:name="_Toc89155473"/>
      <w:bookmarkStart w:id="13" w:name="_Toc89508250"/>
      <w:bookmarkStart w:id="14" w:name="_Toc102384927"/>
      <w:bookmarkStart w:id="15" w:name="_Toc139862954"/>
      <w:bookmarkStart w:id="16" w:name="_Toc140027976"/>
      <w:bookmarkStart w:id="17" w:name="_Toc142711157"/>
      <w:bookmarkStart w:id="18" w:name="_Toc142715179"/>
      <w:bookmarkStart w:id="19" w:name="_Toc144096971"/>
      <w:bookmarkStart w:id="20" w:name="_Toc145990791"/>
      <w:bookmarkStart w:id="21" w:name="_Toc199752907"/>
      <w:r>
        <w:rPr>
          <w:rStyle w:val="CharPartNo"/>
        </w:rPr>
        <w:lastRenderedPageBreak/>
        <w:t>Part I</w:t>
      </w:r>
      <w:r>
        <w:rPr>
          <w:rStyle w:val="CharDivNo"/>
        </w:rPr>
        <w:t> </w:t>
      </w:r>
      <w:r>
        <w:t>—</w:t>
      </w:r>
      <w:r>
        <w:rPr>
          <w:rStyle w:val="CharDivText"/>
        </w:rPr>
        <w:t> </w:t>
      </w:r>
      <w:r>
        <w:rPr>
          <w:rStyle w:val="CharPartText"/>
        </w:rPr>
        <w:t>Preliminary provisions</w:t>
      </w:r>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1314612"/>
      <w:bookmarkStart w:id="23" w:name="_Toc38865844"/>
      <w:bookmarkStart w:id="24" w:name="_Toc102384928"/>
      <w:bookmarkStart w:id="25" w:name="_Toc199752908"/>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26" w:name="_Toc411314613"/>
      <w:bookmarkStart w:id="27" w:name="_Toc38865845"/>
      <w:bookmarkStart w:id="28" w:name="_Toc102384929"/>
      <w:bookmarkStart w:id="29" w:name="_Toc199752909"/>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Repealed by No. 44 of 1991 s. 10.] </w:t>
      </w:r>
    </w:p>
    <w:p>
      <w:pPr>
        <w:pStyle w:val="Heading2"/>
      </w:pPr>
      <w:bookmarkStart w:id="30" w:name="_Toc89155439"/>
      <w:bookmarkStart w:id="31" w:name="_Toc89155476"/>
      <w:bookmarkStart w:id="32" w:name="_Toc89508253"/>
      <w:bookmarkStart w:id="33" w:name="_Toc102384930"/>
      <w:bookmarkStart w:id="34" w:name="_Toc139862957"/>
      <w:bookmarkStart w:id="35" w:name="_Toc140027979"/>
      <w:bookmarkStart w:id="36" w:name="_Toc142711160"/>
      <w:bookmarkStart w:id="37" w:name="_Toc142715182"/>
      <w:bookmarkStart w:id="38" w:name="_Toc144096974"/>
      <w:bookmarkStart w:id="39" w:name="_Toc145990794"/>
      <w:bookmarkStart w:id="40" w:name="_Toc199752910"/>
      <w:r>
        <w:rPr>
          <w:rStyle w:val="CharPartNo"/>
        </w:rPr>
        <w:lastRenderedPageBreak/>
        <w:t>Part II</w:t>
      </w:r>
      <w:r>
        <w:rPr>
          <w:rStyle w:val="CharDivNo"/>
        </w:rPr>
        <w:t> </w:t>
      </w:r>
      <w:r>
        <w:t>—</w:t>
      </w:r>
      <w:r>
        <w:rPr>
          <w:rStyle w:val="CharDivText"/>
        </w:rPr>
        <w:t> </w:t>
      </w:r>
      <w:r>
        <w:rPr>
          <w:rStyle w:val="CharPartText"/>
        </w:rPr>
        <w:t>Construction and application of this Act</w:t>
      </w:r>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11314614"/>
      <w:bookmarkStart w:id="42" w:name="_Toc38865846"/>
      <w:bookmarkStart w:id="43" w:name="_Toc102384931"/>
      <w:bookmarkStart w:id="44" w:name="_Toc199752911"/>
      <w:r>
        <w:rPr>
          <w:rStyle w:val="CharSectno"/>
        </w:rPr>
        <w:t>4</w:t>
      </w:r>
      <w:r>
        <w:rPr>
          <w:snapToGrid w:val="0"/>
        </w:rPr>
        <w:t>.</w:t>
      </w:r>
      <w:r>
        <w:rPr>
          <w:snapToGrid w:val="0"/>
        </w:rPr>
        <w:tab/>
        <w:t>Interpretation</w:t>
      </w:r>
      <w:bookmarkEnd w:id="41"/>
      <w:bookmarkEnd w:id="42"/>
      <w:bookmarkEnd w:id="43"/>
      <w:bookmarkEnd w:id="44"/>
    </w:p>
    <w:p>
      <w:pPr>
        <w:pStyle w:val="Subsection"/>
        <w:rPr>
          <w:snapToGrid w:val="0"/>
        </w:rPr>
      </w:pPr>
      <w:r>
        <w:rPr>
          <w:snapToGrid w:val="0"/>
        </w:rPr>
        <w:tab/>
        <w:t>(1)</w:t>
      </w:r>
      <w:r>
        <w:rPr>
          <w:snapToGrid w:val="0"/>
        </w:rPr>
        <w:tab/>
        <w:t xml:space="preserve">In this Act unless the context requires otherwise — </w:t>
      </w:r>
    </w:p>
    <w:p>
      <w:pPr>
        <w:pStyle w:val="Defstart"/>
      </w:pPr>
      <w:r>
        <w:rPr>
          <w:b/>
        </w:rPr>
        <w:tab/>
      </w:r>
      <w:r>
        <w:rPr>
          <w:rStyle w:val="CharDefText"/>
        </w:rPr>
        <w:t>apprentice</w:t>
      </w:r>
      <w:r>
        <w:t xml:space="preserve"> means an apprentice under the </w:t>
      </w:r>
      <w:r>
        <w:rPr>
          <w:i/>
        </w:rPr>
        <w:t>Industrial Training Act 1975</w:t>
      </w:r>
      <w:r>
        <w:t>;</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 or industrial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pPr>
      <w:r>
        <w:rPr>
          <w:b/>
        </w:rPr>
        <w:tab/>
      </w:r>
      <w:r>
        <w:rPr>
          <w:rStyle w:val="CharDefText"/>
        </w:rPr>
        <w:t>industrial trainee</w:t>
      </w:r>
      <w:r>
        <w:t xml:space="preserve"> means an industrial trainee under the </w:t>
      </w:r>
      <w:r>
        <w:rPr>
          <w:i/>
        </w:rPr>
        <w:t>Industrial Training Act 1975</w:t>
      </w:r>
      <w:r>
        <w:t>;</w:t>
      </w:r>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amended in Gazette 15 Aug 2003 p. 3687.] </w:t>
      </w:r>
    </w:p>
    <w:p>
      <w:pPr>
        <w:pStyle w:val="Heading5"/>
        <w:rPr>
          <w:snapToGrid w:val="0"/>
        </w:rPr>
      </w:pPr>
      <w:bookmarkStart w:id="45" w:name="_Toc411314615"/>
      <w:bookmarkStart w:id="46" w:name="_Toc38865847"/>
      <w:bookmarkStart w:id="47" w:name="_Toc102384932"/>
      <w:bookmarkStart w:id="48" w:name="_Toc199752912"/>
      <w:r>
        <w:rPr>
          <w:rStyle w:val="CharSectno"/>
        </w:rPr>
        <w:t>5</w:t>
      </w:r>
      <w:r>
        <w:rPr>
          <w:snapToGrid w:val="0"/>
        </w:rPr>
        <w:t>.</w:t>
      </w:r>
      <w:r>
        <w:rPr>
          <w:snapToGrid w:val="0"/>
        </w:rPr>
        <w:tab/>
        <w:t>Limited contracting</w:t>
      </w:r>
      <w:r>
        <w:rPr>
          <w:snapToGrid w:val="0"/>
        </w:rPr>
        <w:noBreakHyphen/>
        <w:t>out of long service leave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49" w:name="_Toc411314616"/>
      <w:bookmarkStart w:id="50" w:name="_Toc38865848"/>
      <w:bookmarkStart w:id="51" w:name="_Toc102384933"/>
      <w:bookmarkStart w:id="52" w:name="_Toc199752913"/>
      <w:r>
        <w:rPr>
          <w:rStyle w:val="CharSectno"/>
        </w:rPr>
        <w:t>6</w:t>
      </w:r>
      <w:r>
        <w:rPr>
          <w:snapToGrid w:val="0"/>
        </w:rPr>
        <w:t>.</w:t>
      </w:r>
      <w:r>
        <w:rPr>
          <w:snapToGrid w:val="0"/>
        </w:rPr>
        <w:tab/>
        <w:t>What constitutes continuous employment</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rStyle w:val="CharDefText"/>
        </w:rPr>
        <w:t>transmission</w:t>
      </w:r>
      <w:r>
        <w:rPr>
          <w:snapToGrid w:val="0"/>
        </w:rPr>
        <w:t xml:space="preserve"> includes transfer, conveyance, assignment or succession, whether voluntary or by agreement or by operation of law, and </w:t>
      </w:r>
      <w:r>
        <w:rPr>
          <w:rStyle w:val="CharDefText"/>
        </w:rPr>
        <w:t>transmitted</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53" w:name="_Toc411314617"/>
      <w:bookmarkStart w:id="54" w:name="_Toc38865849"/>
      <w:bookmarkStart w:id="55" w:name="_Toc102384934"/>
      <w:bookmarkStart w:id="56" w:name="_Toc199752914"/>
      <w:r>
        <w:rPr>
          <w:rStyle w:val="CharSectno"/>
        </w:rPr>
        <w:t>7</w:t>
      </w:r>
      <w:r>
        <w:rPr>
          <w:snapToGrid w:val="0"/>
        </w:rPr>
        <w:t>.</w:t>
      </w:r>
      <w:r>
        <w:rPr>
          <w:snapToGrid w:val="0"/>
        </w:rPr>
        <w:tab/>
        <w:t>Employment before commencement of this Act</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57" w:name="_Toc89155444"/>
      <w:bookmarkStart w:id="58" w:name="_Toc89155481"/>
      <w:bookmarkStart w:id="59" w:name="_Toc89508258"/>
      <w:bookmarkStart w:id="60" w:name="_Toc102384935"/>
      <w:bookmarkStart w:id="61" w:name="_Toc139862962"/>
      <w:bookmarkStart w:id="62" w:name="_Toc140027984"/>
      <w:bookmarkStart w:id="63" w:name="_Toc142711165"/>
      <w:bookmarkStart w:id="64" w:name="_Toc142715187"/>
      <w:bookmarkStart w:id="65" w:name="_Toc144096979"/>
      <w:bookmarkStart w:id="66" w:name="_Toc145990799"/>
      <w:bookmarkStart w:id="67" w:name="_Toc199752915"/>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11314618"/>
      <w:bookmarkStart w:id="69" w:name="_Toc38865850"/>
      <w:bookmarkStart w:id="70" w:name="_Toc102384936"/>
      <w:bookmarkStart w:id="71" w:name="_Toc199752916"/>
      <w:r>
        <w:rPr>
          <w:rStyle w:val="CharSectno"/>
        </w:rPr>
        <w:t>8</w:t>
      </w:r>
      <w:r>
        <w:rPr>
          <w:snapToGrid w:val="0"/>
        </w:rPr>
        <w:t>.</w:t>
      </w:r>
      <w:r>
        <w:rPr>
          <w:snapToGrid w:val="0"/>
        </w:rPr>
        <w:tab/>
        <w:t>Long service leave</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r>
        <w:rPr>
          <w:rFonts w:ascii="Times" w:hAnsi="Times"/>
          <w:vertAlign w:val="superscript"/>
        </w:rPr>
        <w:t> 1</w:t>
      </w:r>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t>Repealed by No. 36 of 2006 s. 57.]</w:t>
      </w:r>
    </w:p>
    <w:p>
      <w:pPr>
        <w:pStyle w:val="Heading5"/>
        <w:rPr>
          <w:snapToGrid w:val="0"/>
        </w:rPr>
      </w:pPr>
      <w:bookmarkStart w:id="72" w:name="_Toc411314620"/>
      <w:bookmarkStart w:id="73" w:name="_Toc38865852"/>
      <w:bookmarkStart w:id="74" w:name="_Toc102384938"/>
      <w:bookmarkStart w:id="75" w:name="_Toc199752917"/>
      <w:r>
        <w:rPr>
          <w:rStyle w:val="CharSectno"/>
        </w:rPr>
        <w:t>9</w:t>
      </w:r>
      <w:r>
        <w:rPr>
          <w:snapToGrid w:val="0"/>
        </w:rPr>
        <w:t>.</w:t>
      </w:r>
      <w:r>
        <w:rPr>
          <w:snapToGrid w:val="0"/>
        </w:rPr>
        <w:tab/>
        <w:t>Commencement of long service leave</w:t>
      </w:r>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76" w:name="_Toc411314621"/>
      <w:bookmarkStart w:id="77" w:name="_Toc38865853"/>
      <w:bookmarkStart w:id="78" w:name="_Toc102384939"/>
      <w:bookmarkStart w:id="79" w:name="_Toc199752918"/>
      <w:r>
        <w:rPr>
          <w:rStyle w:val="CharSectno"/>
        </w:rPr>
        <w:t>10</w:t>
      </w:r>
      <w:r>
        <w:rPr>
          <w:snapToGrid w:val="0"/>
        </w:rPr>
        <w:t>.</w:t>
      </w:r>
      <w:r>
        <w:rPr>
          <w:snapToGrid w:val="0"/>
        </w:rPr>
        <w:tab/>
        <w:t>Taking leave in advance</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80" w:name="_Toc89155449"/>
      <w:bookmarkStart w:id="81" w:name="_Toc89155486"/>
      <w:bookmarkStart w:id="82" w:name="_Toc89508263"/>
      <w:bookmarkStart w:id="83" w:name="_Toc102384940"/>
      <w:bookmarkStart w:id="84" w:name="_Toc139862967"/>
      <w:bookmarkStart w:id="85" w:name="_Toc140027988"/>
      <w:bookmarkStart w:id="86" w:name="_Toc142711169"/>
      <w:bookmarkStart w:id="87" w:name="_Toc142715191"/>
      <w:bookmarkStart w:id="88" w:name="_Toc144096983"/>
      <w:bookmarkStart w:id="89" w:name="_Toc145990803"/>
      <w:bookmarkStart w:id="90" w:name="_Toc199752919"/>
      <w:r>
        <w:rPr>
          <w:rStyle w:val="CharPartNo"/>
        </w:rPr>
        <w:t>Part IV</w:t>
      </w:r>
      <w:r>
        <w:rPr>
          <w:rStyle w:val="CharDivNo"/>
        </w:rPr>
        <w:t> </w:t>
      </w:r>
      <w:r>
        <w:t>—</w:t>
      </w:r>
      <w:r>
        <w:rPr>
          <w:rStyle w:val="CharDivText"/>
        </w:rPr>
        <w:t> </w:t>
      </w:r>
      <w:r>
        <w:rPr>
          <w:rStyle w:val="CharPartText"/>
        </w:rPr>
        <w:t>Enforcement of the provisions of the Act</w:t>
      </w:r>
      <w:bookmarkEnd w:id="80"/>
      <w:bookmarkEnd w:id="81"/>
      <w:bookmarkEnd w:id="82"/>
      <w:bookmarkEnd w:id="83"/>
      <w:bookmarkEnd w:id="84"/>
      <w:bookmarkEnd w:id="85"/>
      <w:bookmarkEnd w:id="86"/>
      <w:bookmarkEnd w:id="87"/>
      <w:bookmarkEnd w:id="88"/>
      <w:bookmarkEnd w:id="89"/>
      <w:bookmarkEnd w:id="90"/>
    </w:p>
    <w:p>
      <w:pPr>
        <w:pStyle w:val="Footnoteheading"/>
        <w:rPr>
          <w:snapToGrid w:val="0"/>
        </w:rPr>
      </w:pPr>
      <w:r>
        <w:rPr>
          <w:snapToGrid w:val="0"/>
        </w:rPr>
        <w:tab/>
        <w:t>[Heading inserted by No. 79 of 1995 s. 52.]</w:t>
      </w:r>
    </w:p>
    <w:p>
      <w:pPr>
        <w:pStyle w:val="Heading5"/>
        <w:rPr>
          <w:snapToGrid w:val="0"/>
        </w:rPr>
      </w:pPr>
      <w:bookmarkStart w:id="91" w:name="_Toc411314622"/>
      <w:bookmarkStart w:id="92" w:name="_Toc38865854"/>
      <w:bookmarkStart w:id="93" w:name="_Toc102384941"/>
      <w:bookmarkStart w:id="94" w:name="_Toc199752920"/>
      <w:r>
        <w:rPr>
          <w:rStyle w:val="CharSectno"/>
        </w:rPr>
        <w:t>11</w:t>
      </w:r>
      <w:r>
        <w:rPr>
          <w:snapToGrid w:val="0"/>
        </w:rPr>
        <w:t>.</w:t>
      </w:r>
      <w:r>
        <w:rPr>
          <w:snapToGrid w:val="0"/>
        </w:rPr>
        <w:tab/>
        <w:t>Industrial magistrate’s courts</w:t>
      </w:r>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95" w:name="_Toc129769400"/>
      <w:bookmarkStart w:id="96" w:name="_Toc129771230"/>
      <w:bookmarkStart w:id="97" w:name="_Toc139360824"/>
      <w:bookmarkStart w:id="98" w:name="_Toc139792911"/>
      <w:bookmarkStart w:id="99" w:name="_Toc139797375"/>
      <w:bookmarkStart w:id="100" w:name="_Toc199752921"/>
      <w:r>
        <w:rPr>
          <w:rStyle w:val="CharSectno"/>
        </w:rPr>
        <w:t>12</w:t>
      </w:r>
      <w:r>
        <w:t>.</w:t>
      </w:r>
      <w:r>
        <w:tab/>
        <w:t>Industrial inspectors may institute proceedings</w:t>
      </w:r>
      <w:bookmarkEnd w:id="95"/>
      <w:bookmarkEnd w:id="96"/>
      <w:bookmarkEnd w:id="97"/>
      <w:bookmarkEnd w:id="98"/>
      <w:bookmarkEnd w:id="99"/>
      <w:bookmarkEnd w:id="100"/>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r>
        <w:t>Repealed by No. 79 of 1995 s. 52.]</w:t>
      </w:r>
    </w:p>
    <w:p>
      <w:pPr>
        <w:pStyle w:val="Ednotepart"/>
        <w:spacing w:before="180"/>
      </w:pPr>
      <w:r>
        <w:t>[Part V (s. 18-19) repealed by No. 79 of 1995 s. 52.]</w:t>
      </w:r>
    </w:p>
    <w:p>
      <w:pPr>
        <w:pStyle w:val="Ednotepart"/>
        <w:spacing w:before="180"/>
        <w:ind w:left="1202" w:hanging="1202"/>
      </w:pPr>
      <w:r>
        <w:t>[Part VI:</w:t>
      </w:r>
      <w:r>
        <w:tab/>
        <w:t>s. 23 repealed by No. 37 of 1964 s. 14;</w:t>
      </w:r>
      <w:r>
        <w:br/>
        <w:t>s. 20-22, 24 repealed by No. 79 of 1995 s. 52.]</w:t>
      </w:r>
    </w:p>
    <w:p>
      <w:pPr>
        <w:pStyle w:val="Heading2"/>
      </w:pPr>
      <w:bookmarkStart w:id="101" w:name="_Toc89155451"/>
      <w:bookmarkStart w:id="102" w:name="_Toc89155488"/>
      <w:bookmarkStart w:id="103" w:name="_Toc89508265"/>
      <w:bookmarkStart w:id="104" w:name="_Toc102384942"/>
      <w:bookmarkStart w:id="105" w:name="_Toc139862970"/>
      <w:bookmarkStart w:id="106" w:name="_Toc140027991"/>
      <w:bookmarkStart w:id="107" w:name="_Toc142711172"/>
      <w:bookmarkStart w:id="108" w:name="_Toc142715194"/>
      <w:bookmarkStart w:id="109" w:name="_Toc144096986"/>
      <w:bookmarkStart w:id="110" w:name="_Toc145990806"/>
      <w:bookmarkStart w:id="111" w:name="_Toc199752922"/>
      <w:r>
        <w:rPr>
          <w:rStyle w:val="CharPartNo"/>
        </w:rPr>
        <w:t>Part VII</w:t>
      </w:r>
      <w:r>
        <w:t> — </w:t>
      </w:r>
      <w:r>
        <w:rPr>
          <w:rStyle w:val="CharPartText"/>
        </w:rPr>
        <w:t>Miscellaneous provisions</w:t>
      </w:r>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Ednotedivision"/>
      </w:pPr>
      <w:r>
        <w:t>[Division 1 (s. 25) repealed by No. 79 of 1995 s. 53.]</w:t>
      </w:r>
    </w:p>
    <w:p>
      <w:pPr>
        <w:pStyle w:val="Heading3"/>
        <w:rPr>
          <w:snapToGrid w:val="0"/>
        </w:rPr>
      </w:pPr>
      <w:bookmarkStart w:id="112" w:name="_Toc89155452"/>
      <w:bookmarkStart w:id="113" w:name="_Toc89155489"/>
      <w:bookmarkStart w:id="114" w:name="_Toc89508266"/>
      <w:bookmarkStart w:id="115" w:name="_Toc102384943"/>
      <w:bookmarkStart w:id="116" w:name="_Toc139862971"/>
      <w:bookmarkStart w:id="117" w:name="_Toc140027992"/>
      <w:bookmarkStart w:id="118" w:name="_Toc142711173"/>
      <w:bookmarkStart w:id="119" w:name="_Toc142715195"/>
      <w:bookmarkStart w:id="120" w:name="_Toc144096987"/>
      <w:bookmarkStart w:id="121" w:name="_Toc145990807"/>
      <w:bookmarkStart w:id="122" w:name="_Toc199752923"/>
      <w:r>
        <w:rPr>
          <w:rStyle w:val="CharDivNo"/>
        </w:rPr>
        <w:t>Division 2</w:t>
      </w:r>
      <w:r>
        <w:rPr>
          <w:snapToGrid w:val="0"/>
        </w:rPr>
        <w:t> — </w:t>
      </w:r>
      <w:r>
        <w:rPr>
          <w:rStyle w:val="CharDivText"/>
        </w:rPr>
        <w:t>Records of employment</w:t>
      </w:r>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411314623"/>
      <w:bookmarkStart w:id="124" w:name="_Toc38865855"/>
      <w:bookmarkStart w:id="125" w:name="_Toc102384944"/>
      <w:bookmarkStart w:id="126" w:name="_Toc199752924"/>
      <w:r>
        <w:rPr>
          <w:rStyle w:val="CharSectno"/>
        </w:rPr>
        <w:t>26</w:t>
      </w:r>
      <w:r>
        <w:rPr>
          <w:snapToGrid w:val="0"/>
        </w:rPr>
        <w:t>.</w:t>
      </w:r>
      <w:r>
        <w:rPr>
          <w:snapToGrid w:val="0"/>
        </w:rPr>
        <w:tab/>
        <w:t>Keeping of employment records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27" w:name="_Toc411314624"/>
      <w:bookmarkStart w:id="128" w:name="_Toc38865856"/>
      <w:bookmarkStart w:id="129" w:name="_Toc102384945"/>
      <w:bookmarkStart w:id="130" w:name="_Toc199752925"/>
      <w:r>
        <w:rPr>
          <w:rStyle w:val="CharSectno"/>
        </w:rPr>
        <w:t>26A</w:t>
      </w:r>
      <w:r>
        <w:rPr>
          <w:snapToGrid w:val="0"/>
        </w:rPr>
        <w:t>.</w:t>
      </w:r>
      <w:r>
        <w:rPr>
          <w:snapToGrid w:val="0"/>
        </w:rPr>
        <w:tab/>
        <w:t>Access to records kept by employer</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31" w:name="_Toc89155455"/>
      <w:bookmarkStart w:id="132" w:name="_Toc89155492"/>
      <w:bookmarkStart w:id="133" w:name="_Toc89508269"/>
      <w:bookmarkStart w:id="134" w:name="_Toc102384946"/>
      <w:bookmarkStart w:id="135" w:name="_Toc139862974"/>
      <w:bookmarkStart w:id="136" w:name="_Toc140027995"/>
      <w:bookmarkStart w:id="137" w:name="_Toc142711176"/>
      <w:bookmarkStart w:id="138" w:name="_Toc142715198"/>
      <w:bookmarkStart w:id="139" w:name="_Toc144096990"/>
      <w:bookmarkStart w:id="140" w:name="_Toc145990810"/>
      <w:bookmarkStart w:id="141" w:name="_Toc199752926"/>
      <w:r>
        <w:rPr>
          <w:rStyle w:val="CharDivNo"/>
        </w:rPr>
        <w:t>Division 3</w:t>
      </w:r>
      <w:r>
        <w:t> — </w:t>
      </w:r>
      <w:r>
        <w:rPr>
          <w:rStyle w:val="CharDivText"/>
        </w:rPr>
        <w:t>Prohibition of employment during long service leave</w:t>
      </w:r>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411314625"/>
      <w:bookmarkStart w:id="143" w:name="_Toc38865857"/>
      <w:bookmarkStart w:id="144" w:name="_Toc102384947"/>
      <w:bookmarkStart w:id="145" w:name="_Toc199752927"/>
      <w:r>
        <w:rPr>
          <w:rStyle w:val="CharSectno"/>
        </w:rPr>
        <w:t>27</w:t>
      </w:r>
      <w:r>
        <w:rPr>
          <w:snapToGrid w:val="0"/>
        </w:rPr>
        <w:t>.</w:t>
      </w:r>
      <w:r>
        <w:rPr>
          <w:snapToGrid w:val="0"/>
        </w:rPr>
        <w:tab/>
        <w:t>Prohibition of employment during long service leave</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repealed by No. 79 of 1995 s. 55.]</w:t>
      </w:r>
    </w:p>
    <w:p>
      <w:pPr>
        <w:pStyle w:val="Ednotedivision"/>
        <w:tabs>
          <w:tab w:val="left" w:pos="1418"/>
        </w:tabs>
      </w:pPr>
      <w:r>
        <w:t>[Division 5:</w:t>
      </w:r>
      <w:r>
        <w:tab/>
        <w:t>s. 32-34 repealed by No. 79 of 1995 s. 56;</w:t>
      </w:r>
      <w:r>
        <w:br/>
      </w:r>
      <w:r>
        <w:tab/>
        <w:t>s. 35 and 36 repealed by No. 36 of 2006 s. 62.]</w:t>
      </w:r>
    </w:p>
    <w:p>
      <w:pPr>
        <w:pStyle w:val="Heading3"/>
      </w:pPr>
      <w:bookmarkStart w:id="146" w:name="_Toc89155460"/>
      <w:bookmarkStart w:id="147" w:name="_Toc89155497"/>
      <w:bookmarkStart w:id="148" w:name="_Toc89508274"/>
      <w:bookmarkStart w:id="149" w:name="_Toc102384952"/>
      <w:bookmarkStart w:id="150" w:name="_Toc139862979"/>
      <w:bookmarkStart w:id="151" w:name="_Toc140027997"/>
      <w:bookmarkStart w:id="152" w:name="_Toc142711178"/>
      <w:bookmarkStart w:id="153" w:name="_Toc142715200"/>
      <w:bookmarkStart w:id="154" w:name="_Toc144096992"/>
      <w:bookmarkStart w:id="155" w:name="_Toc145990812"/>
      <w:bookmarkStart w:id="156" w:name="_Toc199752928"/>
      <w:r>
        <w:rPr>
          <w:rStyle w:val="CharDivNo"/>
        </w:rPr>
        <w:t>Division 6</w:t>
      </w:r>
      <w:r>
        <w:t> — </w:t>
      </w:r>
      <w:r>
        <w:rPr>
          <w:rStyle w:val="CharDivText"/>
        </w:rPr>
        <w:t>Representation of parties in proceedings under this Act</w:t>
      </w:r>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11314628"/>
      <w:bookmarkStart w:id="158" w:name="_Toc38865860"/>
      <w:bookmarkStart w:id="159" w:name="_Toc102384953"/>
      <w:bookmarkStart w:id="160" w:name="_Toc199752929"/>
      <w:r>
        <w:rPr>
          <w:rStyle w:val="CharSectno"/>
        </w:rPr>
        <w:t>37</w:t>
      </w:r>
      <w:r>
        <w:rPr>
          <w:snapToGrid w:val="0"/>
        </w:rPr>
        <w:t>.</w:t>
      </w:r>
      <w:r>
        <w:rPr>
          <w:snapToGrid w:val="0"/>
        </w:rPr>
        <w:tab/>
        <w:t>Representation of parties in proceedings under this Act</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a </w:t>
      </w:r>
      <w:r>
        <w:t xml:space="preserve">certificated practitioner (within the meaning of the </w:t>
      </w:r>
      <w:r>
        <w:rPr>
          <w:i/>
        </w:rPr>
        <w:t>Legal Practice Act 2003</w:t>
      </w:r>
      <w:r>
        <w:t xml:space="preserve">) </w:t>
      </w:r>
      <w:r>
        <w:rPr>
          <w:snapToGrid w:val="0"/>
        </w:rPr>
        <w:t>or by the person’s agent duly appointed for that purpose.</w:t>
      </w:r>
    </w:p>
    <w:p>
      <w:pPr>
        <w:pStyle w:val="Footnotesection"/>
      </w:pPr>
      <w:r>
        <w:tab/>
        <w:t xml:space="preserve">[Section 37 amended by No. 79 of 1995 s. 58; No. 65 of 2003 s. 50.] </w:t>
      </w:r>
    </w:p>
    <w:p>
      <w:pPr>
        <w:pStyle w:val="Heading3"/>
        <w:rPr>
          <w:snapToGrid w:val="0"/>
        </w:rPr>
      </w:pPr>
      <w:bookmarkStart w:id="161" w:name="_Toc89155462"/>
      <w:bookmarkStart w:id="162" w:name="_Toc89155499"/>
      <w:bookmarkStart w:id="163" w:name="_Toc89508276"/>
      <w:bookmarkStart w:id="164" w:name="_Toc102384954"/>
      <w:bookmarkStart w:id="165" w:name="_Toc139862981"/>
      <w:bookmarkStart w:id="166" w:name="_Toc140027999"/>
      <w:bookmarkStart w:id="167" w:name="_Toc142711180"/>
      <w:bookmarkStart w:id="168" w:name="_Toc142715202"/>
      <w:bookmarkStart w:id="169" w:name="_Toc144096994"/>
      <w:bookmarkStart w:id="170" w:name="_Toc145990814"/>
      <w:bookmarkStart w:id="171" w:name="_Toc199752930"/>
      <w:r>
        <w:rPr>
          <w:rStyle w:val="CharDivNo"/>
        </w:rPr>
        <w:t>Division 7</w:t>
      </w:r>
      <w:r>
        <w:rPr>
          <w:snapToGrid w:val="0"/>
        </w:rPr>
        <w:t> — </w:t>
      </w:r>
      <w:r>
        <w:rPr>
          <w:rStyle w:val="CharDivText"/>
        </w:rPr>
        <w:t>Regulations</w:t>
      </w:r>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11314629"/>
      <w:bookmarkStart w:id="173" w:name="_Toc38865861"/>
      <w:bookmarkStart w:id="174" w:name="_Toc102384955"/>
      <w:bookmarkStart w:id="175" w:name="_Toc199752931"/>
      <w:r>
        <w:rPr>
          <w:rStyle w:val="CharSectno"/>
        </w:rPr>
        <w:t>38</w:t>
      </w:r>
      <w:r>
        <w:rPr>
          <w:snapToGrid w:val="0"/>
        </w:rPr>
        <w:t>.</w:t>
      </w:r>
      <w:r>
        <w:rPr>
          <w:snapToGrid w:val="0"/>
        </w:rPr>
        <w:tab/>
        <w:t>Regulation making power</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176" w:name="_Toc411314630"/>
      <w:bookmarkStart w:id="177" w:name="_Toc38865862"/>
      <w:bookmarkStart w:id="178" w:name="_Toc102384956"/>
      <w:bookmarkStart w:id="179" w:name="_Toc199752932"/>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80" w:name="_Toc89155465"/>
      <w:bookmarkStart w:id="181" w:name="_Toc89155502"/>
      <w:bookmarkStart w:id="182" w:name="_Toc89508279"/>
      <w:bookmarkStart w:id="183" w:name="_Toc102384957"/>
      <w:bookmarkStart w:id="184" w:name="_Toc139862984"/>
      <w:bookmarkStart w:id="185" w:name="_Toc140028002"/>
      <w:bookmarkStart w:id="186" w:name="_Toc142711183"/>
      <w:bookmarkStart w:id="187" w:name="_Toc142715205"/>
      <w:bookmarkStart w:id="188" w:name="_Toc144096997"/>
      <w:bookmarkStart w:id="189" w:name="_Toc145990817"/>
      <w:bookmarkStart w:id="190" w:name="_Toc199752933"/>
      <w:r>
        <w:t>Notes</w:t>
      </w:r>
      <w:bookmarkEnd w:id="180"/>
      <w:bookmarkEnd w:id="181"/>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Long Service Leave Act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1" w:name="_Toc199752934"/>
      <w:r>
        <w:rPr>
          <w:snapToGrid w:val="0"/>
        </w:rPr>
        <w:t>Compilation table</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Long Service Leave Act 1958</w:t>
            </w:r>
          </w:p>
        </w:tc>
        <w:tc>
          <w:tcPr>
            <w:tcW w:w="1134" w:type="dxa"/>
          </w:tcPr>
          <w:p>
            <w:pPr>
              <w:pStyle w:val="nTable"/>
              <w:spacing w:after="40"/>
              <w:rPr>
                <w:sz w:val="19"/>
              </w:rPr>
            </w:pPr>
            <w:r>
              <w:rPr>
                <w:sz w:val="19"/>
              </w:rPr>
              <w:t>44 of 1958</w:t>
            </w:r>
            <w:r>
              <w:rPr>
                <w:sz w:val="19"/>
              </w:rPr>
              <w:br/>
              <w:t>(7 Eliz. II No. 44)</w:t>
            </w:r>
          </w:p>
        </w:tc>
        <w:tc>
          <w:tcPr>
            <w:tcW w:w="1134" w:type="dxa"/>
          </w:tcPr>
          <w:p>
            <w:pPr>
              <w:pStyle w:val="nTable"/>
              <w:spacing w:after="40"/>
              <w:rPr>
                <w:sz w:val="19"/>
              </w:rPr>
            </w:pPr>
            <w:r>
              <w:rPr>
                <w:sz w:val="19"/>
              </w:rPr>
              <w:t>12 Dec 1958</w:t>
            </w:r>
          </w:p>
        </w:tc>
        <w:tc>
          <w:tcPr>
            <w:tcW w:w="2551"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7" w:type="dxa"/>
            <w:gridSpan w:val="4"/>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tcPr>
          <w:p>
            <w:pPr>
              <w:pStyle w:val="nTable"/>
              <w:spacing w:after="40"/>
              <w:rPr>
                <w:i/>
                <w:sz w:val="19"/>
              </w:rPr>
            </w:pPr>
            <w:r>
              <w:rPr>
                <w:i/>
                <w:sz w:val="19"/>
              </w:rPr>
              <w:t>Long Service Leave Act Amendment Act (No. 2) 1964</w:t>
            </w:r>
          </w:p>
        </w:tc>
        <w:tc>
          <w:tcPr>
            <w:tcW w:w="1134" w:type="dxa"/>
          </w:tcPr>
          <w:p>
            <w:pPr>
              <w:pStyle w:val="nTable"/>
              <w:spacing w:after="40"/>
              <w:rPr>
                <w:sz w:val="19"/>
              </w:rPr>
            </w:pPr>
            <w:r>
              <w:rPr>
                <w:sz w:val="19"/>
              </w:rPr>
              <w:t>37 of 1964</w:t>
            </w:r>
            <w:r>
              <w:rPr>
                <w:sz w:val="19"/>
              </w:rPr>
              <w:br/>
              <w:t>(13 Eliz. II No. 37)</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Long Service Leave Act Amendment Act 1973</w:t>
            </w:r>
          </w:p>
        </w:tc>
        <w:tc>
          <w:tcPr>
            <w:tcW w:w="1134" w:type="dxa"/>
          </w:tcPr>
          <w:p>
            <w:pPr>
              <w:pStyle w:val="nTable"/>
              <w:spacing w:after="40"/>
              <w:rPr>
                <w:sz w:val="19"/>
              </w:rPr>
            </w:pPr>
            <w:r>
              <w:rPr>
                <w:sz w:val="19"/>
              </w:rPr>
              <w:t>97 of 1973</w:t>
            </w:r>
          </w:p>
        </w:tc>
        <w:tc>
          <w:tcPr>
            <w:tcW w:w="1134" w:type="dxa"/>
          </w:tcPr>
          <w:p>
            <w:pPr>
              <w:pStyle w:val="nTable"/>
              <w:spacing w:after="40"/>
              <w:rPr>
                <w:sz w:val="19"/>
              </w:rPr>
            </w:pPr>
            <w:r>
              <w:rPr>
                <w:sz w:val="19"/>
              </w:rPr>
              <w:t>27 Dec 1973</w:t>
            </w:r>
          </w:p>
        </w:tc>
        <w:tc>
          <w:tcPr>
            <w:tcW w:w="2551"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7" w:type="dxa"/>
            <w:gridSpan w:val="4"/>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tcPr>
          <w:p>
            <w:pPr>
              <w:pStyle w:val="nTable"/>
              <w:spacing w:after="40"/>
              <w:rPr>
                <w:sz w:val="19"/>
              </w:rPr>
            </w:pPr>
            <w:r>
              <w:rPr>
                <w:i/>
                <w:sz w:val="19"/>
              </w:rPr>
              <w:t>Acts Amendment (Industrial Magistrate’s Courts) Act 1991</w:t>
            </w:r>
            <w:r>
              <w:rPr>
                <w:sz w:val="19"/>
              </w:rPr>
              <w:t xml:space="preserve"> Pt. 4</w:t>
            </w:r>
          </w:p>
        </w:tc>
        <w:tc>
          <w:tcPr>
            <w:tcW w:w="1134" w:type="dxa"/>
          </w:tcPr>
          <w:p>
            <w:pPr>
              <w:pStyle w:val="nTable"/>
              <w:spacing w:after="40"/>
              <w:rPr>
                <w:sz w:val="19"/>
              </w:rPr>
            </w:pPr>
            <w:r>
              <w:rPr>
                <w:sz w:val="19"/>
              </w:rPr>
              <w:t>44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c>
          <w:tcPr>
            <w:tcW w:w="2268" w:type="dxa"/>
          </w:tcPr>
          <w:p>
            <w:pPr>
              <w:pStyle w:val="nTable"/>
              <w:spacing w:after="40"/>
              <w:rPr>
                <w:sz w:val="19"/>
              </w:rPr>
            </w:pPr>
            <w:r>
              <w:rPr>
                <w:i/>
                <w:sz w:val="19"/>
              </w:rPr>
              <w:t>Labour Relations Reform Act 2002</w:t>
            </w:r>
            <w:r>
              <w:rPr>
                <w:sz w:val="19"/>
              </w:rPr>
              <w:t xml:space="preserve"> s. 20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7" w:type="dxa"/>
            <w:gridSpan w:val="4"/>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Acts Amendment and Repeal (Courts and Legal Practice) Act 2003</w:t>
            </w:r>
            <w:r>
              <w:rPr>
                <w:sz w:val="19"/>
              </w:rPr>
              <w:t xml:space="preserve"> s. 50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36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2" w:name="_Toc534778309"/>
      <w:bookmarkStart w:id="193" w:name="_Toc7405063"/>
      <w:bookmarkStart w:id="194" w:name="_Toc199752935"/>
      <w:r>
        <w:rPr>
          <w:snapToGrid w:val="0"/>
        </w:rPr>
        <w:t>Provisions that have not come into operation</w:t>
      </w:r>
      <w:bookmarkEnd w:id="192"/>
      <w:bookmarkEnd w:id="193"/>
      <w:bookmarkEnd w:id="1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676 </w:t>
            </w:r>
            <w:r>
              <w:rPr>
                <w:snapToGrid w:val="0"/>
                <w:sz w:val="19"/>
                <w:vertAlign w:val="superscript"/>
                <w:lang w:val="en-US"/>
              </w:rPr>
              <w:t>7</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rPr>
          <w:ins w:id="195" w:author="svcMRProcess" w:date="2018-09-04T14:47:00Z"/>
        </w:trPr>
        <w:tc>
          <w:tcPr>
            <w:tcW w:w="2268" w:type="dxa"/>
            <w:tcBorders>
              <w:top w:val="nil"/>
              <w:bottom w:val="single" w:sz="4" w:space="0" w:color="auto"/>
            </w:tcBorders>
          </w:tcPr>
          <w:p>
            <w:pPr>
              <w:pStyle w:val="nTable"/>
              <w:spacing w:after="40"/>
              <w:rPr>
                <w:ins w:id="196" w:author="svcMRProcess" w:date="2018-09-04T14:47:00Z"/>
                <w:i/>
                <w:iCs/>
                <w:snapToGrid w:val="0"/>
                <w:sz w:val="19"/>
                <w:lang w:val="en-US"/>
              </w:rPr>
            </w:pPr>
            <w:ins w:id="197" w:author="svcMRProcess" w:date="2018-09-04T14:47: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54 </w:t>
              </w:r>
              <w:r>
                <w:rPr>
                  <w:snapToGrid w:val="0"/>
                  <w:sz w:val="19"/>
                  <w:vertAlign w:val="superscript"/>
                </w:rPr>
                <w:t>8</w:t>
              </w:r>
            </w:ins>
          </w:p>
        </w:tc>
        <w:tc>
          <w:tcPr>
            <w:tcW w:w="1118" w:type="dxa"/>
            <w:tcBorders>
              <w:top w:val="nil"/>
              <w:bottom w:val="single" w:sz="4" w:space="0" w:color="auto"/>
            </w:tcBorders>
          </w:tcPr>
          <w:p>
            <w:pPr>
              <w:pStyle w:val="nTable"/>
              <w:spacing w:after="40"/>
              <w:rPr>
                <w:ins w:id="198" w:author="svcMRProcess" w:date="2018-09-04T14:47:00Z"/>
                <w:snapToGrid w:val="0"/>
                <w:sz w:val="19"/>
                <w:lang w:val="en-US"/>
              </w:rPr>
            </w:pPr>
            <w:ins w:id="199" w:author="svcMRProcess" w:date="2018-09-04T14:47:00Z">
              <w:r>
                <w:rPr>
                  <w:sz w:val="19"/>
                </w:rPr>
                <w:t>44 of 2008</w:t>
              </w:r>
            </w:ins>
          </w:p>
        </w:tc>
        <w:tc>
          <w:tcPr>
            <w:tcW w:w="1134" w:type="dxa"/>
            <w:tcBorders>
              <w:top w:val="nil"/>
              <w:bottom w:val="single" w:sz="4" w:space="0" w:color="auto"/>
            </w:tcBorders>
          </w:tcPr>
          <w:p>
            <w:pPr>
              <w:pStyle w:val="nTable"/>
              <w:spacing w:after="40"/>
              <w:rPr>
                <w:ins w:id="200" w:author="svcMRProcess" w:date="2018-09-04T14:47:00Z"/>
                <w:snapToGrid w:val="0"/>
                <w:sz w:val="19"/>
                <w:lang w:val="en-US"/>
              </w:rPr>
            </w:pPr>
            <w:ins w:id="201" w:author="svcMRProcess" w:date="2018-09-04T14:47:00Z">
              <w:r>
                <w:rPr>
                  <w:sz w:val="19"/>
                </w:rPr>
                <w:t>10 Dec 2008</w:t>
              </w:r>
            </w:ins>
          </w:p>
        </w:tc>
        <w:tc>
          <w:tcPr>
            <w:tcW w:w="2552" w:type="dxa"/>
            <w:tcBorders>
              <w:top w:val="nil"/>
              <w:bottom w:val="single" w:sz="4" w:space="0" w:color="auto"/>
            </w:tcBorders>
          </w:tcPr>
          <w:p>
            <w:pPr>
              <w:pStyle w:val="nTable"/>
              <w:spacing w:after="40"/>
              <w:rPr>
                <w:ins w:id="202" w:author="svcMRProcess" w:date="2018-09-04T14:47:00Z"/>
                <w:snapToGrid w:val="0"/>
                <w:sz w:val="19"/>
                <w:lang w:val="en-US"/>
              </w:rPr>
            </w:pPr>
            <w:ins w:id="203" w:author="svcMRProcess" w:date="2018-09-04T14:47:00Z">
              <w:r>
                <w:rPr>
                  <w:sz w:val="19"/>
                </w:rPr>
                <w:t>To be proclaimed (see s. 2(1)(b) and (2))</w:t>
              </w:r>
            </w:ins>
          </w:p>
        </w:tc>
      </w:tr>
    </w:tbl>
    <w:p>
      <w:pPr>
        <w:pStyle w:val="nSubsection"/>
        <w:rPr>
          <w:ins w:id="204" w:author="svcMRProcess" w:date="2018-09-04T14:47: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205" w:name="_Toc125348944"/>
      <w:bookmarkStart w:id="206" w:name="_Toc125349964"/>
      <w:bookmarkStart w:id="207" w:name="_Toc125360873"/>
      <w:bookmarkStart w:id="208" w:name="_Toc125361022"/>
      <w:bookmarkStart w:id="209" w:name="_Toc125367414"/>
      <w:bookmarkStart w:id="210" w:name="_Toc125431363"/>
      <w:bookmarkStart w:id="211" w:name="_Toc125438932"/>
      <w:bookmarkStart w:id="212" w:name="_Toc125439046"/>
      <w:bookmarkStart w:id="213" w:name="_Toc125443223"/>
      <w:bookmarkStart w:id="214" w:name="_Toc125443251"/>
      <w:bookmarkStart w:id="215" w:name="_Toc125443589"/>
      <w:bookmarkStart w:id="216" w:name="_Toc125536619"/>
      <w:bookmarkStart w:id="217" w:name="_Toc125800656"/>
      <w:bookmarkStart w:id="218" w:name="_Toc125878573"/>
      <w:bookmarkStart w:id="219" w:name="_Toc125878718"/>
      <w:bookmarkStart w:id="220" w:name="_Toc125961339"/>
      <w:bookmarkStart w:id="221" w:name="_Toc126398800"/>
      <w:bookmarkStart w:id="222" w:name="_Toc126404207"/>
      <w:bookmarkStart w:id="223" w:name="_Toc126480414"/>
      <w:bookmarkStart w:id="224" w:name="_Toc126480891"/>
      <w:bookmarkStart w:id="225" w:name="_Toc126481022"/>
      <w:bookmarkStart w:id="226" w:name="_Toc126481375"/>
      <w:bookmarkStart w:id="227" w:name="_Toc126489902"/>
      <w:bookmarkStart w:id="228" w:name="_Toc126577407"/>
      <w:bookmarkStart w:id="229" w:name="_Toc126993820"/>
      <w:bookmarkStart w:id="230" w:name="_Toc127077632"/>
      <w:bookmarkStart w:id="231" w:name="_Toc127156372"/>
      <w:bookmarkStart w:id="232" w:name="_Toc127157450"/>
      <w:bookmarkStart w:id="233" w:name="_Toc127166065"/>
      <w:bookmarkStart w:id="234" w:name="_Toc127166308"/>
      <w:bookmarkStart w:id="235" w:name="_Toc127172414"/>
      <w:bookmarkStart w:id="236" w:name="_Toc127173965"/>
      <w:bookmarkStart w:id="237" w:name="_Toc127173997"/>
      <w:bookmarkStart w:id="238" w:name="_Toc127179823"/>
      <w:bookmarkStart w:id="239" w:name="_Toc127182319"/>
      <w:bookmarkStart w:id="240" w:name="_Toc127262156"/>
      <w:bookmarkStart w:id="241" w:name="_Toc127266400"/>
      <w:bookmarkStart w:id="242" w:name="_Toc127266445"/>
      <w:bookmarkStart w:id="243" w:name="_Toc127268507"/>
      <w:bookmarkStart w:id="244" w:name="_Toc127770944"/>
      <w:bookmarkStart w:id="245" w:name="_Toc127787452"/>
      <w:bookmarkStart w:id="246" w:name="_Toc127864036"/>
      <w:bookmarkStart w:id="247" w:name="_Toc127869928"/>
      <w:bookmarkStart w:id="248" w:name="_Toc127873875"/>
      <w:bookmarkStart w:id="249" w:name="_Toc127934569"/>
      <w:bookmarkStart w:id="250" w:name="_Toc127934603"/>
      <w:bookmarkStart w:id="251" w:name="_Toc127936633"/>
      <w:bookmarkStart w:id="252" w:name="_Toc128361814"/>
      <w:bookmarkStart w:id="253" w:name="_Toc128385177"/>
      <w:bookmarkStart w:id="254" w:name="_Toc128388941"/>
      <w:bookmarkStart w:id="255" w:name="_Toc128389505"/>
      <w:bookmarkStart w:id="256" w:name="_Toc128392544"/>
      <w:bookmarkStart w:id="257" w:name="_Toc128475240"/>
      <w:bookmarkStart w:id="258" w:name="_Toc128475512"/>
      <w:bookmarkStart w:id="259" w:name="_Toc128475547"/>
      <w:bookmarkStart w:id="260" w:name="_Toc128480879"/>
      <w:bookmarkStart w:id="261" w:name="_Toc129602793"/>
      <w:bookmarkStart w:id="262" w:name="_Toc129668327"/>
      <w:bookmarkStart w:id="263" w:name="_Toc129669082"/>
      <w:bookmarkStart w:id="264" w:name="_Toc129669124"/>
      <w:bookmarkStart w:id="265" w:name="_Toc129677900"/>
      <w:bookmarkStart w:id="266" w:name="_Toc129681354"/>
      <w:bookmarkStart w:id="267" w:name="_Toc129681521"/>
      <w:bookmarkStart w:id="268" w:name="_Toc129687327"/>
      <w:bookmarkStart w:id="269" w:name="_Toc129688349"/>
      <w:bookmarkStart w:id="270" w:name="_Toc129748639"/>
      <w:bookmarkStart w:id="271" w:name="_Toc129748707"/>
      <w:bookmarkStart w:id="272" w:name="_Toc129755121"/>
      <w:bookmarkStart w:id="273" w:name="_Toc129766995"/>
      <w:bookmarkStart w:id="274" w:name="_Toc129768971"/>
      <w:bookmarkStart w:id="275" w:name="_Toc129769404"/>
      <w:bookmarkStart w:id="276" w:name="_Toc129769800"/>
      <w:bookmarkStart w:id="277" w:name="_Toc129770432"/>
      <w:bookmarkStart w:id="278" w:name="_Toc129770805"/>
      <w:bookmarkStart w:id="279" w:name="_Toc129771031"/>
      <w:bookmarkStart w:id="280" w:name="_Toc129771234"/>
      <w:bookmarkStart w:id="281" w:name="_Toc129772707"/>
      <w:bookmarkStart w:id="282" w:name="_Toc129773082"/>
      <w:bookmarkStart w:id="283" w:name="_Toc129773188"/>
      <w:bookmarkStart w:id="284" w:name="_Toc129773349"/>
      <w:bookmarkStart w:id="285" w:name="_Toc129773502"/>
      <w:bookmarkStart w:id="286" w:name="_Toc130370011"/>
      <w:bookmarkStart w:id="287" w:name="_Toc130372095"/>
      <w:bookmarkStart w:id="288" w:name="_Toc130372653"/>
      <w:bookmarkStart w:id="289" w:name="_Toc130373001"/>
      <w:bookmarkStart w:id="290" w:name="_Toc130375622"/>
      <w:bookmarkStart w:id="291" w:name="_Toc131244467"/>
      <w:bookmarkStart w:id="292" w:name="_Toc131301963"/>
      <w:bookmarkStart w:id="293" w:name="_Toc131302073"/>
      <w:bookmarkStart w:id="294" w:name="_Toc131304328"/>
      <w:bookmarkStart w:id="295" w:name="_Toc131306339"/>
      <w:bookmarkStart w:id="296" w:name="_Toc131306449"/>
      <w:bookmarkStart w:id="297" w:name="_Toc131312789"/>
      <w:bookmarkStart w:id="298" w:name="_Toc131312921"/>
      <w:bookmarkStart w:id="299" w:name="_Toc131317209"/>
      <w:bookmarkStart w:id="300" w:name="_Toc131389267"/>
      <w:bookmarkStart w:id="301" w:name="_Toc139342461"/>
      <w:bookmarkStart w:id="302" w:name="_Toc139360828"/>
      <w:bookmarkStart w:id="303" w:name="_Toc139792915"/>
      <w:bookmarkStart w:id="304" w:name="_Toc139797379"/>
      <w:r>
        <w:rPr>
          <w:rStyle w:val="CharDivNo"/>
        </w:rPr>
        <w:t>Division 3</w:t>
      </w:r>
      <w:r>
        <w:t> — </w:t>
      </w:r>
      <w:r>
        <w:rPr>
          <w:rStyle w:val="CharDivText"/>
        </w:rPr>
        <w:t>Repeal of the LSL General Order</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nzHeading5"/>
      </w:pPr>
      <w:bookmarkStart w:id="305" w:name="_Toc129769405"/>
      <w:bookmarkStart w:id="306" w:name="_Toc129771235"/>
      <w:bookmarkStart w:id="307" w:name="_Toc139360829"/>
      <w:bookmarkStart w:id="308" w:name="_Toc139792916"/>
      <w:bookmarkStart w:id="309" w:name="_Toc139797380"/>
      <w:r>
        <w:rPr>
          <w:rStyle w:val="CharSectno"/>
        </w:rPr>
        <w:t>63</w:t>
      </w:r>
      <w:r>
        <w:t>.</w:t>
      </w:r>
      <w:r>
        <w:tab/>
        <w:t>Meaning of terms used in this Division</w:t>
      </w:r>
      <w:bookmarkEnd w:id="305"/>
      <w:bookmarkEnd w:id="306"/>
      <w:bookmarkEnd w:id="307"/>
      <w:bookmarkEnd w:id="308"/>
      <w:bookmarkEnd w:id="309"/>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310" w:name="_Toc129769406"/>
      <w:bookmarkStart w:id="311" w:name="_Toc129771236"/>
      <w:bookmarkStart w:id="312" w:name="_Toc139360830"/>
      <w:bookmarkStart w:id="313" w:name="_Toc139792917"/>
      <w:bookmarkStart w:id="314" w:name="_Toc139797381"/>
      <w:r>
        <w:rPr>
          <w:rStyle w:val="CharSectno"/>
        </w:rPr>
        <w:t>64</w:t>
      </w:r>
      <w:r>
        <w:t>.</w:t>
      </w:r>
      <w:r>
        <w:tab/>
        <w:t>LSL General Order repealed</w:t>
      </w:r>
      <w:bookmarkEnd w:id="310"/>
      <w:bookmarkEnd w:id="311"/>
      <w:bookmarkEnd w:id="312"/>
      <w:bookmarkEnd w:id="313"/>
      <w:bookmarkEnd w:id="314"/>
    </w:p>
    <w:p>
      <w:pPr>
        <w:pStyle w:val="nzSubsection"/>
      </w:pPr>
      <w:r>
        <w:tab/>
      </w:r>
      <w:r>
        <w:tab/>
        <w:t>The LSL General Order is repealed.</w:t>
      </w:r>
    </w:p>
    <w:p>
      <w:pPr>
        <w:pStyle w:val="nzHeading5"/>
      </w:pPr>
      <w:bookmarkStart w:id="315" w:name="_Toc129769407"/>
      <w:bookmarkStart w:id="316" w:name="_Toc129771237"/>
      <w:bookmarkStart w:id="317" w:name="_Toc139360831"/>
      <w:bookmarkStart w:id="318" w:name="_Toc139792918"/>
      <w:bookmarkStart w:id="319" w:name="_Toc139797382"/>
      <w:r>
        <w:rPr>
          <w:rStyle w:val="CharSectno"/>
        </w:rPr>
        <w:t>65</w:t>
      </w:r>
      <w:r>
        <w:t>.</w:t>
      </w:r>
      <w:r>
        <w:tab/>
        <w:t>Transitional provision — references to the LSL General Order</w:t>
      </w:r>
      <w:bookmarkEnd w:id="315"/>
      <w:bookmarkEnd w:id="316"/>
      <w:bookmarkEnd w:id="317"/>
      <w:bookmarkEnd w:id="318"/>
      <w:bookmarkEnd w:id="319"/>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676</w:t>
      </w:r>
      <w:r>
        <w:rPr>
          <w:snapToGrid w:val="0"/>
        </w:rPr>
        <w:t xml:space="preserve"> had not come into operation.  It reads as follows:</w:t>
      </w:r>
    </w:p>
    <w:p>
      <w:pPr>
        <w:pStyle w:val="MiscOpen"/>
        <w:rPr>
          <w:snapToGrid w:val="0"/>
        </w:rPr>
      </w:pPr>
      <w:r>
        <w:rPr>
          <w:snapToGrid w:val="0"/>
        </w:rPr>
        <w:t>“</w:t>
      </w:r>
    </w:p>
    <w:p>
      <w:pPr>
        <w:pStyle w:val="nzHeading5"/>
      </w:pPr>
      <w:bookmarkStart w:id="320" w:name="_Toc198708653"/>
      <w:r>
        <w:rPr>
          <w:rStyle w:val="CharSectno"/>
        </w:rPr>
        <w:t>676</w:t>
      </w:r>
      <w:r>
        <w:t>.</w:t>
      </w:r>
      <w:r>
        <w:tab/>
      </w:r>
      <w:r>
        <w:rPr>
          <w:i/>
          <w:iCs/>
        </w:rPr>
        <w:t>Long Service Leave Act 1958</w:t>
      </w:r>
      <w:r>
        <w:t xml:space="preserve"> amended</w:t>
      </w:r>
      <w:bookmarkEnd w:id="320"/>
    </w:p>
    <w:p>
      <w:pPr>
        <w:pStyle w:val="nzSubsection"/>
      </w:pPr>
      <w:r>
        <w:tab/>
        <w:t>(1)</w:t>
      </w:r>
      <w:r>
        <w:tab/>
        <w:t xml:space="preserve">The amendments in this section are to the </w:t>
      </w:r>
      <w:r>
        <w:rPr>
          <w:i/>
          <w:iCs/>
        </w:rPr>
        <w:t>Long Service Leave Act 1958</w:t>
      </w:r>
      <w:r>
        <w:t>.</w:t>
      </w:r>
    </w:p>
    <w:p>
      <w:pPr>
        <w:pStyle w:val="nz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pPr>
      <w:r>
        <w:t>”.</w:t>
      </w:r>
    </w:p>
    <w:p>
      <w:pPr>
        <w:rPr>
          <w:del w:id="321" w:author="svcMRProcess" w:date="2018-09-04T14:47:00Z"/>
        </w:rPr>
      </w:pPr>
    </w:p>
    <w:p>
      <w:pPr>
        <w:rPr>
          <w:del w:id="322" w:author="svcMRProcess" w:date="2018-09-04T14:47: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Subsection"/>
        <w:rPr>
          <w:ins w:id="323" w:author="svcMRProcess" w:date="2018-09-04T14:47:00Z"/>
          <w:snapToGrid w:val="0"/>
        </w:rPr>
      </w:pPr>
      <w:ins w:id="324" w:author="svcMRProcess" w:date="2018-09-04T14:47:00Z">
        <w:r>
          <w:rPr>
            <w:snapToGrid w:val="0"/>
            <w:vertAlign w:val="superscript"/>
          </w:rPr>
          <w:t>8</w:t>
        </w:r>
        <w:r>
          <w:rPr>
            <w:snapToGrid w:val="0"/>
          </w:rPr>
          <w:tab/>
          <w:t xml:space="preserve">On the date as at which this compilation was prepared, the </w:t>
        </w:r>
        <w:r>
          <w:rPr>
            <w:i/>
            <w:iCs/>
            <w:snapToGrid w:val="0"/>
          </w:rPr>
          <w:t>Training Legislation Amendment and Repeal Act 2008</w:t>
        </w:r>
        <w:r>
          <w:rPr>
            <w:snapToGrid w:val="0"/>
          </w:rPr>
          <w:t xml:space="preserve"> s. 54 had not come into operation.  It reads as follows:</w:t>
        </w:r>
      </w:ins>
    </w:p>
    <w:p>
      <w:pPr>
        <w:pStyle w:val="MiscOpen"/>
        <w:rPr>
          <w:ins w:id="325" w:author="svcMRProcess" w:date="2018-09-04T14:47:00Z"/>
          <w:snapToGrid w:val="0"/>
        </w:rPr>
      </w:pPr>
      <w:ins w:id="326" w:author="svcMRProcess" w:date="2018-09-04T14:47:00Z">
        <w:r>
          <w:rPr>
            <w:snapToGrid w:val="0"/>
          </w:rPr>
          <w:t>“</w:t>
        </w:r>
      </w:ins>
    </w:p>
    <w:p>
      <w:pPr>
        <w:rPr>
          <w:ins w:id="327" w:author="svcMRProcess" w:date="2018-09-04T14:47:00Z"/>
        </w:rPr>
      </w:pPr>
    </w:p>
    <w:p>
      <w:pPr>
        <w:pStyle w:val="nzHeading5"/>
        <w:rPr>
          <w:ins w:id="328" w:author="svcMRProcess" w:date="2018-09-04T14:47:00Z"/>
        </w:rPr>
      </w:pPr>
      <w:bookmarkStart w:id="329" w:name="_Toc216022810"/>
      <w:bookmarkStart w:id="330" w:name="_Toc217187713"/>
      <w:ins w:id="331" w:author="svcMRProcess" w:date="2018-09-04T14:47:00Z">
        <w:r>
          <w:rPr>
            <w:rStyle w:val="CharSectno"/>
          </w:rPr>
          <w:t>54</w:t>
        </w:r>
        <w:r>
          <w:t>.</w:t>
        </w:r>
        <w:r>
          <w:tab/>
        </w:r>
        <w:r>
          <w:rPr>
            <w:i/>
          </w:rPr>
          <w:t xml:space="preserve">Long Service Leave Act 1958 </w:t>
        </w:r>
        <w:r>
          <w:t>amended</w:t>
        </w:r>
        <w:bookmarkEnd w:id="329"/>
        <w:bookmarkEnd w:id="330"/>
      </w:ins>
    </w:p>
    <w:p>
      <w:pPr>
        <w:pStyle w:val="nzSubsection"/>
        <w:rPr>
          <w:ins w:id="332" w:author="svcMRProcess" w:date="2018-09-04T14:47:00Z"/>
        </w:rPr>
      </w:pPr>
      <w:ins w:id="333" w:author="svcMRProcess" w:date="2018-09-04T14:47:00Z">
        <w:r>
          <w:tab/>
          <w:t>(1)</w:t>
        </w:r>
        <w:r>
          <w:tab/>
          <w:t xml:space="preserve">This section amends the </w:t>
        </w:r>
        <w:r>
          <w:rPr>
            <w:i/>
          </w:rPr>
          <w:t>Long Service Leave Act 1958</w:t>
        </w:r>
        <w:r>
          <w:t>.</w:t>
        </w:r>
      </w:ins>
    </w:p>
    <w:p>
      <w:pPr>
        <w:pStyle w:val="nzSubsection"/>
        <w:rPr>
          <w:ins w:id="334" w:author="svcMRProcess" w:date="2018-09-04T14:47:00Z"/>
        </w:rPr>
      </w:pPr>
      <w:ins w:id="335" w:author="svcMRProcess" w:date="2018-09-04T14:47:00Z">
        <w:r>
          <w:tab/>
          <w:t>(2)</w:t>
        </w:r>
        <w:r>
          <w:tab/>
          <w:t xml:space="preserve">In section 4(1) delete the definitions of </w:t>
        </w:r>
        <w:r>
          <w:rPr>
            <w:b/>
            <w:bCs/>
            <w:i/>
            <w:iCs/>
          </w:rPr>
          <w:t>apprentice</w:t>
        </w:r>
        <w:r>
          <w:t xml:space="preserve"> and </w:t>
        </w:r>
        <w:r>
          <w:rPr>
            <w:b/>
            <w:bCs/>
            <w:i/>
            <w:iCs/>
          </w:rPr>
          <w:t>industrial trainee</w:t>
        </w:r>
        <w:r>
          <w:t>.</w:t>
        </w:r>
      </w:ins>
    </w:p>
    <w:p>
      <w:pPr>
        <w:pStyle w:val="nzSubsection"/>
        <w:rPr>
          <w:ins w:id="336" w:author="svcMRProcess" w:date="2018-09-04T14:47:00Z"/>
        </w:rPr>
      </w:pPr>
      <w:ins w:id="337" w:author="svcMRProcess" w:date="2018-09-04T14:47:00Z">
        <w:r>
          <w:tab/>
          <w:t>(3)</w:t>
        </w:r>
        <w:r>
          <w:tab/>
          <w:t>In section 4(1) insert in alphabetical order:</w:t>
        </w:r>
      </w:ins>
    </w:p>
    <w:p>
      <w:pPr>
        <w:pStyle w:val="BlankOpen"/>
        <w:rPr>
          <w:ins w:id="338" w:author="svcMRProcess" w:date="2018-09-04T14:47:00Z"/>
        </w:rPr>
      </w:pPr>
    </w:p>
    <w:p>
      <w:pPr>
        <w:pStyle w:val="nzDefstart"/>
        <w:rPr>
          <w:ins w:id="339" w:author="svcMRProcess" w:date="2018-09-04T14:47:00Z"/>
        </w:rPr>
      </w:pPr>
      <w:ins w:id="340" w:author="svcMRProcess" w:date="2018-09-04T14:47:00Z">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ins>
    </w:p>
    <w:p>
      <w:pPr>
        <w:pStyle w:val="BlankClose"/>
        <w:rPr>
          <w:ins w:id="341" w:author="svcMRProcess" w:date="2018-09-04T14:47:00Z"/>
        </w:rPr>
      </w:pPr>
    </w:p>
    <w:p>
      <w:pPr>
        <w:pStyle w:val="nzSubsection"/>
        <w:rPr>
          <w:ins w:id="342" w:author="svcMRProcess" w:date="2018-09-04T14:47:00Z"/>
        </w:rPr>
      </w:pPr>
      <w:ins w:id="343" w:author="svcMRProcess" w:date="2018-09-04T14:47:00Z">
        <w:r>
          <w:tab/>
          <w:t>(4)</w:t>
        </w:r>
        <w:r>
          <w:tab/>
          <w:t xml:space="preserve">In section 4(1) in the definition of </w:t>
        </w:r>
        <w:r>
          <w:rPr>
            <w:b/>
            <w:bCs/>
            <w:i/>
            <w:iCs/>
          </w:rPr>
          <w:t>employee</w:t>
        </w:r>
        <w:r>
          <w:t xml:space="preserve"> in paragraph (a) delete “apprentice or industrial trainee;” and insert:</w:t>
        </w:r>
      </w:ins>
    </w:p>
    <w:p>
      <w:pPr>
        <w:pStyle w:val="BlankOpen"/>
        <w:rPr>
          <w:ins w:id="344" w:author="svcMRProcess" w:date="2018-09-04T14:47:00Z"/>
        </w:rPr>
      </w:pPr>
    </w:p>
    <w:p>
      <w:pPr>
        <w:pStyle w:val="nzSubsection"/>
        <w:rPr>
          <w:ins w:id="345" w:author="svcMRProcess" w:date="2018-09-04T14:47:00Z"/>
        </w:rPr>
      </w:pPr>
      <w:ins w:id="346" w:author="svcMRProcess" w:date="2018-09-04T14:47:00Z">
        <w:r>
          <w:tab/>
        </w:r>
        <w:r>
          <w:tab/>
          <w:t>apprentice;</w:t>
        </w:r>
      </w:ins>
    </w:p>
    <w:p>
      <w:pPr>
        <w:pStyle w:val="BlankClose"/>
        <w:rPr>
          <w:ins w:id="347" w:author="svcMRProcess" w:date="2018-09-04T14:47:00Z"/>
        </w:rPr>
      </w:pPr>
    </w:p>
    <w:p>
      <w:pPr>
        <w:pStyle w:val="MiscClose"/>
        <w:rPr>
          <w:ins w:id="348" w:author="svcMRProcess" w:date="2018-09-04T14:47:00Z"/>
        </w:rPr>
      </w:pPr>
      <w:ins w:id="349" w:author="svcMRProcess" w:date="2018-09-04T14:47:00Z">
        <w:r>
          <w:t>”.</w:t>
        </w:r>
      </w:ins>
    </w:p>
    <w:p>
      <w:pPr>
        <w:rPr>
          <w:ins w:id="350" w:author="svcMRProcess" w:date="2018-09-04T14:47: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 provisions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fldSimple w:instr=" styleref CharPartText ">
            <w:r>
              <w:rPr>
                <w:noProof/>
              </w:rPr>
              <w:t>Construction and application of this Act</w:t>
            </w:r>
          </w:fldSimple>
        </w:p>
      </w:tc>
      <w:tc>
        <w:tcPr>
          <w:tcW w:w="1287" w:type="dxa"/>
        </w:tcPr>
        <w:p>
          <w:pPr>
            <w:pStyle w:val="HeaderNumberRight"/>
          </w:pPr>
          <w:fldSimple w:instr=" styleref CharPartNo ">
            <w:r>
              <w:rPr>
                <w:noProof/>
              </w:rPr>
              <w:t>Part II</w:t>
            </w:r>
          </w:fldSimple>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5930</Words>
  <Characters>27931</Characters>
  <Application>Microsoft Office Word</Application>
  <DocSecurity>0</DocSecurity>
  <Lines>775</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04-b0-05 - 04-c0-02</dc:title>
  <dc:subject/>
  <dc:creator/>
  <cp:keywords/>
  <dc:description/>
  <cp:lastModifiedBy>svcMRProcess</cp:lastModifiedBy>
  <cp:revision>2</cp:revision>
  <cp:lastPrinted>2006-08-23T05:21:00Z</cp:lastPrinted>
  <dcterms:created xsi:type="dcterms:W3CDTF">2018-09-04T06:47:00Z</dcterms:created>
  <dcterms:modified xsi:type="dcterms:W3CDTF">2018-09-04T06:47:00Z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468</vt:i4>
  </property>
  <property fmtid="{D5CDD505-2E9C-101B-9397-08002B2CF9AE}" pid="6" name="ReprintNo">
    <vt:lpwstr>4</vt:lpwstr>
  </property>
  <property fmtid="{D5CDD505-2E9C-101B-9397-08002B2CF9AE}" pid="7" name="FromSuffix">
    <vt:lpwstr>04-b0-05</vt:lpwstr>
  </property>
  <property fmtid="{D5CDD505-2E9C-101B-9397-08002B2CF9AE}" pid="8" name="FromAsAtDate">
    <vt:lpwstr>27 May 2008</vt:lpwstr>
  </property>
  <property fmtid="{D5CDD505-2E9C-101B-9397-08002B2CF9AE}" pid="9" name="ToSuffix">
    <vt:lpwstr>04-c0-02</vt:lpwstr>
  </property>
  <property fmtid="{D5CDD505-2E9C-101B-9397-08002B2CF9AE}" pid="10" name="ToAsAtDate">
    <vt:lpwstr>10 Dec 2008</vt:lpwstr>
  </property>
</Properties>
</file>