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Apr 2009</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17 May 2009</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41:00Z"/>
        </w:trPr>
        <w:tc>
          <w:tcPr>
            <w:tcW w:w="2434" w:type="dxa"/>
            <w:vMerge w:val="restart"/>
          </w:tcPr>
          <w:p>
            <w:pPr>
              <w:rPr>
                <w:del w:id="1" w:author="Master Repository Process" w:date="2021-08-29T02:41:00Z"/>
              </w:rPr>
            </w:pPr>
          </w:p>
        </w:tc>
        <w:tc>
          <w:tcPr>
            <w:tcW w:w="2434" w:type="dxa"/>
            <w:vMerge w:val="restart"/>
          </w:tcPr>
          <w:p>
            <w:pPr>
              <w:jc w:val="center"/>
              <w:rPr>
                <w:del w:id="2" w:author="Master Repository Process" w:date="2021-08-29T02:41:00Z"/>
              </w:rPr>
            </w:pPr>
            <w:del w:id="3" w:author="Master Repository Process" w:date="2021-08-29T02:4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41:00Z"/>
              </w:rPr>
            </w:pPr>
            <w:del w:id="5" w:author="Master Repository Process" w:date="2021-08-29T02:4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41:00Z"/>
        </w:trPr>
        <w:tc>
          <w:tcPr>
            <w:tcW w:w="2434" w:type="dxa"/>
            <w:vMerge/>
          </w:tcPr>
          <w:p>
            <w:pPr>
              <w:rPr>
                <w:del w:id="7" w:author="Master Repository Process" w:date="2021-08-29T02:41:00Z"/>
              </w:rPr>
            </w:pPr>
          </w:p>
        </w:tc>
        <w:tc>
          <w:tcPr>
            <w:tcW w:w="2434" w:type="dxa"/>
            <w:vMerge/>
          </w:tcPr>
          <w:p>
            <w:pPr>
              <w:jc w:val="center"/>
              <w:rPr>
                <w:del w:id="8" w:author="Master Repository Process" w:date="2021-08-29T02:41:00Z"/>
              </w:rPr>
            </w:pPr>
          </w:p>
        </w:tc>
        <w:tc>
          <w:tcPr>
            <w:tcW w:w="2434" w:type="dxa"/>
          </w:tcPr>
          <w:p>
            <w:pPr>
              <w:keepNext/>
              <w:rPr>
                <w:del w:id="9" w:author="Master Repository Process" w:date="2021-08-29T02:41:00Z"/>
                <w:b/>
                <w:sz w:val="22"/>
              </w:rPr>
            </w:pPr>
            <w:del w:id="10" w:author="Master Repository Process" w:date="2021-08-29T02:41:00Z">
              <w:r>
                <w:rPr>
                  <w:b/>
                  <w:sz w:val="22"/>
                </w:rPr>
                <w:delText>at 3</w:delText>
              </w:r>
              <w:r>
                <w:rPr>
                  <w:b/>
                  <w:snapToGrid w:val="0"/>
                  <w:sz w:val="22"/>
                </w:rPr>
                <w:delText xml:space="preserve"> April 2009</w:delText>
              </w:r>
            </w:del>
          </w:p>
        </w:tc>
      </w:tr>
    </w:tbl>
    <w:p>
      <w:pPr>
        <w:pStyle w:val="WA"/>
        <w:spacing w:before="120"/>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1" w:name="_Toc110931793"/>
      <w:bookmarkStart w:id="12" w:name="_Toc110933101"/>
      <w:bookmarkStart w:id="13" w:name="_Toc110933177"/>
      <w:bookmarkStart w:id="14" w:name="_Toc110933260"/>
      <w:bookmarkStart w:id="15" w:name="_Toc113703759"/>
      <w:bookmarkStart w:id="16" w:name="_Toc113767350"/>
      <w:bookmarkStart w:id="17" w:name="_Toc115087788"/>
      <w:bookmarkStart w:id="18" w:name="_Toc115146229"/>
      <w:bookmarkStart w:id="19" w:name="_Toc143931246"/>
      <w:bookmarkStart w:id="20" w:name="_Toc144005693"/>
      <w:bookmarkStart w:id="21" w:name="_Toc148759765"/>
      <w:bookmarkStart w:id="22" w:name="_Toc153172618"/>
      <w:bookmarkStart w:id="23" w:name="_Toc153172799"/>
      <w:bookmarkStart w:id="24" w:name="_Toc170548705"/>
      <w:bookmarkStart w:id="25" w:name="_Toc170620631"/>
      <w:bookmarkStart w:id="26" w:name="_Toc200445051"/>
      <w:bookmarkStart w:id="27" w:name="_Toc200515746"/>
      <w:bookmarkStart w:id="28" w:name="_Toc221608003"/>
      <w:bookmarkStart w:id="29" w:name="_Toc221609978"/>
      <w:bookmarkStart w:id="30" w:name="_Toc225757945"/>
      <w:bookmarkStart w:id="31" w:name="_Toc227051289"/>
      <w:bookmarkStart w:id="32" w:name="_Toc230162386"/>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p>
    <w:p>
      <w:pPr>
        <w:pStyle w:val="Heading5"/>
        <w:rPr>
          <w:snapToGrid w:val="0"/>
        </w:rPr>
      </w:pPr>
      <w:bookmarkStart w:id="34" w:name="_Toc5072619"/>
      <w:bookmarkStart w:id="35" w:name="_Toc5072791"/>
      <w:bookmarkStart w:id="36" w:name="_Toc7409902"/>
      <w:bookmarkStart w:id="37" w:name="_Toc110931794"/>
      <w:bookmarkStart w:id="38" w:name="_Toc110933102"/>
      <w:bookmarkStart w:id="39" w:name="_Toc230162387"/>
      <w:bookmarkStart w:id="40" w:name="_Toc227051290"/>
      <w:r>
        <w:rPr>
          <w:rStyle w:val="CharSectno"/>
        </w:rPr>
        <w:t>1</w:t>
      </w:r>
      <w:r>
        <w:rPr>
          <w:snapToGrid w:val="0"/>
        </w:rPr>
        <w:t>.</w:t>
      </w:r>
      <w:r>
        <w:rPr>
          <w:snapToGrid w:val="0"/>
        </w:rPr>
        <w:tab/>
        <w:t>Citation</w:t>
      </w:r>
      <w:bookmarkEnd w:id="34"/>
      <w:bookmarkEnd w:id="35"/>
      <w:bookmarkEnd w:id="36"/>
      <w:bookmarkEnd w:id="37"/>
      <w:bookmarkEnd w:id="38"/>
      <w:bookmarkEnd w:id="39"/>
      <w:bookmarkEnd w:id="40"/>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Cs/>
          <w:snapToGrid w:val="0"/>
        </w:rPr>
        <w:t>.</w:t>
      </w:r>
    </w:p>
    <w:p>
      <w:pPr>
        <w:pStyle w:val="Heading5"/>
        <w:rPr>
          <w:snapToGrid w:val="0"/>
        </w:rPr>
      </w:pPr>
      <w:bookmarkStart w:id="41" w:name="_Toc5072620"/>
      <w:bookmarkStart w:id="42" w:name="_Toc5072792"/>
      <w:bookmarkStart w:id="43" w:name="_Toc7409903"/>
      <w:bookmarkStart w:id="44" w:name="_Toc110931795"/>
      <w:bookmarkStart w:id="45" w:name="_Toc110933103"/>
      <w:bookmarkStart w:id="46" w:name="_Toc230162388"/>
      <w:bookmarkStart w:id="47" w:name="_Toc227051291"/>
      <w:r>
        <w:rPr>
          <w:rStyle w:val="CharSectno"/>
        </w:rPr>
        <w:t>2</w:t>
      </w:r>
      <w:r>
        <w:rPr>
          <w:snapToGrid w:val="0"/>
        </w:rPr>
        <w:t>.</w:t>
      </w:r>
      <w:r>
        <w:rPr>
          <w:snapToGrid w:val="0"/>
        </w:rPr>
        <w:tab/>
        <w:t>Commencement</w:t>
      </w:r>
      <w:bookmarkEnd w:id="41"/>
      <w:bookmarkEnd w:id="42"/>
      <w:bookmarkEnd w:id="43"/>
      <w:bookmarkEnd w:id="44"/>
      <w:bookmarkEnd w:id="45"/>
      <w:bookmarkEnd w:id="46"/>
      <w:bookmarkEnd w:id="47"/>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48" w:name="_Toc5072621"/>
      <w:bookmarkStart w:id="49" w:name="_Toc5072793"/>
      <w:bookmarkStart w:id="50" w:name="_Toc7409904"/>
      <w:bookmarkStart w:id="51" w:name="_Toc110931796"/>
      <w:bookmarkStart w:id="52" w:name="_Toc110933104"/>
      <w:bookmarkStart w:id="53" w:name="_Toc230162389"/>
      <w:bookmarkStart w:id="54" w:name="_Toc227051292"/>
      <w:r>
        <w:rPr>
          <w:rStyle w:val="CharSectno"/>
        </w:rPr>
        <w:t>3</w:t>
      </w:r>
      <w:r>
        <w:rPr>
          <w:snapToGrid w:val="0"/>
        </w:rPr>
        <w:t>.</w:t>
      </w:r>
      <w:r>
        <w:rPr>
          <w:snapToGrid w:val="0"/>
        </w:rPr>
        <w:tab/>
      </w:r>
      <w:bookmarkEnd w:id="48"/>
      <w:bookmarkEnd w:id="49"/>
      <w:bookmarkEnd w:id="50"/>
      <w:bookmarkEnd w:id="51"/>
      <w:bookmarkEnd w:id="52"/>
      <w:r>
        <w:rPr>
          <w:snapToGrid w:val="0"/>
        </w:rPr>
        <w:t>Terms used</w:t>
      </w:r>
      <w:bookmarkEnd w:id="53"/>
      <w:bookmarkEnd w:id="5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authorised by the Commission to process playslips;</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rules 5, 6 and 7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a single entry in which between 4 and 20 numbers inclusive out of 45 are selected, and which, individually, may constitute part, or all, of a playslip;</w:t>
      </w:r>
    </w:p>
    <w:p>
      <w:pPr>
        <w:pStyle w:val="Defpara"/>
      </w:pPr>
      <w:r>
        <w:tab/>
        <w:t>(b)</w:t>
      </w:r>
      <w:r>
        <w:tab/>
        <w:t>in relation to a system entry, the notional multiple games making up that single system entry;</w:t>
      </w:r>
    </w:p>
    <w:p>
      <w:pPr>
        <w:pStyle w:val="Defstart"/>
      </w:pPr>
      <w:r>
        <w:rPr>
          <w:b/>
        </w:rPr>
        <w:tab/>
      </w:r>
      <w:r>
        <w:rPr>
          <w:rStyle w:val="CharDefText"/>
        </w:rPr>
        <w:t>National Lotto Bloc</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r>
      <w:r>
        <w:rPr>
          <w:rStyle w:val="CharDefText"/>
        </w:rPr>
        <w:t>Oz lotto</w:t>
      </w:r>
      <w:r>
        <w:t xml:space="preserve"> means lotto conducted in accordance with these rules;</w:t>
      </w:r>
    </w:p>
    <w:p>
      <w:pPr>
        <w:pStyle w:val="Defstart"/>
      </w:pPr>
      <w:r>
        <w:rPr>
          <w:b/>
        </w:rPr>
        <w:tab/>
      </w:r>
      <w:r>
        <w:rPr>
          <w:rStyle w:val="CharDefText"/>
        </w:rPr>
        <w:t>Oz lotto draw</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r>
      <w:r>
        <w:rPr>
          <w:rStyle w:val="CharDefText"/>
        </w:rPr>
        <w:t>payout period</w:t>
      </w:r>
      <w:r>
        <w:t xml:space="preserve"> means the period from the Wednesday after that Oz lotto draw to the close of business one year from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pool</w:t>
      </w:r>
      <w:r>
        <w:t xml:space="preserve"> means the prize pool referred to in rule 16(2)(a);</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either as a result of processing a playslip, accepting a promotional coupon or as a response to an oral request by a subscriber;</w:t>
      </w:r>
    </w:p>
    <w:p>
      <w:pPr>
        <w:pStyle w:val="Defstart"/>
      </w:pPr>
      <w:r>
        <w:rPr>
          <w:b/>
        </w:rPr>
        <w:tab/>
      </w:r>
      <w:r>
        <w:rPr>
          <w:rStyle w:val="CharDefText"/>
        </w:rPr>
        <w:t>selling period</w:t>
      </w:r>
      <w:r>
        <w:t xml:space="preserve"> means the period of time terminating at 6.00 p.m. on the day on which the Oz lotto draw takes place, or 5.00 p.m. on that day, if so determined by the Commission from time to time;</w:t>
      </w:r>
    </w:p>
    <w:p>
      <w:pPr>
        <w:pStyle w:val="Defstart"/>
      </w:pPr>
      <w:r>
        <w:rPr>
          <w:b/>
        </w:rPr>
        <w:tab/>
      </w:r>
      <w:r>
        <w:rPr>
          <w:rStyle w:val="CharDefText"/>
        </w:rPr>
        <w:t>supplementary number</w:t>
      </w:r>
      <w:r>
        <w:t xml:space="preserve"> in relation to an Oz lotto draw, means one of the last 2 numbers drawn;</w:t>
      </w:r>
    </w:p>
    <w:p>
      <w:pPr>
        <w:pStyle w:val="Defstart"/>
      </w:pPr>
      <w:r>
        <w:rPr>
          <w:b/>
        </w:rPr>
        <w:tab/>
      </w:r>
      <w:r>
        <w:rPr>
          <w:rStyle w:val="CharDefText"/>
        </w:rPr>
        <w:t>total prize pool</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r>
      <w:r>
        <w:rPr>
          <w:rStyle w:val="CharDefText"/>
        </w:rPr>
        <w:t>validation period</w:t>
      </w:r>
      <w:r>
        <w:t xml:space="preserve"> for an Oz lotto draw means the period of time from the draw to the close of business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r>
      <w:bookmarkStart w:id="55" w:name="endcomma"/>
      <w:bookmarkEnd w:id="55"/>
      <w:r>
        <w:rPr>
          <w:rStyle w:val="CharDefText"/>
        </w:rPr>
        <w:t>winning number</w:t>
      </w:r>
      <w:r>
        <w:t xml:space="preserve"> </w:t>
      </w:r>
      <w:bookmarkStart w:id="56" w:name="comma"/>
      <w:bookmarkEnd w:id="56"/>
      <w:r>
        <w:t>means in relation to an Oz lotto draw, any one of the first 7 numbers drawn in that draw.</w:t>
      </w:r>
    </w:p>
    <w:p>
      <w:pPr>
        <w:pStyle w:val="Footnotesection"/>
      </w:pPr>
      <w:r>
        <w:tab/>
        <w:t>[Rule 3 amended in Gazette 9 Mar 2001 p. 1337; 28 Mar 2002 p. 1763; 6 Sep 2005 p. 4119-20; 6 Jun 2008 p. 2275-7.]</w:t>
      </w:r>
    </w:p>
    <w:p>
      <w:pPr>
        <w:pStyle w:val="Heading2"/>
      </w:pPr>
      <w:bookmarkStart w:id="57" w:name="_Toc110931797"/>
      <w:bookmarkStart w:id="58" w:name="_Toc110933105"/>
      <w:bookmarkStart w:id="59" w:name="_Toc110933181"/>
      <w:bookmarkStart w:id="60" w:name="_Toc110933264"/>
      <w:bookmarkStart w:id="61" w:name="_Toc113703763"/>
      <w:bookmarkStart w:id="62" w:name="_Toc113767354"/>
      <w:bookmarkStart w:id="63" w:name="_Toc115087792"/>
      <w:bookmarkStart w:id="64" w:name="_Toc115146233"/>
      <w:bookmarkStart w:id="65" w:name="_Toc143931250"/>
      <w:bookmarkStart w:id="66" w:name="_Toc144005697"/>
      <w:bookmarkStart w:id="67" w:name="_Toc148759769"/>
      <w:bookmarkStart w:id="68" w:name="_Toc153172622"/>
      <w:bookmarkStart w:id="69" w:name="_Toc153172803"/>
      <w:bookmarkStart w:id="70" w:name="_Toc170548709"/>
      <w:bookmarkStart w:id="71" w:name="_Toc170620635"/>
      <w:bookmarkStart w:id="72" w:name="_Toc200445055"/>
      <w:bookmarkStart w:id="73" w:name="_Toc200515750"/>
      <w:bookmarkStart w:id="74" w:name="_Toc221608007"/>
      <w:bookmarkStart w:id="75" w:name="_Toc221609982"/>
      <w:bookmarkStart w:id="76" w:name="_Toc225757949"/>
      <w:bookmarkStart w:id="77" w:name="_Toc227051293"/>
      <w:bookmarkStart w:id="78" w:name="_Toc230162390"/>
      <w:r>
        <w:rPr>
          <w:rStyle w:val="CharPartNo"/>
        </w:rPr>
        <w:t>Part 2</w:t>
      </w:r>
      <w:r>
        <w:rPr>
          <w:rStyle w:val="CharDivNo"/>
        </w:rPr>
        <w:t> </w:t>
      </w:r>
      <w:r>
        <w:t>—</w:t>
      </w:r>
      <w:r>
        <w:rPr>
          <w:rStyle w:val="CharDivText"/>
        </w:rPr>
        <w:t> </w:t>
      </w:r>
      <w:r>
        <w:rPr>
          <w:rStyle w:val="CharPartText"/>
        </w:rPr>
        <w:t>Requirements for entry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pPr>
        <w:pStyle w:val="Heading5"/>
        <w:spacing w:before="260"/>
        <w:rPr>
          <w:snapToGrid w:val="0"/>
        </w:rPr>
      </w:pPr>
      <w:bookmarkStart w:id="79" w:name="_Toc5072622"/>
      <w:bookmarkStart w:id="80" w:name="_Toc5072794"/>
      <w:bookmarkStart w:id="81" w:name="_Toc7409905"/>
      <w:bookmarkStart w:id="82" w:name="_Toc110931798"/>
      <w:bookmarkStart w:id="83" w:name="_Toc110933106"/>
      <w:bookmarkStart w:id="84" w:name="_Toc230162391"/>
      <w:bookmarkStart w:id="85" w:name="_Toc227051294"/>
      <w:r>
        <w:rPr>
          <w:rStyle w:val="CharSectno"/>
        </w:rPr>
        <w:t>4</w:t>
      </w:r>
      <w:r>
        <w:rPr>
          <w:snapToGrid w:val="0"/>
        </w:rPr>
        <w:t>.</w:t>
      </w:r>
      <w:r>
        <w:rPr>
          <w:snapToGrid w:val="0"/>
        </w:rPr>
        <w:tab/>
      </w:r>
      <w:bookmarkEnd w:id="79"/>
      <w:bookmarkEnd w:id="80"/>
      <w:bookmarkEnd w:id="81"/>
      <w:bookmarkEnd w:id="82"/>
      <w:bookmarkEnd w:id="83"/>
      <w:r>
        <w:rPr>
          <w:snapToGrid w:val="0"/>
        </w:rPr>
        <w:t>Playslip</w:t>
      </w:r>
      <w:bookmarkEnd w:id="84"/>
      <w:bookmarkEnd w:id="85"/>
    </w:p>
    <w:p>
      <w:pPr>
        <w:pStyle w:val="Subsection"/>
        <w:spacing w:before="180"/>
        <w:rPr>
          <w:snapToGrid w:val="0"/>
          <w:spacing w:val="-4"/>
        </w:rPr>
      </w:pPr>
      <w:r>
        <w:rPr>
          <w:snapToGrid w:val="0"/>
          <w:spacing w:val="-4"/>
        </w:rPr>
        <w:tab/>
        <w:t>(1)</w:t>
      </w:r>
      <w:r>
        <w:rPr>
          <w:snapToGrid w:val="0"/>
          <w:spacing w:val="-4"/>
        </w:rPr>
        <w:tab/>
        <w:t xml:space="preserve">The Commission must ensure that </w:t>
      </w:r>
      <w:r>
        <w:t>a playslip</w:t>
      </w:r>
      <w:r>
        <w:rPr>
          <w:snapToGrid w:val="0"/>
          <w:spacing w:val="-4"/>
        </w:rPr>
        <w:t xml:space="preserve"> for Oz lotto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electrical means.</w:t>
      </w:r>
    </w:p>
    <w:p>
      <w:pPr>
        <w:pStyle w:val="Footnotesection"/>
      </w:pPr>
      <w:bookmarkStart w:id="86" w:name="_Toc5072623"/>
      <w:bookmarkStart w:id="87" w:name="_Toc5072795"/>
      <w:bookmarkStart w:id="88" w:name="_Toc7409906"/>
      <w:bookmarkStart w:id="89" w:name="_Toc110931799"/>
      <w:bookmarkStart w:id="90" w:name="_Toc110933107"/>
      <w:r>
        <w:tab/>
        <w:t>[Rule 4 amended in Gazette 6 Jun 2008 p. 2277.]</w:t>
      </w:r>
    </w:p>
    <w:p>
      <w:pPr>
        <w:pStyle w:val="Heading5"/>
        <w:spacing w:before="260"/>
        <w:rPr>
          <w:snapToGrid w:val="0"/>
        </w:rPr>
      </w:pPr>
      <w:bookmarkStart w:id="91" w:name="_Toc230162392"/>
      <w:bookmarkStart w:id="92" w:name="_Toc227051295"/>
      <w:r>
        <w:rPr>
          <w:rStyle w:val="CharSectno"/>
        </w:rPr>
        <w:t>5</w:t>
      </w:r>
      <w:r>
        <w:rPr>
          <w:snapToGrid w:val="0"/>
        </w:rPr>
        <w:t>.</w:t>
      </w:r>
      <w:r>
        <w:rPr>
          <w:snapToGrid w:val="0"/>
        </w:rPr>
        <w:tab/>
        <w:t>Methods of entry</w:t>
      </w:r>
      <w:bookmarkEnd w:id="86"/>
      <w:bookmarkEnd w:id="87"/>
      <w:bookmarkEnd w:id="88"/>
      <w:bookmarkEnd w:id="89"/>
      <w:bookmarkEnd w:id="90"/>
      <w:bookmarkEnd w:id="91"/>
      <w:bookmarkEnd w:id="92"/>
    </w:p>
    <w:p>
      <w:pPr>
        <w:pStyle w:val="Subsection"/>
        <w:spacing w:before="180"/>
        <w:rPr>
          <w:snapToGrid w:val="0"/>
        </w:rPr>
      </w:pPr>
      <w:r>
        <w:rPr>
          <w:snapToGrid w:val="0"/>
        </w:rPr>
        <w:tab/>
        <w:t>(1)</w:t>
      </w:r>
      <w:r>
        <w:rPr>
          <w:snapToGrid w:val="0"/>
        </w:rPr>
        <w:tab/>
        <w:t>A person may enter Oz lotto using any or all of the following methods —</w:t>
      </w:r>
    </w:p>
    <w:p>
      <w:pPr>
        <w:pStyle w:val="Indenta"/>
        <w:rPr>
          <w:snapToGrid w:val="0"/>
        </w:rPr>
      </w:pPr>
      <w:r>
        <w:rPr>
          <w:snapToGrid w:val="0"/>
        </w:rPr>
        <w:tab/>
        <w:t>(a)</w:t>
      </w:r>
      <w:r>
        <w:rPr>
          <w:snapToGrid w:val="0"/>
        </w:rPr>
        <w:tab/>
        <w:t xml:space="preserve">by filling out </w:t>
      </w:r>
      <w:r>
        <w:t>a playslip</w:t>
      </w:r>
      <w:r>
        <w:rPr>
          <w:snapToGrid w:val="0"/>
        </w:rPr>
        <w:t xml:space="preserve">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 or</w:t>
      </w:r>
    </w:p>
    <w:p>
      <w:pPr>
        <w:pStyle w:val="Indenta"/>
      </w:pPr>
      <w:r>
        <w:tab/>
        <w:t>(c)</w:t>
      </w:r>
      <w:r>
        <w:tab/>
        <w:t>using the “ticket repeat” method set out in rule 6A,</w:t>
      </w:r>
    </w:p>
    <w:p>
      <w:pPr>
        <w:pStyle w:val="Subsection"/>
        <w:spacing w:before="180"/>
        <w:rPr>
          <w:snapToGrid w:val="0"/>
        </w:rPr>
      </w:pPr>
      <w:r>
        <w:rPr>
          <w:snapToGrid w:val="0"/>
        </w:rPr>
        <w:tab/>
      </w:r>
      <w:r>
        <w:rPr>
          <w:snapToGrid w:val="0"/>
        </w:rPr>
        <w:tab/>
        <w:t>and by paying the appropriate amount</w:t>
      </w:r>
      <w:r>
        <w:t xml:space="preserve"> calculated using the formula set out in Schedule 1.</w:t>
      </w:r>
    </w:p>
    <w:p>
      <w:pPr>
        <w:pStyle w:val="Subsection"/>
      </w:pPr>
      <w:bookmarkStart w:id="93" w:name="_Toc5072624"/>
      <w:bookmarkStart w:id="94" w:name="_Toc5072796"/>
      <w:bookmarkStart w:id="95" w:name="_Toc7409907"/>
      <w:r>
        <w:tab/>
        <w:t>(1A)</w:t>
      </w:r>
      <w:r>
        <w:tab/>
        <w:t>A person may enter Oz lotto by redeeming a promotional coupon and, in that case, may be required to pay less than the amount payable under subrule (1).</w:t>
      </w:r>
    </w:p>
    <w:p>
      <w:pPr>
        <w:pStyle w:val="Subsection"/>
      </w:pPr>
      <w:r>
        <w:tab/>
        <w:t>(1B)</w:t>
      </w:r>
      <w:r>
        <w:tab/>
        <w:t>A person may enter Oz lotto as a part of a syndicate in accordance with Part 2A.</w:t>
      </w:r>
    </w:p>
    <w:p>
      <w:pPr>
        <w:pStyle w:val="Subsection"/>
      </w:pPr>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 6 Jun 2008 p. 2277-8.]</w:t>
      </w:r>
    </w:p>
    <w:p>
      <w:pPr>
        <w:pStyle w:val="Heading5"/>
      </w:pPr>
      <w:bookmarkStart w:id="96" w:name="_Toc230162393"/>
      <w:bookmarkStart w:id="97" w:name="_Toc227051296"/>
      <w:bookmarkStart w:id="98" w:name="_Toc110931800"/>
      <w:bookmarkStart w:id="99" w:name="_Toc110933108"/>
      <w:r>
        <w:rPr>
          <w:rStyle w:val="CharSectno"/>
        </w:rPr>
        <w:t>5A</w:t>
      </w:r>
      <w:r>
        <w:t>.</w:t>
      </w:r>
      <w:r>
        <w:tab/>
        <w:t>Super 66 entry</w:t>
      </w:r>
      <w:bookmarkEnd w:id="96"/>
      <w:bookmarkEnd w:id="97"/>
    </w:p>
    <w:p>
      <w:pPr>
        <w:pStyle w:val="Subsection"/>
      </w:pPr>
      <w:r>
        <w:tab/>
      </w:r>
      <w:r>
        <w:tab/>
        <w:t xml:space="preserve">A subscriber entering an Oz lotto draw in a particular week may, in conjunction with that entry, enter the Super 66 draw for that week in accordance with the </w:t>
      </w:r>
      <w:r>
        <w:rPr>
          <w:i/>
          <w:iCs/>
        </w:rPr>
        <w:t>Lotteries Commission (Super 66) Rules 1996</w:t>
      </w:r>
      <w:r>
        <w:t>.</w:t>
      </w:r>
    </w:p>
    <w:p>
      <w:pPr>
        <w:pStyle w:val="Footnotesection"/>
      </w:pPr>
      <w:r>
        <w:tab/>
        <w:t>[Rule 5A inserted in Gazette 6 Jun 2008 p. 2278.]</w:t>
      </w:r>
    </w:p>
    <w:p>
      <w:pPr>
        <w:pStyle w:val="Heading5"/>
        <w:rPr>
          <w:snapToGrid w:val="0"/>
        </w:rPr>
      </w:pPr>
      <w:bookmarkStart w:id="100" w:name="_Toc230162394"/>
      <w:bookmarkStart w:id="101" w:name="_Toc227051297"/>
      <w:r>
        <w:rPr>
          <w:rStyle w:val="CharSectno"/>
        </w:rPr>
        <w:t>6</w:t>
      </w:r>
      <w:r>
        <w:rPr>
          <w:snapToGrid w:val="0"/>
        </w:rPr>
        <w:t>.</w:t>
      </w:r>
      <w:r>
        <w:rPr>
          <w:snapToGrid w:val="0"/>
        </w:rPr>
        <w:tab/>
      </w:r>
      <w:bookmarkEnd w:id="93"/>
      <w:bookmarkEnd w:id="94"/>
      <w:bookmarkEnd w:id="95"/>
      <w:bookmarkEnd w:id="98"/>
      <w:bookmarkEnd w:id="99"/>
      <w:r>
        <w:rPr>
          <w:snapToGrid w:val="0"/>
        </w:rPr>
        <w:t>Completion of playslip</w:t>
      </w:r>
      <w:bookmarkEnd w:id="100"/>
      <w:bookmarkEnd w:id="101"/>
    </w:p>
    <w:p>
      <w:pPr>
        <w:pStyle w:val="Subsection"/>
        <w:keepNext/>
        <w:keepLines/>
        <w:rPr>
          <w:snapToGrid w:val="0"/>
        </w:rPr>
      </w:pPr>
      <w:r>
        <w:rPr>
          <w:snapToGrid w:val="0"/>
        </w:rPr>
        <w:tab/>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out of the numbers 1 to 45 for each of at least one game on the </w:t>
      </w:r>
      <w:r>
        <w:t xml:space="preserve">playslip; </w:t>
      </w:r>
      <w:r>
        <w:rPr>
          <w:snapToGrid w:val="0"/>
        </w:rPr>
        <w:t>or</w:t>
      </w:r>
    </w:p>
    <w:p>
      <w:pPr>
        <w:pStyle w:val="Indenta"/>
        <w:rPr>
          <w:snapToGrid w:val="0"/>
        </w:rPr>
      </w:pPr>
      <w:r>
        <w:rPr>
          <w:snapToGrid w:val="0"/>
        </w:rPr>
        <w:tab/>
        <w:t>(b)</w:t>
      </w:r>
      <w:r>
        <w:rPr>
          <w:snapToGrid w:val="0"/>
        </w:rPr>
        <w:tab/>
        <w:t xml:space="preserve">select between 4 and 20 numbers (other than 7 numbers) out of the numbers 1 to 45 in one or more games on the </w:t>
      </w:r>
      <w:r>
        <w:t>playslip.</w:t>
      </w:r>
    </w:p>
    <w:p>
      <w:pPr>
        <w:pStyle w:val="Subsection"/>
      </w:pPr>
      <w:r>
        <w:rPr>
          <w:snapToGrid w:val="0"/>
        </w:rPr>
        <w:tab/>
        <w:t>(2)</w:t>
      </w:r>
      <w:r>
        <w:rPr>
          <w:snapToGrid w:val="0"/>
        </w:rPr>
        <w:tab/>
        <w:t xml:space="preserve">For entry into Oz lotto the subscriber must also mark in the appropriate boxes on the </w:t>
      </w:r>
      <w:r>
        <w:t>playslip —</w:t>
      </w:r>
    </w:p>
    <w:p>
      <w:pPr>
        <w:pStyle w:val="Indenta"/>
        <w:rPr>
          <w:snapToGrid w:val="0"/>
        </w:rPr>
      </w:pPr>
      <w:r>
        <w:rPr>
          <w:snapToGrid w:val="0"/>
        </w:rPr>
        <w:tab/>
        <w:t>(a)</w:t>
      </w:r>
      <w:r>
        <w:rPr>
          <w:snapToGrid w:val="0"/>
        </w:rPr>
        <w:tab/>
        <w:t xml:space="preserve">how many, if any, consecutive weeks the </w:t>
      </w:r>
      <w:r>
        <w:t>playslip</w:t>
      </w:r>
      <w:r>
        <w:rPr>
          <w:snapToGrid w:val="0"/>
        </w:rPr>
        <w:t xml:space="preserve">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 xml:space="preserve">and must pay the amount calculated </w:t>
      </w:r>
      <w:r>
        <w:t>using the formula set out in</w:t>
      </w:r>
      <w:r>
        <w:rPr>
          <w:snapToGrid w:val="0"/>
        </w:rPr>
        <w:t xml:space="preserve"> Schedule 1.</w:t>
      </w:r>
    </w:p>
    <w:p>
      <w:pPr>
        <w:pStyle w:val="Subsection"/>
      </w:pPr>
      <w:r>
        <w:tab/>
        <w:t>(3)</w:t>
      </w:r>
      <w:r>
        <w:tab/>
        <w:t>Where a subscriber selects between 4 and 20 numbers (other than 7 numbers) out of the numbers 1 to 45 in the game marked “1” on a playslip, up to 17 further games may be marked on that playslip by selecting the same number of numbers as were selected in the game marked “1”, but only up to an entry cost that does not, in aggregate, exceed $100 000.</w:t>
      </w:r>
    </w:p>
    <w:p>
      <w:pPr>
        <w:pStyle w:val="Subsection"/>
        <w:rPr>
          <w:snapToGrid w:val="0"/>
          <w:spacing w:val="-4"/>
        </w:rPr>
      </w:pPr>
      <w:r>
        <w:rPr>
          <w:snapToGrid w:val="0"/>
          <w:spacing w:val="-4"/>
        </w:rPr>
        <w:tab/>
        <w:t>(4)</w:t>
      </w:r>
      <w:r>
        <w:rPr>
          <w:snapToGrid w:val="0"/>
          <w:spacing w:val="-4"/>
        </w:rPr>
        <w:tab/>
        <w:t xml:space="preserve">After the subscriber has completed the requirements in this rule, the agent must use that </w:t>
      </w:r>
      <w:r>
        <w:t>playslip</w:t>
      </w:r>
      <w:r>
        <w:rPr>
          <w:snapToGrid w:val="0"/>
          <w:spacing w:val="-4"/>
        </w:rPr>
        <w:t xml:space="preserve"> to generate a receipted ticket.</w:t>
      </w:r>
    </w:p>
    <w:p>
      <w:pPr>
        <w:pStyle w:val="Footnotesection"/>
      </w:pPr>
      <w:r>
        <w:tab/>
        <w:t>[Rule 6 amended in Gazette 9 Mar 2001 p. 1337; 5 Aug 2005 p. 3597; 6 Sep 2005 p. 4120; 6 Jun 2008 p. 2278-9.]</w:t>
      </w:r>
    </w:p>
    <w:p>
      <w:pPr>
        <w:pStyle w:val="Heading5"/>
      </w:pPr>
      <w:bookmarkStart w:id="102" w:name="_Toc230162395"/>
      <w:bookmarkStart w:id="103" w:name="_Toc227051298"/>
      <w:bookmarkStart w:id="104" w:name="_Toc5072625"/>
      <w:bookmarkStart w:id="105" w:name="_Toc5072797"/>
      <w:bookmarkStart w:id="106" w:name="_Toc7409908"/>
      <w:bookmarkStart w:id="107" w:name="_Toc110931801"/>
      <w:bookmarkStart w:id="108" w:name="_Toc110933109"/>
      <w:r>
        <w:rPr>
          <w:rStyle w:val="CharSectno"/>
        </w:rPr>
        <w:t>6A</w:t>
      </w:r>
      <w:r>
        <w:t>.</w:t>
      </w:r>
      <w:r>
        <w:tab/>
        <w:t>Ticket repeat</w:t>
      </w:r>
      <w:bookmarkEnd w:id="102"/>
      <w:bookmarkEnd w:id="103"/>
    </w:p>
    <w:p>
      <w:pPr>
        <w:pStyle w:val="Subsection"/>
      </w:pPr>
      <w:r>
        <w:tab/>
        <w:t>(1)</w:t>
      </w:r>
      <w:r>
        <w:tab/>
        <w:t>A person may select the numbers and game type required to enter Oz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w:t>
      </w:r>
      <w:del w:id="109" w:author="Master Repository Process" w:date="2021-08-29T02:41:00Z">
        <w:r>
          <w:delText>,</w:delText>
        </w:r>
      </w:del>
      <w:ins w:id="110" w:author="Master Repository Process" w:date="2021-08-29T02:41:00Z">
        <w:r>
          <w:t xml:space="preserve"> or</w:t>
        </w:r>
      </w:ins>
      <w:r>
        <w:t xml:space="preserve"> a syndicate master ticket</w:t>
      </w:r>
      <w:del w:id="111" w:author="Master Repository Process" w:date="2021-08-29T02:41:00Z">
        <w:r>
          <w:delText xml:space="preserve"> or to any Super 66 game entered in conjunction with Oz lotto</w:delText>
        </w:r>
      </w:del>
      <w:r>
        <w:t>.</w:t>
      </w:r>
    </w:p>
    <w:p>
      <w:pPr>
        <w:pStyle w:val="Footnotesection"/>
      </w:pPr>
      <w:r>
        <w:tab/>
        <w:t>[Rule 6A inserted in Gazette 6 Jun 2008 p. 2280</w:t>
      </w:r>
      <w:ins w:id="112" w:author="Master Repository Process" w:date="2021-08-29T02:41:00Z">
        <w:r>
          <w:t>; amended in Gazette 15 May 2009 p. 1634</w:t>
        </w:r>
      </w:ins>
      <w:r>
        <w:t>.]</w:t>
      </w:r>
    </w:p>
    <w:p>
      <w:pPr>
        <w:pStyle w:val="Heading5"/>
      </w:pPr>
      <w:bookmarkStart w:id="113" w:name="_Toc230162396"/>
      <w:bookmarkStart w:id="114" w:name="_Toc227051299"/>
      <w:r>
        <w:rPr>
          <w:rStyle w:val="CharSectno"/>
        </w:rPr>
        <w:t>6B</w:t>
      </w:r>
      <w:r>
        <w:t>.</w:t>
      </w:r>
      <w:r>
        <w:tab/>
        <w:t>Favourite numbers</w:t>
      </w:r>
      <w:bookmarkEnd w:id="113"/>
      <w:bookmarkEnd w:id="114"/>
    </w:p>
    <w:p>
      <w:pPr>
        <w:pStyle w:val="Subsection"/>
      </w:pPr>
      <w:r>
        <w:tab/>
        <w:t>(1)</w:t>
      </w:r>
      <w:r>
        <w:tab/>
        <w:t>A person who has a player’s card may —</w:t>
      </w:r>
    </w:p>
    <w:p>
      <w:pPr>
        <w:pStyle w:val="Indenta"/>
      </w:pPr>
      <w:r>
        <w:tab/>
        <w:t>(a)</w:t>
      </w:r>
      <w:r>
        <w:tab/>
        <w:t>select the numbers and game type required to enter Oz lotto by presenting his or her player’s card and a playslip filled out with a selection of the “favourite numbers” (and game types) for Oz lotto that relate to the card; or</w:t>
      </w:r>
    </w:p>
    <w:p>
      <w:pPr>
        <w:pStyle w:val="Indenta"/>
      </w:pPr>
      <w:r>
        <w:tab/>
        <w:t>(b)</w:t>
      </w:r>
      <w:r>
        <w:tab/>
        <w:t>select the numbers and game type required to enter Oz lotto by presenting his or her player’s card and orally requesting the selection of the “favourite numbers” (and game types) for Oz lotto that relate to the card.</w:t>
      </w:r>
    </w:p>
    <w:p>
      <w:pPr>
        <w:pStyle w:val="Subsection"/>
      </w:pPr>
      <w:r>
        <w:tab/>
        <w:t>(2)</w:t>
      </w:r>
      <w:r>
        <w:tab/>
        <w:t>Favourite numbers can be selected for one week, or for 2, 5 or 10 consecutive weeks.</w:t>
      </w:r>
    </w:p>
    <w:p>
      <w:pPr>
        <w:pStyle w:val="Footnotesection"/>
      </w:pPr>
      <w:r>
        <w:tab/>
        <w:t>[Rule 6B inserted in Gazette 6 Jun 2008 p. 2280.]</w:t>
      </w:r>
    </w:p>
    <w:p>
      <w:pPr>
        <w:pStyle w:val="Heading5"/>
        <w:rPr>
          <w:snapToGrid w:val="0"/>
        </w:rPr>
      </w:pPr>
      <w:bookmarkStart w:id="115" w:name="_Toc230162397"/>
      <w:bookmarkStart w:id="116" w:name="_Toc227051300"/>
      <w:r>
        <w:rPr>
          <w:rStyle w:val="CharSectno"/>
        </w:rPr>
        <w:t>7</w:t>
      </w:r>
      <w:r>
        <w:rPr>
          <w:snapToGrid w:val="0"/>
        </w:rPr>
        <w:t>.</w:t>
      </w:r>
      <w:r>
        <w:rPr>
          <w:snapToGrid w:val="0"/>
        </w:rPr>
        <w:tab/>
        <w:t>Oral request for entry</w:t>
      </w:r>
      <w:bookmarkEnd w:id="104"/>
      <w:bookmarkEnd w:id="105"/>
      <w:bookmarkEnd w:id="106"/>
      <w:bookmarkEnd w:id="107"/>
      <w:bookmarkEnd w:id="108"/>
      <w:bookmarkEnd w:id="115"/>
      <w:bookmarkEnd w:id="116"/>
    </w:p>
    <w:p>
      <w:pPr>
        <w:pStyle w:val="Subsection"/>
        <w:rPr>
          <w:snapToGrid w:val="0"/>
        </w:rPr>
      </w:pPr>
      <w:r>
        <w:rPr>
          <w:snapToGrid w:val="0"/>
        </w:rPr>
        <w:tab/>
        <w:t>(1)</w:t>
      </w:r>
      <w:r>
        <w:rPr>
          <w:snapToGrid w:val="0"/>
        </w:rPr>
        <w:tab/>
        <w:t>To enter Oz lotto without</w:t>
      </w:r>
      <w:r>
        <w:t xml:space="preserve"> a playslip or a promotional coupon, and without requesting a ticket repeat or favourite numbers option,</w:t>
      </w:r>
      <w:r>
        <w:rPr>
          <w:snapToGrid w:val="0"/>
        </w:rPr>
        <w:t xml:space="preserve">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w:t>
      </w:r>
    </w:p>
    <w:p>
      <w:pPr>
        <w:pStyle w:val="Indenta"/>
        <w:rPr>
          <w:snapToGrid w:val="0"/>
        </w:rPr>
      </w:pPr>
      <w:r>
        <w:rPr>
          <w:snapToGrid w:val="0"/>
        </w:rPr>
        <w:tab/>
        <w:t>(a)</w:t>
      </w:r>
      <w:r>
        <w:rPr>
          <w:snapToGrid w:val="0"/>
        </w:rPr>
        <w:tab/>
        <w:t>whether the subscriber wishes to select —</w:t>
      </w:r>
    </w:p>
    <w:p>
      <w:pPr>
        <w:pStyle w:val="Indenti"/>
        <w:rPr>
          <w:snapToGrid w:val="0"/>
        </w:rPr>
      </w:pPr>
      <w:r>
        <w:rPr>
          <w:snapToGrid w:val="0"/>
        </w:rPr>
        <w:tab/>
        <w:t>(i)</w:t>
      </w:r>
      <w:r>
        <w:rPr>
          <w:snapToGrid w:val="0"/>
        </w:rPr>
        <w:tab/>
        <w:t xml:space="preserve">7 numbers out of the numbers 1 to </w:t>
      </w:r>
      <w:r>
        <w:t>45 and whether the subscriber wishes the entry to be entered in 6, 12, 18, 25, 30 or 50 games or, where available, exactly how many games the subscriber wants to be entered, with a maximum of 50;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 6 Jun 2008 p. 2281.]</w:t>
      </w:r>
    </w:p>
    <w:p>
      <w:pPr>
        <w:pStyle w:val="Heading5"/>
        <w:rPr>
          <w:snapToGrid w:val="0"/>
        </w:rPr>
      </w:pPr>
      <w:bookmarkStart w:id="117" w:name="_Toc5072626"/>
      <w:bookmarkStart w:id="118" w:name="_Toc5072798"/>
      <w:bookmarkStart w:id="119" w:name="_Toc7409909"/>
      <w:bookmarkStart w:id="120" w:name="_Toc110931802"/>
      <w:bookmarkStart w:id="121" w:name="_Toc110933110"/>
      <w:bookmarkStart w:id="122" w:name="_Toc230162398"/>
      <w:bookmarkStart w:id="123" w:name="_Toc227051301"/>
      <w:r>
        <w:rPr>
          <w:rStyle w:val="CharSectno"/>
        </w:rPr>
        <w:t>8</w:t>
      </w:r>
      <w:r>
        <w:rPr>
          <w:snapToGrid w:val="0"/>
        </w:rPr>
        <w:t>.</w:t>
      </w:r>
      <w:r>
        <w:rPr>
          <w:snapToGrid w:val="0"/>
        </w:rPr>
        <w:tab/>
        <w:t>No limit to number of entries</w:t>
      </w:r>
      <w:bookmarkEnd w:id="117"/>
      <w:bookmarkEnd w:id="118"/>
      <w:bookmarkEnd w:id="119"/>
      <w:bookmarkEnd w:id="120"/>
      <w:bookmarkEnd w:id="121"/>
      <w:bookmarkEnd w:id="122"/>
      <w:bookmarkEnd w:id="123"/>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124" w:name="_Toc5072627"/>
      <w:bookmarkStart w:id="125" w:name="_Toc5072799"/>
      <w:bookmarkStart w:id="126" w:name="_Toc7409910"/>
      <w:bookmarkStart w:id="127" w:name="_Toc110931803"/>
      <w:bookmarkStart w:id="128" w:name="_Toc110933111"/>
      <w:bookmarkStart w:id="129" w:name="_Toc230162399"/>
      <w:bookmarkStart w:id="130" w:name="_Toc227051302"/>
      <w:r>
        <w:rPr>
          <w:rStyle w:val="CharSectno"/>
        </w:rPr>
        <w:t>9</w:t>
      </w:r>
      <w:r>
        <w:rPr>
          <w:snapToGrid w:val="0"/>
        </w:rPr>
        <w:t>.</w:t>
      </w:r>
      <w:r>
        <w:rPr>
          <w:snapToGrid w:val="0"/>
        </w:rPr>
        <w:tab/>
        <w:t>Accuracy of receipted ticket</w:t>
      </w:r>
      <w:bookmarkEnd w:id="124"/>
      <w:bookmarkEnd w:id="125"/>
      <w:bookmarkEnd w:id="126"/>
      <w:bookmarkEnd w:id="127"/>
      <w:bookmarkEnd w:id="128"/>
      <w:bookmarkEnd w:id="129"/>
      <w:bookmarkEnd w:id="130"/>
    </w:p>
    <w:p>
      <w:pPr>
        <w:pStyle w:val="Subsection"/>
        <w:spacing w:before="120"/>
        <w:rPr>
          <w:snapToGrid w:val="0"/>
        </w:rPr>
      </w:pPr>
      <w:r>
        <w:rPr>
          <w:snapToGrid w:val="0"/>
        </w:rPr>
        <w:tab/>
        <w:t>(1)</w:t>
      </w:r>
      <w:r>
        <w:rPr>
          <w:snapToGrid w:val="0"/>
        </w:rPr>
        <w:tab/>
        <w:t>An agent who —</w:t>
      </w:r>
    </w:p>
    <w:p>
      <w:pPr>
        <w:pStyle w:val="Indenta"/>
        <w:rPr>
          <w:snapToGrid w:val="0"/>
        </w:rPr>
      </w:pPr>
      <w:r>
        <w:rPr>
          <w:snapToGrid w:val="0"/>
        </w:rPr>
        <w:tab/>
        <w:t>(a)</w:t>
      </w:r>
      <w:r>
        <w:rPr>
          <w:snapToGrid w:val="0"/>
        </w:rPr>
        <w:tab/>
        <w:t>processes</w:t>
      </w:r>
      <w:r>
        <w:t xml:space="preserve"> a playslip, a promotional coupon or a ticket repeat</w:t>
      </w:r>
      <w:r>
        <w:rPr>
          <w:snapToGrid w:val="0"/>
        </w:rPr>
        <w:t xml:space="preserve">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 xml:space="preserve">is under no duty to ensure that </w:t>
      </w:r>
      <w:r>
        <w:t>the playslip, coupon, ticket</w:t>
      </w:r>
      <w:r>
        <w:rPr>
          <w:snapToGrid w:val="0"/>
        </w:rPr>
        <w:t xml:space="preserve">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w:t>
      </w:r>
    </w:p>
    <w:p>
      <w:pPr>
        <w:pStyle w:val="Indenta"/>
        <w:rPr>
          <w:snapToGrid w:val="0"/>
        </w:rPr>
      </w:pPr>
      <w:r>
        <w:rPr>
          <w:snapToGrid w:val="0"/>
        </w:rPr>
        <w:tab/>
        <w:t>(a)</w:t>
      </w:r>
      <w:r>
        <w:rPr>
          <w:snapToGrid w:val="0"/>
        </w:rPr>
        <w:tab/>
        <w:t xml:space="preserve">is not an accurate reproduction of the details on the </w:t>
      </w:r>
      <w:r>
        <w:t>playslip, coupon or ticket</w:t>
      </w:r>
      <w:r>
        <w:rPr>
          <w:snapToGrid w:val="0"/>
        </w:rPr>
        <w:t xml:space="preserve">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Footnotesection"/>
      </w:pPr>
      <w:bookmarkStart w:id="131" w:name="_Toc5072628"/>
      <w:bookmarkStart w:id="132" w:name="_Toc5072800"/>
      <w:bookmarkStart w:id="133" w:name="_Toc7409911"/>
      <w:bookmarkStart w:id="134" w:name="_Toc110931804"/>
      <w:bookmarkStart w:id="135" w:name="_Toc110933112"/>
      <w:r>
        <w:tab/>
        <w:t>[Rule 9 amended in Gazette 6 Jun 2008 p. 2281.]</w:t>
      </w:r>
    </w:p>
    <w:p>
      <w:pPr>
        <w:pStyle w:val="Heading5"/>
        <w:rPr>
          <w:snapToGrid w:val="0"/>
        </w:rPr>
      </w:pPr>
      <w:bookmarkStart w:id="136" w:name="_Toc230162400"/>
      <w:bookmarkStart w:id="137" w:name="_Toc227051303"/>
      <w:r>
        <w:rPr>
          <w:rStyle w:val="CharSectno"/>
        </w:rPr>
        <w:t>10</w:t>
      </w:r>
      <w:r>
        <w:rPr>
          <w:snapToGrid w:val="0"/>
        </w:rPr>
        <w:t>.</w:t>
      </w:r>
      <w:r>
        <w:rPr>
          <w:snapToGrid w:val="0"/>
        </w:rPr>
        <w:tab/>
        <w:t>Validity of receipted ticket</w:t>
      </w:r>
      <w:bookmarkEnd w:id="131"/>
      <w:bookmarkEnd w:id="132"/>
      <w:bookmarkEnd w:id="133"/>
      <w:bookmarkEnd w:id="134"/>
      <w:bookmarkEnd w:id="135"/>
      <w:bookmarkEnd w:id="136"/>
      <w:bookmarkEnd w:id="137"/>
    </w:p>
    <w:p>
      <w:pPr>
        <w:pStyle w:val="Subsection"/>
        <w:rPr>
          <w:snapToGrid w:val="0"/>
        </w:rPr>
      </w:pPr>
      <w:r>
        <w:tab/>
        <w:t>(1)</w:t>
      </w:r>
      <w:r>
        <w:tab/>
        <w:t xml:space="preserve">Subject to subrule (2), a receipted ticket is generated by the Commission to indicate that the details of a valid entry, or of a number of systems entries, as appearing on the ticket, have been recorded in the central gaming system records in relation to the numbered Oz lotto draw or draws shown on the ticket </w:t>
      </w:r>
      <w:r>
        <w:rPr>
          <w:snapToGrid w:val="0"/>
        </w:rPr>
        <w:t>unless —</w:t>
      </w:r>
    </w:p>
    <w:p>
      <w:pPr>
        <w:pStyle w:val="Indenta"/>
        <w:rPr>
          <w:snapToGrid w:val="0"/>
        </w:rPr>
      </w:pPr>
      <w:r>
        <w:rPr>
          <w:snapToGrid w:val="0"/>
        </w:rPr>
        <w:tab/>
        <w:t>(a)</w:t>
      </w:r>
      <w:r>
        <w:rPr>
          <w:snapToGrid w:val="0"/>
        </w:rPr>
        <w:tab/>
        <w:t>that receipted ticket has been returned or surrendered in accordance with rule 9(2) or rule 11;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Subsection"/>
      </w:pPr>
      <w:bookmarkStart w:id="138" w:name="_Toc5072629"/>
      <w:bookmarkStart w:id="139" w:name="_Toc5072801"/>
      <w:bookmarkStart w:id="140" w:name="_Toc7409912"/>
      <w:bookmarkStart w:id="141" w:name="_Toc110931805"/>
      <w:bookmarkStart w:id="142" w:name="_Toc110933113"/>
      <w:r>
        <w:tab/>
        <w:t>(2)</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10 amended in Gazette 6 Jun 2008 p. 2282.]</w:t>
      </w:r>
    </w:p>
    <w:p>
      <w:pPr>
        <w:pStyle w:val="Heading5"/>
        <w:rPr>
          <w:snapToGrid w:val="0"/>
        </w:rPr>
      </w:pPr>
      <w:bookmarkStart w:id="143" w:name="_Toc230162401"/>
      <w:bookmarkStart w:id="144" w:name="_Toc227051304"/>
      <w:r>
        <w:rPr>
          <w:rStyle w:val="CharSectno"/>
        </w:rPr>
        <w:t>11</w:t>
      </w:r>
      <w:r>
        <w:rPr>
          <w:snapToGrid w:val="0"/>
        </w:rPr>
        <w:t>.</w:t>
      </w:r>
      <w:r>
        <w:rPr>
          <w:snapToGrid w:val="0"/>
        </w:rPr>
        <w:tab/>
        <w:t>Surrender of receipted ticket</w:t>
      </w:r>
      <w:bookmarkEnd w:id="138"/>
      <w:bookmarkEnd w:id="139"/>
      <w:bookmarkEnd w:id="140"/>
      <w:bookmarkEnd w:id="141"/>
      <w:bookmarkEnd w:id="142"/>
      <w:bookmarkEnd w:id="143"/>
      <w:bookmarkEnd w:id="144"/>
    </w:p>
    <w:p>
      <w:pPr>
        <w:pStyle w:val="Subsection"/>
        <w:rPr>
          <w:snapToGrid w:val="0"/>
        </w:rPr>
      </w:pPr>
      <w:r>
        <w:rPr>
          <w:snapToGrid w:val="0"/>
        </w:rPr>
        <w:tab/>
        <w:t>(1)</w:t>
      </w:r>
      <w:r>
        <w:rPr>
          <w:snapToGrid w:val="0"/>
        </w:rPr>
        <w:tab/>
      </w:r>
      <w:r>
        <w:t>Subject to subrule (1A), the</w:t>
      </w:r>
      <w:r>
        <w:rPr>
          <w:snapToGrid w:val="0"/>
        </w:rPr>
        <w:t xml:space="preserve"> holder of a receipted ticket may surrender that ticket, whether under the provisions of rule 9(2) or for any other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Subsection"/>
      </w:pPr>
      <w:bookmarkStart w:id="145" w:name="_Toc5072630"/>
      <w:bookmarkStart w:id="146" w:name="_Toc5072802"/>
      <w:bookmarkStart w:id="147" w:name="_Toc7409913"/>
      <w:bookmarkStart w:id="148" w:name="_Toc110931806"/>
      <w:bookmarkStart w:id="149" w:name="_Toc110933114"/>
      <w:r>
        <w:tab/>
        <w:t>(2)</w:t>
      </w:r>
      <w:r>
        <w:tab/>
        <w:t>The Commission may allow a subscriber to surrender a receipted ticket (other than a shared syndicate receipted ticket) in circumstances outside those set out in subrule (1), but is under no obligation to do so.</w:t>
      </w:r>
    </w:p>
    <w:p>
      <w:pPr>
        <w:pStyle w:val="Footnotesection"/>
      </w:pPr>
      <w:r>
        <w:tab/>
        <w:t>[Rule 11 amended in Gazette 6 Jun 2008 p. 2283.]</w:t>
      </w:r>
    </w:p>
    <w:p>
      <w:pPr>
        <w:pStyle w:val="Heading5"/>
        <w:rPr>
          <w:snapToGrid w:val="0"/>
        </w:rPr>
      </w:pPr>
      <w:bookmarkStart w:id="150" w:name="_Toc230162402"/>
      <w:bookmarkStart w:id="151" w:name="_Toc227051305"/>
      <w:r>
        <w:rPr>
          <w:rStyle w:val="CharSectno"/>
        </w:rPr>
        <w:t>12</w:t>
      </w:r>
      <w:r>
        <w:rPr>
          <w:snapToGrid w:val="0"/>
        </w:rPr>
        <w:t>.</w:t>
      </w:r>
      <w:r>
        <w:rPr>
          <w:snapToGrid w:val="0"/>
        </w:rPr>
        <w:tab/>
        <w:t>Entry by mail</w:t>
      </w:r>
      <w:bookmarkEnd w:id="145"/>
      <w:bookmarkEnd w:id="146"/>
      <w:bookmarkEnd w:id="147"/>
      <w:bookmarkEnd w:id="148"/>
      <w:bookmarkEnd w:id="149"/>
      <w:bookmarkEnd w:id="150"/>
      <w:bookmarkEnd w:id="151"/>
    </w:p>
    <w:p>
      <w:pPr>
        <w:pStyle w:val="Subsection"/>
        <w:rPr>
          <w:snapToGrid w:val="0"/>
        </w:rPr>
      </w:pPr>
      <w:r>
        <w:rPr>
          <w:snapToGrid w:val="0"/>
        </w:rPr>
        <w:tab/>
        <w:t>(1)</w:t>
      </w:r>
      <w:r>
        <w:rPr>
          <w:snapToGrid w:val="0"/>
        </w:rPr>
        <w:tab/>
        <w:t xml:space="preserve">Subject to subrule (2), the Commission must produce a receipted ticket where </w:t>
      </w:r>
      <w:r>
        <w:t>a playslip or a promotional coupon</w:t>
      </w:r>
      <w:r>
        <w:rPr>
          <w:snapToGrid w:val="0"/>
        </w:rPr>
        <w:t xml:space="preserve"> is delivered by mail and completed in accordance with these rules, and accompanied by the correct payment.</w:t>
      </w:r>
    </w:p>
    <w:p>
      <w:pPr>
        <w:pStyle w:val="Subsection"/>
        <w:rPr>
          <w:snapToGrid w:val="0"/>
        </w:rPr>
      </w:pPr>
      <w:r>
        <w:rPr>
          <w:snapToGrid w:val="0"/>
        </w:rPr>
        <w:tab/>
        <w:t>(2)</w:t>
      </w:r>
      <w:r>
        <w:rPr>
          <w:snapToGrid w:val="0"/>
        </w:rPr>
        <w:tab/>
        <w:t xml:space="preserve">Where payment is tendered by cheque with </w:t>
      </w:r>
      <w:r>
        <w:t>a playslip or a promotional coupon</w:t>
      </w:r>
      <w:r>
        <w:rPr>
          <w:snapToGrid w:val="0"/>
        </w:rPr>
        <w:t xml:space="preserve"> delivered by mail, the Commission is under no duty to issue the receipted ticket until after that cheque has been cleared.</w:t>
      </w:r>
    </w:p>
    <w:p>
      <w:pPr>
        <w:pStyle w:val="Subsection"/>
        <w:rPr>
          <w:snapToGrid w:val="0"/>
        </w:rPr>
      </w:pPr>
      <w:r>
        <w:rPr>
          <w:snapToGrid w:val="0"/>
        </w:rPr>
        <w:tab/>
        <w:t>(3)</w:t>
      </w:r>
      <w:r>
        <w:rPr>
          <w:snapToGrid w:val="0"/>
        </w:rPr>
        <w:tab/>
        <w:t xml:space="preserve">Where payment is tendered with </w:t>
      </w:r>
      <w:r>
        <w:t>a playslip or a promotional coupon</w:t>
      </w:r>
      <w:r>
        <w:rPr>
          <w:snapToGrid w:val="0"/>
        </w:rPr>
        <w:t xml:space="preserve">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 xml:space="preserve">If </w:t>
      </w:r>
      <w:r>
        <w:t>a playslip</w:t>
      </w:r>
      <w:r>
        <w:rPr>
          <w:snapToGrid w:val="0"/>
        </w:rPr>
        <w:t xml:space="preserve"> is received by the Commission by mail, together with correct payment, and one or more of the games contains too many selected numbers, the Commission may ignore the highest additional number or numbers when producing a receipted ticket from</w:t>
      </w:r>
      <w:r>
        <w:t xml:space="preserve"> that playslip.</w:t>
      </w:r>
    </w:p>
    <w:p>
      <w:pPr>
        <w:pStyle w:val="Subsection"/>
        <w:rPr>
          <w:snapToGrid w:val="0"/>
        </w:rPr>
      </w:pPr>
      <w:r>
        <w:rPr>
          <w:snapToGrid w:val="0"/>
        </w:rPr>
        <w:tab/>
        <w:t>(5)</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bent or creased to the extent that a computer terminal will not accept or correctly read the</w:t>
      </w:r>
      <w:r>
        <w:t xml:space="preserve"> playslip</w:t>
      </w:r>
      <w:r>
        <w:rPr>
          <w:snapToGrid w:val="0"/>
        </w:rPr>
        <w:t xml:space="preserve">, the Commission may produce a receipted ticket that reflects the Commission’s determination of the subscribers intentions as shown by the </w:t>
      </w:r>
      <w:r>
        <w:t>playslip</w:t>
      </w:r>
      <w:r>
        <w:rPr>
          <w:snapToGrid w:val="0"/>
        </w:rPr>
        <w:t xml:space="preserve"> and the subscriber is bound by any such determination.</w:t>
      </w:r>
    </w:p>
    <w:p>
      <w:pPr>
        <w:pStyle w:val="Subsection"/>
        <w:rPr>
          <w:snapToGrid w:val="0"/>
        </w:rPr>
      </w:pPr>
      <w:r>
        <w:rPr>
          <w:snapToGrid w:val="0"/>
        </w:rPr>
        <w:tab/>
        <w:t>(6)</w:t>
      </w:r>
      <w:r>
        <w:rPr>
          <w:snapToGrid w:val="0"/>
        </w:rPr>
        <w:tab/>
        <w:t xml:space="preserve">If a request for a receipted ticket is received by the Commission by mail, together with correct payment, and a </w:t>
      </w:r>
      <w:r>
        <w:t>playslip</w:t>
      </w:r>
      <w:r>
        <w:rPr>
          <w:snapToGrid w:val="0"/>
        </w:rPr>
        <w:t xml:space="preserve">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 xml:space="preserve">If </w:t>
      </w:r>
      <w:r>
        <w:t>a playslip</w:t>
      </w:r>
      <w:r>
        <w:rPr>
          <w:snapToGrid w:val="0"/>
        </w:rPr>
        <w:t xml:space="preserve"> is received by the Commission by mail, together with correct payment, and that </w:t>
      </w:r>
      <w:r>
        <w:t>playslip</w:t>
      </w:r>
      <w:r>
        <w:rPr>
          <w:snapToGrid w:val="0"/>
        </w:rPr>
        <w:t xml:space="preserve"> is specified as being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 xml:space="preserve">A receipted ticket under this rule must be posted by the Commission to the return address accompanying the </w:t>
      </w:r>
      <w:r>
        <w:t>playslip or promotional coupon</w:t>
      </w:r>
      <w:r>
        <w:rPr>
          <w:snapToGrid w:val="0"/>
        </w:rPr>
        <w:t xml:space="preserve">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 6 Jun 2008 p. 2283-4.]</w:t>
      </w:r>
    </w:p>
    <w:p>
      <w:pPr>
        <w:pStyle w:val="Heading2"/>
      </w:pPr>
      <w:bookmarkStart w:id="152" w:name="_Toc200445068"/>
      <w:bookmarkStart w:id="153" w:name="_Toc200515763"/>
      <w:bookmarkStart w:id="154" w:name="_Toc221608020"/>
      <w:bookmarkStart w:id="155" w:name="_Toc221609995"/>
      <w:bookmarkStart w:id="156" w:name="_Toc225757962"/>
      <w:bookmarkStart w:id="157" w:name="_Toc227051306"/>
      <w:bookmarkStart w:id="158" w:name="_Toc230162403"/>
      <w:bookmarkStart w:id="159" w:name="_Toc110931807"/>
      <w:bookmarkStart w:id="160" w:name="_Toc110933115"/>
      <w:bookmarkStart w:id="161" w:name="_Toc110933191"/>
      <w:bookmarkStart w:id="162" w:name="_Toc110933274"/>
      <w:bookmarkStart w:id="163" w:name="_Toc113703773"/>
      <w:bookmarkStart w:id="164" w:name="_Toc113767364"/>
      <w:bookmarkStart w:id="165" w:name="_Toc115087802"/>
      <w:bookmarkStart w:id="166" w:name="_Toc115146243"/>
      <w:bookmarkStart w:id="167" w:name="_Toc143931260"/>
      <w:bookmarkStart w:id="168" w:name="_Toc144005707"/>
      <w:bookmarkStart w:id="169" w:name="_Toc148759779"/>
      <w:bookmarkStart w:id="170" w:name="_Toc153172632"/>
      <w:bookmarkStart w:id="171" w:name="_Toc153172813"/>
      <w:bookmarkStart w:id="172" w:name="_Toc170548719"/>
      <w:bookmarkStart w:id="173" w:name="_Toc170620645"/>
      <w:r>
        <w:rPr>
          <w:rStyle w:val="CharPartNo"/>
        </w:rPr>
        <w:t>Part 2A</w:t>
      </w:r>
      <w:r>
        <w:rPr>
          <w:b w:val="0"/>
        </w:rPr>
        <w:t> </w:t>
      </w:r>
      <w:r>
        <w:t>—</w:t>
      </w:r>
      <w:r>
        <w:rPr>
          <w:b w:val="0"/>
        </w:rPr>
        <w:t> </w:t>
      </w:r>
      <w:r>
        <w:rPr>
          <w:rStyle w:val="CharPartText"/>
        </w:rPr>
        <w:t>Syndicate entries</w:t>
      </w:r>
      <w:bookmarkEnd w:id="152"/>
      <w:bookmarkEnd w:id="153"/>
      <w:bookmarkEnd w:id="154"/>
      <w:bookmarkEnd w:id="155"/>
      <w:bookmarkEnd w:id="156"/>
      <w:bookmarkEnd w:id="157"/>
      <w:bookmarkEnd w:id="158"/>
    </w:p>
    <w:p>
      <w:pPr>
        <w:pStyle w:val="Footnoteheading"/>
      </w:pPr>
      <w:r>
        <w:tab/>
        <w:t>[Heading inserted in Gazette 6 Jun 2008 p. 2284.]</w:t>
      </w:r>
    </w:p>
    <w:p>
      <w:pPr>
        <w:pStyle w:val="Heading5"/>
      </w:pPr>
      <w:bookmarkStart w:id="174" w:name="_Toc230162404"/>
      <w:bookmarkStart w:id="175" w:name="_Toc227051307"/>
      <w:r>
        <w:rPr>
          <w:rStyle w:val="CharSectno"/>
        </w:rPr>
        <w:t>12A</w:t>
      </w:r>
      <w:r>
        <w:t>.</w:t>
      </w:r>
      <w:r>
        <w:tab/>
        <w:t>Application of this Part</w:t>
      </w:r>
      <w:bookmarkEnd w:id="174"/>
      <w:bookmarkEnd w:id="175"/>
    </w:p>
    <w:p>
      <w:pPr>
        <w:pStyle w:val="Subsection"/>
      </w:pPr>
      <w:r>
        <w:tab/>
        <w:t>(1)</w:t>
      </w:r>
      <w:r>
        <w:tab/>
        <w:t>An “informal syndicate entry” in an Oz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an Oz lotto draw.</w:t>
      </w:r>
    </w:p>
    <w:p>
      <w:pPr>
        <w:pStyle w:val="Subsection"/>
      </w:pPr>
      <w:r>
        <w:tab/>
        <w:t>(3)</w:t>
      </w:r>
      <w:r>
        <w:tab/>
        <w:t>This Part only applies to syndicate entries if the syndicate entries are offered in accordance with rules 12B to 12H by the Commission or an agent, as the case may be.</w:t>
      </w:r>
    </w:p>
    <w:p>
      <w:pPr>
        <w:pStyle w:val="Footnotesection"/>
      </w:pPr>
      <w:r>
        <w:tab/>
        <w:t>[Rule 12A inserted in Gazette 6 Jun 2008 p. 2284-5.]</w:t>
      </w:r>
    </w:p>
    <w:p>
      <w:pPr>
        <w:pStyle w:val="Heading5"/>
      </w:pPr>
      <w:bookmarkStart w:id="176" w:name="_Toc230162405"/>
      <w:bookmarkStart w:id="177" w:name="_Toc227051308"/>
      <w:r>
        <w:rPr>
          <w:rStyle w:val="CharSectno"/>
        </w:rPr>
        <w:t>12B</w:t>
      </w:r>
      <w:r>
        <w:t>.</w:t>
      </w:r>
      <w:r>
        <w:tab/>
        <w:t>Establishing a syndicate</w:t>
      </w:r>
      <w:bookmarkEnd w:id="176"/>
      <w:bookmarkEnd w:id="177"/>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Footnotesection"/>
      </w:pPr>
      <w:r>
        <w:tab/>
        <w:t>[Rule 12B inserted in Gazette 6 Jun 2008 p. 2285.]</w:t>
      </w:r>
    </w:p>
    <w:p>
      <w:pPr>
        <w:pStyle w:val="Heading5"/>
      </w:pPr>
      <w:bookmarkStart w:id="178" w:name="_Toc230162406"/>
      <w:bookmarkStart w:id="179" w:name="_Toc227051309"/>
      <w:r>
        <w:rPr>
          <w:rStyle w:val="CharSectno"/>
        </w:rPr>
        <w:t>12C</w:t>
      </w:r>
      <w:r>
        <w:t>.</w:t>
      </w:r>
      <w:r>
        <w:tab/>
        <w:t>Syndicate share and cost parameters</w:t>
      </w:r>
      <w:bookmarkEnd w:id="178"/>
      <w:bookmarkEnd w:id="179"/>
    </w:p>
    <w:p>
      <w:pPr>
        <w:pStyle w:val="Subsection"/>
      </w:pPr>
      <w:r>
        <w:tab/>
        <w:t>(1)</w:t>
      </w:r>
      <w:r>
        <w:tab/>
        <w:t>The minimum number of shares that may be made available in a syndicate is 10.</w:t>
      </w:r>
    </w:p>
    <w:p>
      <w:pPr>
        <w:pStyle w:val="Subsection"/>
      </w:pPr>
      <w:r>
        <w:tab/>
        <w:t>(2)</w:t>
      </w:r>
      <w:r>
        <w:tab/>
        <w:t>The maximum number of shares that may be made available in a syndicate is 1 000.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$2.50.</w:t>
      </w:r>
    </w:p>
    <w:p>
      <w:pPr>
        <w:pStyle w:val="Subsection"/>
      </w:pPr>
      <w:r>
        <w:tab/>
        <w:t>(6)</w:t>
      </w:r>
      <w:r>
        <w:tab/>
        <w:t>The maximum share cost for a syndicate is $10 000.</w:t>
      </w:r>
    </w:p>
    <w:p>
      <w:pPr>
        <w:pStyle w:val="Subsection"/>
      </w:pPr>
      <w:r>
        <w:tab/>
        <w:t>(7)</w:t>
      </w:r>
      <w:r>
        <w:tab/>
        <w:t>The cost of a share in a particular syndicate is calculated by dividing the total cost for that syndicate by the total number of shares available in that syndicate (then rounding down where necessary to the nearest sum containing a 5 cent multiple).</w:t>
      </w:r>
    </w:p>
    <w:p>
      <w:pPr>
        <w:pStyle w:val="Footnotesection"/>
      </w:pPr>
      <w:r>
        <w:tab/>
        <w:t>[Rule 12C inserted in Gazette 6 Jun 2008 p. 2285-6.]</w:t>
      </w:r>
    </w:p>
    <w:p>
      <w:pPr>
        <w:pStyle w:val="Heading5"/>
      </w:pPr>
      <w:bookmarkStart w:id="180" w:name="_Toc230162407"/>
      <w:bookmarkStart w:id="181" w:name="_Toc227051310"/>
      <w:r>
        <w:rPr>
          <w:rStyle w:val="CharSectno"/>
        </w:rPr>
        <w:t>12D</w:t>
      </w:r>
      <w:r>
        <w:t>.</w:t>
      </w:r>
      <w:r>
        <w:tab/>
        <w:t>Agent’s component of a syndicate share</w:t>
      </w:r>
      <w:bookmarkEnd w:id="180"/>
      <w:bookmarkEnd w:id="181"/>
    </w:p>
    <w:p>
      <w:pPr>
        <w:pStyle w:val="Subsection"/>
      </w:pPr>
      <w:r>
        <w:tab/>
      </w:r>
      <w:r>
        <w:tab/>
        <w:t>The agent’s component payable on a share in a particular syndicate is calculated by dividing the total agent’s component payable for that syndicate by the total number of shares available in that syndicate (then truncated to the nearest cent).</w:t>
      </w:r>
    </w:p>
    <w:p>
      <w:pPr>
        <w:pStyle w:val="Footnotesection"/>
      </w:pPr>
      <w:r>
        <w:tab/>
        <w:t>[Rule 12D inserted in Gazette 6 Jun 2008 p. 2286.]</w:t>
      </w:r>
    </w:p>
    <w:p>
      <w:pPr>
        <w:pStyle w:val="Heading5"/>
      </w:pPr>
      <w:bookmarkStart w:id="182" w:name="_Toc230162408"/>
      <w:bookmarkStart w:id="183" w:name="_Toc227051311"/>
      <w:r>
        <w:rPr>
          <w:rStyle w:val="CharSectno"/>
        </w:rPr>
        <w:t>12E</w:t>
      </w:r>
      <w:r>
        <w:t>.</w:t>
      </w:r>
      <w:r>
        <w:tab/>
        <w:t>Syndicate participation parameters</w:t>
      </w:r>
      <w:bookmarkEnd w:id="182"/>
      <w:bookmarkEnd w:id="18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Oz lotto and another type of lotto under the Act.</w:t>
      </w:r>
    </w:p>
    <w:p>
      <w:pPr>
        <w:pStyle w:val="Footnotesection"/>
      </w:pPr>
      <w:r>
        <w:tab/>
        <w:t>[Rule 12E inserted in Gazette 6 Jun 2008 p. 2286.]</w:t>
      </w:r>
    </w:p>
    <w:p>
      <w:pPr>
        <w:pStyle w:val="Heading5"/>
      </w:pPr>
      <w:bookmarkStart w:id="184" w:name="_Toc230162409"/>
      <w:bookmarkStart w:id="185" w:name="_Toc227051312"/>
      <w:r>
        <w:rPr>
          <w:rStyle w:val="CharSectno"/>
        </w:rPr>
        <w:t>12F</w:t>
      </w:r>
      <w:r>
        <w:t>.</w:t>
      </w:r>
      <w:r>
        <w:tab/>
        <w:t>Types of syndicates</w:t>
      </w:r>
      <w:bookmarkEnd w:id="184"/>
      <w:bookmarkEnd w:id="185"/>
    </w:p>
    <w:p>
      <w:pPr>
        <w:pStyle w:val="Subsection"/>
      </w:pPr>
      <w:r>
        <w:tab/>
        <w:t>(1)</w:t>
      </w:r>
      <w:r>
        <w:tab/>
        <w:t>A syndicate entry in an Oz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12F inserted in Gazette 6 Jun 2008 p. 2286-7.]</w:t>
      </w:r>
    </w:p>
    <w:p>
      <w:pPr>
        <w:pStyle w:val="Heading5"/>
      </w:pPr>
      <w:bookmarkStart w:id="186" w:name="_Toc230162410"/>
      <w:bookmarkStart w:id="187" w:name="_Toc227051313"/>
      <w:r>
        <w:t>12G.</w:t>
      </w:r>
      <w:r>
        <w:tab/>
        <w:t>Syndicate share receipted ticket</w:t>
      </w:r>
      <w:bookmarkEnd w:id="186"/>
      <w:bookmarkEnd w:id="187"/>
    </w:p>
    <w:p>
      <w:pPr>
        <w:pStyle w:val="Subsection"/>
      </w:pPr>
      <w:r>
        <w:tab/>
        <w:t>(1)</w:t>
      </w:r>
      <w:r>
        <w:tab/>
        <w:t>A syndicate share receipted ticket in an Oz lotto draw may be registered by the subscriber so that a player’s card membership number is allocated to that receipted ticket.</w:t>
      </w:r>
    </w:p>
    <w:p>
      <w:pPr>
        <w:pStyle w:val="Subsection"/>
      </w:pPr>
      <w:r>
        <w:tab/>
        <w:t>(2)</w:t>
      </w:r>
      <w:r>
        <w:tab/>
        <w:t>A syndicate share receipted ticket in an Oz lotto draw cannot be cancelled but, where the Commission agrees, the entry fee may be refunded and the ticket may be returned for resale.</w:t>
      </w:r>
    </w:p>
    <w:p>
      <w:pPr>
        <w:pStyle w:val="Footnotesection"/>
      </w:pPr>
      <w:r>
        <w:tab/>
        <w:t>[Rule 12G inserted in Gazette 6 Jun 2008 p. 2287.]</w:t>
      </w:r>
    </w:p>
    <w:p>
      <w:pPr>
        <w:pStyle w:val="Heading5"/>
      </w:pPr>
      <w:bookmarkStart w:id="188" w:name="_Toc230162411"/>
      <w:bookmarkStart w:id="189" w:name="_Toc227051314"/>
      <w:r>
        <w:rPr>
          <w:rStyle w:val="CharSectno"/>
        </w:rPr>
        <w:t>12H</w:t>
      </w:r>
      <w:r>
        <w:t>.</w:t>
      </w:r>
      <w:r>
        <w:tab/>
        <w:t>Syndicate master ticket</w:t>
      </w:r>
      <w:bookmarkEnd w:id="188"/>
      <w:bookmarkEnd w:id="18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12C(7), 12D and 18(3) are to be made against the master ticket for each syndicate.</w:t>
      </w:r>
    </w:p>
    <w:p>
      <w:pPr>
        <w:pStyle w:val="Subsection"/>
      </w:pPr>
      <w:r>
        <w:tab/>
        <w:t>(4)</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12H inserted in Gazette 6 Jun 2008 p. 2287-8.]</w:t>
      </w:r>
    </w:p>
    <w:p>
      <w:pPr>
        <w:pStyle w:val="Heading2"/>
      </w:pPr>
      <w:bookmarkStart w:id="190" w:name="_Toc200445077"/>
      <w:bookmarkStart w:id="191" w:name="_Toc200515772"/>
      <w:bookmarkStart w:id="192" w:name="_Toc221608029"/>
      <w:bookmarkStart w:id="193" w:name="_Toc221610004"/>
      <w:bookmarkStart w:id="194" w:name="_Toc225757971"/>
      <w:bookmarkStart w:id="195" w:name="_Toc227051315"/>
      <w:bookmarkStart w:id="196" w:name="_Toc230162412"/>
      <w:r>
        <w:rPr>
          <w:rStyle w:val="CharPartNo"/>
        </w:rPr>
        <w:t>Part 3</w:t>
      </w:r>
      <w:r>
        <w:rPr>
          <w:rStyle w:val="CharDivNo"/>
        </w:rPr>
        <w:t> </w:t>
      </w:r>
      <w:r>
        <w:t>—</w:t>
      </w:r>
      <w:r>
        <w:rPr>
          <w:rStyle w:val="CharDivText"/>
        </w:rPr>
        <w:t> </w:t>
      </w:r>
      <w:r>
        <w:rPr>
          <w:rStyle w:val="CharPartText"/>
        </w:rPr>
        <w:t>General duties of Commission and calculation of prize pools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90"/>
      <w:bookmarkEnd w:id="191"/>
      <w:bookmarkEnd w:id="192"/>
      <w:bookmarkEnd w:id="193"/>
      <w:bookmarkEnd w:id="194"/>
      <w:bookmarkEnd w:id="195"/>
      <w:bookmarkEnd w:id="196"/>
    </w:p>
    <w:p>
      <w:pPr>
        <w:pStyle w:val="Heading5"/>
        <w:rPr>
          <w:snapToGrid w:val="0"/>
        </w:rPr>
      </w:pPr>
      <w:bookmarkStart w:id="197" w:name="_Toc5072631"/>
      <w:bookmarkStart w:id="198" w:name="_Toc5072803"/>
      <w:bookmarkStart w:id="199" w:name="_Toc7409914"/>
      <w:bookmarkStart w:id="200" w:name="_Toc110931808"/>
      <w:bookmarkStart w:id="201" w:name="_Toc110933116"/>
      <w:bookmarkStart w:id="202" w:name="_Toc230162413"/>
      <w:bookmarkStart w:id="203" w:name="_Toc227051316"/>
      <w:r>
        <w:rPr>
          <w:rStyle w:val="CharSectno"/>
        </w:rPr>
        <w:t>13</w:t>
      </w:r>
      <w:r>
        <w:rPr>
          <w:snapToGrid w:val="0"/>
        </w:rPr>
        <w:t>.</w:t>
      </w:r>
      <w:r>
        <w:rPr>
          <w:snapToGrid w:val="0"/>
        </w:rPr>
        <w:tab/>
        <w:t>Oz lotto draws to be numbered</w:t>
      </w:r>
      <w:bookmarkEnd w:id="197"/>
      <w:bookmarkEnd w:id="198"/>
      <w:bookmarkEnd w:id="199"/>
      <w:bookmarkEnd w:id="200"/>
      <w:bookmarkEnd w:id="201"/>
      <w:bookmarkEnd w:id="202"/>
      <w:bookmarkEnd w:id="203"/>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204" w:name="_Toc5072632"/>
      <w:bookmarkStart w:id="205" w:name="_Toc5072804"/>
      <w:bookmarkStart w:id="206" w:name="_Toc7409915"/>
      <w:bookmarkStart w:id="207" w:name="_Toc110931809"/>
      <w:bookmarkStart w:id="208" w:name="_Toc110933117"/>
      <w:bookmarkStart w:id="209" w:name="_Toc230162414"/>
      <w:bookmarkStart w:id="210" w:name="_Toc227051317"/>
      <w:r>
        <w:rPr>
          <w:rStyle w:val="CharSectno"/>
        </w:rPr>
        <w:t>14</w:t>
      </w:r>
      <w:r>
        <w:t>.</w:t>
      </w:r>
      <w:r>
        <w:tab/>
        <w:t>Oz lotto to be supervised</w:t>
      </w:r>
      <w:bookmarkEnd w:id="204"/>
      <w:bookmarkEnd w:id="205"/>
      <w:bookmarkEnd w:id="206"/>
      <w:bookmarkEnd w:id="207"/>
      <w:bookmarkEnd w:id="208"/>
      <w:bookmarkEnd w:id="209"/>
      <w:bookmarkEnd w:id="210"/>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211" w:name="_Toc5072633"/>
      <w:bookmarkStart w:id="212" w:name="_Toc5072805"/>
      <w:bookmarkStart w:id="213" w:name="_Toc7409916"/>
      <w:bookmarkStart w:id="214" w:name="_Toc110931810"/>
      <w:bookmarkStart w:id="215" w:name="_Toc110933118"/>
      <w:bookmarkStart w:id="216" w:name="_Toc230162415"/>
      <w:bookmarkStart w:id="217" w:name="_Toc227051318"/>
      <w:r>
        <w:rPr>
          <w:rStyle w:val="CharSectno"/>
        </w:rPr>
        <w:t>15</w:t>
      </w:r>
      <w:r>
        <w:rPr>
          <w:snapToGrid w:val="0"/>
        </w:rPr>
        <w:t>.</w:t>
      </w:r>
      <w:r>
        <w:rPr>
          <w:snapToGrid w:val="0"/>
        </w:rPr>
        <w:tab/>
        <w:t>Publication of results</w:t>
      </w:r>
      <w:bookmarkEnd w:id="211"/>
      <w:bookmarkEnd w:id="212"/>
      <w:bookmarkEnd w:id="213"/>
      <w:bookmarkEnd w:id="214"/>
      <w:bookmarkEnd w:id="215"/>
      <w:bookmarkEnd w:id="216"/>
      <w:bookmarkEnd w:id="217"/>
    </w:p>
    <w:p>
      <w:pPr>
        <w:pStyle w:val="Subsection"/>
        <w:rPr>
          <w:snapToGrid w:val="0"/>
          <w:spacing w:val="-4"/>
        </w:rPr>
      </w:pPr>
      <w:r>
        <w:rPr>
          <w:snapToGrid w:val="0"/>
          <w:spacing w:val="-4"/>
        </w:rPr>
        <w:tab/>
      </w:r>
      <w:r>
        <w:rPr>
          <w:snapToGrid w:val="0"/>
          <w:spacing w:val="-4"/>
        </w:rPr>
        <w:tab/>
        <w:t>Each time Oz lotto is conducted the Commission must publish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218" w:name="_Toc5072634"/>
      <w:bookmarkStart w:id="219" w:name="_Toc5072806"/>
      <w:bookmarkStart w:id="220" w:name="_Toc7409917"/>
      <w:bookmarkStart w:id="221" w:name="_Toc110931811"/>
      <w:bookmarkStart w:id="222" w:name="_Toc110933119"/>
      <w:r>
        <w:tab/>
        <w:t>[Rule 15 amended in Gazette 6 Sep 2005 p. 4120.]</w:t>
      </w:r>
    </w:p>
    <w:p>
      <w:pPr>
        <w:pStyle w:val="Heading5"/>
        <w:keepNext w:val="0"/>
        <w:keepLines w:val="0"/>
        <w:rPr>
          <w:snapToGrid w:val="0"/>
        </w:rPr>
      </w:pPr>
      <w:bookmarkStart w:id="223" w:name="_Toc147290363"/>
      <w:bookmarkStart w:id="224" w:name="_Toc230162416"/>
      <w:bookmarkStart w:id="225" w:name="_Toc227051319"/>
      <w:bookmarkStart w:id="226" w:name="_Toc110931812"/>
      <w:bookmarkStart w:id="227" w:name="_Toc110933120"/>
      <w:bookmarkStart w:id="228" w:name="_Toc110933196"/>
      <w:bookmarkStart w:id="229" w:name="_Toc110933279"/>
      <w:bookmarkStart w:id="230" w:name="_Toc113703778"/>
      <w:bookmarkStart w:id="231" w:name="_Toc113767369"/>
      <w:bookmarkStart w:id="232" w:name="_Toc115087807"/>
      <w:bookmarkStart w:id="233" w:name="_Toc115146248"/>
      <w:bookmarkStart w:id="234" w:name="_Toc143931265"/>
      <w:bookmarkStart w:id="235" w:name="_Toc144005712"/>
      <w:bookmarkEnd w:id="218"/>
      <w:bookmarkEnd w:id="219"/>
      <w:bookmarkEnd w:id="220"/>
      <w:bookmarkEnd w:id="221"/>
      <w:bookmarkEnd w:id="222"/>
      <w:r>
        <w:rPr>
          <w:rStyle w:val="CharSectno"/>
        </w:rPr>
        <w:t>16</w:t>
      </w:r>
      <w:r>
        <w:rPr>
          <w:snapToGrid w:val="0"/>
        </w:rPr>
        <w:t>.</w:t>
      </w:r>
      <w:r>
        <w:rPr>
          <w:snapToGrid w:val="0"/>
        </w:rPr>
        <w:tab/>
        <w:t>National Lotto Bloc prize pool and prize reserve fund</w:t>
      </w:r>
      <w:bookmarkEnd w:id="223"/>
      <w:bookmarkEnd w:id="224"/>
      <w:bookmarkEnd w:id="225"/>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 26 Jun 2007 p. 3055.]</w:t>
      </w:r>
    </w:p>
    <w:p>
      <w:pPr>
        <w:pStyle w:val="Heading2"/>
      </w:pPr>
      <w:bookmarkStart w:id="236" w:name="_Toc148759784"/>
      <w:bookmarkStart w:id="237" w:name="_Toc153172637"/>
      <w:bookmarkStart w:id="238" w:name="_Toc153172818"/>
      <w:bookmarkStart w:id="239" w:name="_Toc170548724"/>
      <w:bookmarkStart w:id="240" w:name="_Toc170620650"/>
      <w:bookmarkStart w:id="241" w:name="_Toc200445082"/>
      <w:bookmarkStart w:id="242" w:name="_Toc200515777"/>
      <w:bookmarkStart w:id="243" w:name="_Toc221608034"/>
      <w:bookmarkStart w:id="244" w:name="_Toc221610009"/>
      <w:bookmarkStart w:id="245" w:name="_Toc225757976"/>
      <w:bookmarkStart w:id="246" w:name="_Toc227051320"/>
      <w:bookmarkStart w:id="247" w:name="_Toc230162417"/>
      <w:r>
        <w:rPr>
          <w:rStyle w:val="CharPartNo"/>
        </w:rPr>
        <w:t>Part 4</w:t>
      </w:r>
      <w:r>
        <w:rPr>
          <w:rStyle w:val="CharDivNo"/>
        </w:rPr>
        <w:t> </w:t>
      </w:r>
      <w:r>
        <w:t>—</w:t>
      </w:r>
      <w:r>
        <w:rPr>
          <w:rStyle w:val="CharDivText"/>
        </w:rPr>
        <w:t> </w:t>
      </w:r>
      <w:r>
        <w:rPr>
          <w:rStyle w:val="CharPartText"/>
        </w:rPr>
        <w:t>Oz lotto draw</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30162418"/>
      <w:bookmarkStart w:id="249" w:name="_Toc227051321"/>
      <w:bookmarkStart w:id="250" w:name="_Toc5072636"/>
      <w:bookmarkStart w:id="251" w:name="_Toc5072808"/>
      <w:bookmarkStart w:id="252" w:name="_Toc7409919"/>
      <w:bookmarkStart w:id="253" w:name="_Toc110931814"/>
      <w:bookmarkStart w:id="254" w:name="_Toc110933122"/>
      <w:r>
        <w:rPr>
          <w:rStyle w:val="CharSectno"/>
        </w:rPr>
        <w:t>17</w:t>
      </w:r>
      <w:r>
        <w:t>.</w:t>
      </w:r>
      <w:r>
        <w:tab/>
        <w:t>Criteria for Oz lotto prizes</w:t>
      </w:r>
      <w:bookmarkEnd w:id="248"/>
      <w:bookmarkEnd w:id="249"/>
    </w:p>
    <w:p>
      <w:pPr>
        <w:pStyle w:val="Subsection"/>
      </w:pPr>
      <w:r>
        <w:tab/>
      </w:r>
      <w:r>
        <w:tab/>
        <w:t>In an Oz lotto draw the holder of a receipted ticket wins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255" w:name="_Toc230162419"/>
      <w:bookmarkStart w:id="256" w:name="_Toc227051322"/>
      <w:r>
        <w:rPr>
          <w:rStyle w:val="CharSectno"/>
        </w:rPr>
        <w:t>18</w:t>
      </w:r>
      <w:r>
        <w:rPr>
          <w:snapToGrid w:val="0"/>
        </w:rPr>
        <w:t>.</w:t>
      </w:r>
      <w:r>
        <w:rPr>
          <w:snapToGrid w:val="0"/>
        </w:rPr>
        <w:tab/>
        <w:t>Only systems entry can win in more than one division per game</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Subsection"/>
      </w:pPr>
      <w:bookmarkStart w:id="257" w:name="_Toc5072637"/>
      <w:bookmarkStart w:id="258" w:name="_Toc5072809"/>
      <w:bookmarkStart w:id="259" w:name="_Toc7409920"/>
      <w:bookmarkStart w:id="260" w:name="_Toc110931815"/>
      <w:bookmarkStart w:id="261" w:name="_Toc110933123"/>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18 amended in Gazette 6 Sep 2005 p. 4121; 6 Jun 2008 p. 2288.]</w:t>
      </w:r>
    </w:p>
    <w:p>
      <w:pPr>
        <w:pStyle w:val="Heading5"/>
        <w:rPr>
          <w:snapToGrid w:val="0"/>
        </w:rPr>
      </w:pPr>
      <w:bookmarkStart w:id="262" w:name="_Toc230162420"/>
      <w:bookmarkStart w:id="263" w:name="_Toc227051323"/>
      <w:r>
        <w:rPr>
          <w:rStyle w:val="CharSectno"/>
        </w:rPr>
        <w:t>19</w:t>
      </w:r>
      <w:r>
        <w:rPr>
          <w:snapToGrid w:val="0"/>
        </w:rPr>
        <w:t>.</w:t>
      </w:r>
      <w:r>
        <w:rPr>
          <w:snapToGrid w:val="0"/>
        </w:rPr>
        <w:tab/>
        <w:t>Distribution of Oz lotto prize pool</w:t>
      </w:r>
      <w:bookmarkEnd w:id="257"/>
      <w:bookmarkEnd w:id="258"/>
      <w:bookmarkEnd w:id="259"/>
      <w:bookmarkEnd w:id="260"/>
      <w:bookmarkEnd w:id="261"/>
      <w:bookmarkEnd w:id="262"/>
      <w:bookmarkEnd w:id="26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Subsection"/>
      </w:pPr>
      <w:bookmarkStart w:id="264" w:name="_Toc5072638"/>
      <w:bookmarkStart w:id="265" w:name="_Toc5072810"/>
      <w:bookmarkStart w:id="266" w:name="_Toc7409921"/>
      <w:bookmarkStart w:id="267" w:name="_Toc110931816"/>
      <w:bookmarkStart w:id="268" w:name="_Toc110933124"/>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19 amended in Gazette 6 Sep 2005 p. 4121; 26 Jun 2007 p. 3055; 6 Jun 2008 p. 2288.]</w:t>
      </w:r>
    </w:p>
    <w:p>
      <w:pPr>
        <w:pStyle w:val="Heading5"/>
        <w:rPr>
          <w:snapToGrid w:val="0"/>
        </w:rPr>
      </w:pPr>
      <w:bookmarkStart w:id="269" w:name="_Toc230162421"/>
      <w:bookmarkStart w:id="270" w:name="_Toc227051324"/>
      <w:r>
        <w:rPr>
          <w:rStyle w:val="CharSectno"/>
        </w:rPr>
        <w:t>20</w:t>
      </w:r>
      <w:r>
        <w:rPr>
          <w:snapToGrid w:val="0"/>
        </w:rPr>
        <w:t>.</w:t>
      </w:r>
      <w:r>
        <w:rPr>
          <w:snapToGrid w:val="0"/>
        </w:rPr>
        <w:tab/>
        <w:t>Division 1 jackpot</w:t>
      </w:r>
      <w:bookmarkEnd w:id="264"/>
      <w:bookmarkEnd w:id="265"/>
      <w:bookmarkEnd w:id="266"/>
      <w:bookmarkEnd w:id="267"/>
      <w:bookmarkEnd w:id="268"/>
      <w:bookmarkEnd w:id="269"/>
      <w:bookmarkEnd w:id="270"/>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 6 Jun 2008 p. 2289.]</w:t>
      </w:r>
    </w:p>
    <w:p>
      <w:pPr>
        <w:pStyle w:val="Heading5"/>
        <w:rPr>
          <w:snapToGrid w:val="0"/>
        </w:rPr>
      </w:pPr>
      <w:bookmarkStart w:id="271" w:name="_Toc5072639"/>
      <w:bookmarkStart w:id="272" w:name="_Toc5072811"/>
      <w:bookmarkStart w:id="273" w:name="_Toc7409922"/>
      <w:bookmarkStart w:id="274" w:name="_Toc110931817"/>
      <w:bookmarkStart w:id="275" w:name="_Toc110933125"/>
      <w:bookmarkStart w:id="276" w:name="_Toc230162422"/>
      <w:bookmarkStart w:id="277" w:name="_Toc227051325"/>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71"/>
      <w:bookmarkEnd w:id="272"/>
      <w:bookmarkEnd w:id="273"/>
      <w:bookmarkEnd w:id="274"/>
      <w:bookmarkEnd w:id="275"/>
      <w:bookmarkEnd w:id="276"/>
      <w:bookmarkEnd w:id="277"/>
    </w:p>
    <w:p>
      <w:pPr>
        <w:pStyle w:val="Subsection"/>
        <w:rPr>
          <w:snapToGrid w:val="0"/>
        </w:rPr>
      </w:pPr>
      <w:r>
        <w:rPr>
          <w:snapToGrid w:val="0"/>
        </w:rPr>
        <w:tab/>
        <w:t>(1)</w:t>
      </w:r>
      <w:r>
        <w:rPr>
          <w:snapToGrid w:val="0"/>
        </w:rPr>
        <w:tab/>
        <w:t xml:space="preserve">If no one </w:t>
      </w:r>
      <w:r>
        <w:t>wins</w:t>
      </w:r>
      <w:r>
        <w:rPr>
          <w:snapToGrid w:val="0"/>
        </w:rPr>
        <w:t xml:space="preserve">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 xml:space="preserve">If no one </w:t>
      </w:r>
      <w:r>
        <w:t>wins</w:t>
      </w:r>
      <w:r>
        <w:rPr>
          <w:snapToGrid w:val="0"/>
        </w:rPr>
        <w:t xml:space="preserve"> a division 3 prize in a particular Oz lotto draw, then the prize pool for division 3 must be added to the prize pool for the next lower division in which there is at least one winner in that Oz lotto draw.</w:t>
      </w:r>
    </w:p>
    <w:p>
      <w:pPr>
        <w:pStyle w:val="Subsection"/>
      </w:pPr>
      <w:bookmarkStart w:id="278" w:name="_Toc5072640"/>
      <w:bookmarkStart w:id="279" w:name="_Toc5072812"/>
      <w:bookmarkStart w:id="280" w:name="_Toc7409923"/>
      <w:bookmarkStart w:id="281" w:name="_Toc110931818"/>
      <w:bookmarkStart w:id="282" w:name="_Toc110933126"/>
      <w:r>
        <w:tab/>
        <w:t>(3)</w:t>
      </w:r>
      <w:r>
        <w:tab/>
        <w:t>If no one wins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wins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w:t>
      </w:r>
      <w:r>
        <w:t>wins</w:t>
      </w:r>
      <w:r>
        <w:rPr>
          <w:rFonts w:ascii="Times" w:hAnsi="Times"/>
          <w:spacing w:val="-4"/>
        </w:rPr>
        <w:t xml:space="preserve">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 6 Jun 2008 p. 2289.]</w:t>
      </w:r>
    </w:p>
    <w:p>
      <w:pPr>
        <w:pStyle w:val="Heading5"/>
        <w:rPr>
          <w:snapToGrid w:val="0"/>
        </w:rPr>
      </w:pPr>
      <w:bookmarkStart w:id="283" w:name="_Toc230162423"/>
      <w:bookmarkStart w:id="284" w:name="_Toc227051326"/>
      <w:r>
        <w:rPr>
          <w:rStyle w:val="CharSectno"/>
        </w:rPr>
        <w:t>22</w:t>
      </w:r>
      <w:r>
        <w:rPr>
          <w:snapToGrid w:val="0"/>
        </w:rPr>
        <w:t>.</w:t>
      </w:r>
      <w:r>
        <w:rPr>
          <w:snapToGrid w:val="0"/>
        </w:rPr>
        <w:tab/>
        <w:t>Bonus draws and guaranteed prize pools</w:t>
      </w:r>
      <w:bookmarkEnd w:id="278"/>
      <w:bookmarkEnd w:id="279"/>
      <w:bookmarkEnd w:id="280"/>
      <w:bookmarkEnd w:id="281"/>
      <w:bookmarkEnd w:id="282"/>
      <w:bookmarkEnd w:id="283"/>
      <w:bookmarkEnd w:id="284"/>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85" w:name="_Toc5072641"/>
      <w:bookmarkStart w:id="286" w:name="_Toc5072813"/>
      <w:bookmarkStart w:id="287" w:name="_Toc7409924"/>
      <w:bookmarkStart w:id="288" w:name="_Toc110931819"/>
      <w:bookmarkStart w:id="289" w:name="_Toc110933127"/>
      <w:bookmarkStart w:id="290" w:name="_Toc230162424"/>
      <w:bookmarkStart w:id="291" w:name="_Toc227051327"/>
      <w:r>
        <w:rPr>
          <w:rStyle w:val="CharSectno"/>
        </w:rPr>
        <w:t>23</w:t>
      </w:r>
      <w:r>
        <w:rPr>
          <w:snapToGrid w:val="0"/>
        </w:rPr>
        <w:t>.</w:t>
      </w:r>
      <w:r>
        <w:rPr>
          <w:snapToGrid w:val="0"/>
        </w:rPr>
        <w:tab/>
        <w:t>Combination of jackpot and prize reserve amount to form single division 1 prize pool</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92" w:name="_Toc5072642"/>
      <w:bookmarkStart w:id="293" w:name="_Toc5072814"/>
      <w:bookmarkStart w:id="294" w:name="_Toc7409925"/>
      <w:bookmarkStart w:id="295" w:name="_Toc110931820"/>
      <w:bookmarkStart w:id="296" w:name="_Toc110933128"/>
      <w:bookmarkStart w:id="297" w:name="_Toc230162425"/>
      <w:bookmarkStart w:id="298" w:name="_Toc227051328"/>
      <w:r>
        <w:rPr>
          <w:rStyle w:val="CharSectno"/>
        </w:rPr>
        <w:t>24</w:t>
      </w:r>
      <w:r>
        <w:rPr>
          <w:snapToGrid w:val="0"/>
        </w:rPr>
        <w:t>.</w:t>
      </w:r>
      <w:r>
        <w:rPr>
          <w:snapToGrid w:val="0"/>
        </w:rPr>
        <w:tab/>
        <w:t>Contribution to satisfy minimum prize payout does not form a part of jackpot prize pool</w:t>
      </w:r>
      <w:bookmarkEnd w:id="292"/>
      <w:bookmarkEnd w:id="293"/>
      <w:bookmarkEnd w:id="294"/>
      <w:bookmarkEnd w:id="295"/>
      <w:bookmarkEnd w:id="296"/>
      <w:bookmarkEnd w:id="297"/>
      <w:bookmarkEnd w:id="298"/>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99" w:name="_Toc230162426"/>
      <w:bookmarkStart w:id="300" w:name="_Toc227051329"/>
      <w:bookmarkStart w:id="301" w:name="_Toc110931824"/>
      <w:bookmarkStart w:id="302" w:name="_Toc110933132"/>
      <w:bookmarkStart w:id="303" w:name="_Toc110933208"/>
      <w:bookmarkStart w:id="304" w:name="_Toc110933291"/>
      <w:bookmarkStart w:id="305" w:name="_Toc113703790"/>
      <w:bookmarkStart w:id="306" w:name="_Toc113767381"/>
      <w:r>
        <w:rPr>
          <w:rStyle w:val="CharSectno"/>
        </w:rPr>
        <w:t>25</w:t>
      </w:r>
      <w:r>
        <w:t>.</w:t>
      </w:r>
      <w:r>
        <w:tab/>
        <w:t>Division 1 prizes</w:t>
      </w:r>
      <w:bookmarkEnd w:id="299"/>
      <w:bookmarkEnd w:id="300"/>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Subject to subrule (3), a division 1 prize in an Oz lotto draw is to be paid —</w:t>
      </w:r>
    </w:p>
    <w:p>
      <w:pPr>
        <w:pStyle w:val="Indenta"/>
      </w:pPr>
      <w:r>
        <w:tab/>
        <w:t>(a)</w:t>
      </w:r>
      <w:r>
        <w:tab/>
        <w:t>by the Commission;</w:t>
      </w:r>
    </w:p>
    <w:p>
      <w:pPr>
        <w:pStyle w:val="Indenta"/>
      </w:pPr>
      <w:r>
        <w:tab/>
        <w:t>(b)</w:t>
      </w:r>
      <w:r>
        <w:tab/>
        <w:t>subject to rule 31A, by cheque or in any other manner determined by the Commission; and</w:t>
      </w:r>
    </w:p>
    <w:p>
      <w:pPr>
        <w:pStyle w:val="Indenta"/>
      </w:pPr>
      <w:r>
        <w:tab/>
        <w:t>(c)</w:t>
      </w:r>
      <w:r>
        <w:tab/>
        <w:t>after the validation period for that draw.</w:t>
      </w:r>
    </w:p>
    <w:p>
      <w:pPr>
        <w:pStyle w:val="Subsection"/>
      </w:pPr>
      <w:r>
        <w:tab/>
        <w:t>(3)</w:t>
      </w:r>
      <w:r>
        <w:tab/>
        <w:t>Where a division 1 winning receipted ticket is presented to the Commission and details set out in the space provided on the receipted ticket for the prize winners details are not sufficient to establish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the Commission may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 amended in Gazette 6 Jun 2008 p. 2289.]</w:t>
      </w:r>
    </w:p>
    <w:p>
      <w:pPr>
        <w:pStyle w:val="Heading5"/>
      </w:pPr>
      <w:bookmarkStart w:id="307" w:name="_Toc230162427"/>
      <w:bookmarkStart w:id="308" w:name="_Toc227051330"/>
      <w:r>
        <w:rPr>
          <w:rStyle w:val="CharSectno"/>
        </w:rPr>
        <w:t>26</w:t>
      </w:r>
      <w:r>
        <w:t>.</w:t>
      </w:r>
      <w:r>
        <w:tab/>
        <w:t>Division 2 prizes</w:t>
      </w:r>
      <w:bookmarkEnd w:id="307"/>
      <w:bookmarkEnd w:id="308"/>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A division 2 prize is to be paid —</w:t>
      </w:r>
    </w:p>
    <w:p>
      <w:pPr>
        <w:pStyle w:val="Indenta"/>
      </w:pPr>
      <w:r>
        <w:tab/>
        <w:t>(a)</w:t>
      </w:r>
      <w:r>
        <w:tab/>
        <w:t>by the Commission or an authorised payout centre;</w:t>
      </w:r>
    </w:p>
    <w:p>
      <w:pPr>
        <w:pStyle w:val="Indenta"/>
      </w:pPr>
      <w:r>
        <w:tab/>
        <w:t>(b)</w:t>
      </w:r>
      <w:r>
        <w:tab/>
        <w:t>subject to rule 31A, 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 amended in Gazette 6 Jun 2008 p. 2289.]</w:t>
      </w:r>
    </w:p>
    <w:p>
      <w:pPr>
        <w:pStyle w:val="Heading5"/>
      </w:pPr>
      <w:bookmarkStart w:id="309" w:name="_Toc230162428"/>
      <w:bookmarkStart w:id="310" w:name="_Toc227051331"/>
      <w:r>
        <w:rPr>
          <w:rStyle w:val="CharSectno"/>
        </w:rPr>
        <w:t>27</w:t>
      </w:r>
      <w:r>
        <w:t>.</w:t>
      </w:r>
      <w:r>
        <w:tab/>
        <w:t>Division 3, 4, 5, 6 and 7 prizes</w:t>
      </w:r>
      <w:bookmarkEnd w:id="309"/>
      <w:bookmarkEnd w:id="310"/>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A division 3, 4, 5, 6 or 7 prize is to be paid to the holder of the winning receipted ticket —</w:t>
      </w:r>
    </w:p>
    <w:p>
      <w:pPr>
        <w:pStyle w:val="Indenta"/>
      </w:pPr>
      <w:r>
        <w:tab/>
        <w:t>(a)</w:t>
      </w:r>
      <w:r>
        <w:tab/>
        <w:t>if it is $500 or less —</w:t>
      </w:r>
    </w:p>
    <w:p>
      <w:pPr>
        <w:pStyle w:val="Indenti"/>
      </w:pPr>
      <w:r>
        <w:tab/>
        <w:t>(i)</w:t>
      </w:r>
      <w:r>
        <w:tab/>
        <w:t>by the Commission, an authorised payout centre or any other agent;</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keepLines/>
      </w:pPr>
      <w:r>
        <w:tab/>
        <w:t>(b)</w:t>
      </w:r>
      <w:r>
        <w:tab/>
        <w:t>if it is more than $500 —</w:t>
      </w:r>
    </w:p>
    <w:p>
      <w:pPr>
        <w:pStyle w:val="Indenti"/>
      </w:pPr>
      <w:r>
        <w:tab/>
        <w:t>(i)</w:t>
      </w:r>
      <w:r>
        <w:tab/>
        <w:t>by the Commission, an authorised payout centre or an agent who has been authorised by the Commission to pay prizes over $500;</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 amended in Gazette 6 Jun 2008 p. 2289.]</w:t>
      </w:r>
    </w:p>
    <w:p>
      <w:pPr>
        <w:pStyle w:val="Heading5"/>
      </w:pPr>
      <w:bookmarkStart w:id="311" w:name="_Toc230162429"/>
      <w:bookmarkStart w:id="312" w:name="_Toc227051332"/>
      <w:bookmarkStart w:id="313" w:name="_Toc115087823"/>
      <w:bookmarkStart w:id="314" w:name="_Toc115146260"/>
      <w:bookmarkStart w:id="315" w:name="_Toc143931277"/>
      <w:bookmarkStart w:id="316" w:name="_Toc144005724"/>
      <w:bookmarkStart w:id="317" w:name="_Toc148759796"/>
      <w:bookmarkStart w:id="318" w:name="_Toc153172649"/>
      <w:bookmarkStart w:id="319" w:name="_Toc153172830"/>
      <w:bookmarkStart w:id="320" w:name="_Toc170548736"/>
      <w:bookmarkStart w:id="321" w:name="_Toc170620662"/>
      <w:r>
        <w:rPr>
          <w:rStyle w:val="CharSectno"/>
        </w:rPr>
        <w:t>28</w:t>
      </w:r>
      <w:r>
        <w:t>.</w:t>
      </w:r>
      <w:r>
        <w:tab/>
        <w:t>Claiming a syndicate share prize</w:t>
      </w:r>
      <w:bookmarkEnd w:id="311"/>
      <w:bookmarkEnd w:id="312"/>
    </w:p>
    <w:p>
      <w:pPr>
        <w:pStyle w:val="Subsection"/>
      </w:pPr>
      <w:r>
        <w:tab/>
        <w:t>(1)</w:t>
      </w:r>
      <w:r>
        <w:tab/>
        <w:t>To claim a share of a prize in an Oz lotto draw, the holder of a winning syndicate share receipted ticket must present it to an agent within the payout period for that draw.</w:t>
      </w:r>
    </w:p>
    <w:p>
      <w:pPr>
        <w:pStyle w:val="Subsection"/>
      </w:pPr>
      <w:r>
        <w:tab/>
        <w:t>(2)</w:t>
      </w:r>
      <w:r>
        <w:tab/>
        <w:t>A share of a division 1 prize in an Oz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 inserted in Gazette 6 Jun 2008 p. 2290-1.]</w:t>
      </w:r>
    </w:p>
    <w:p>
      <w:pPr>
        <w:pStyle w:val="Heading2"/>
      </w:pPr>
      <w:bookmarkStart w:id="322" w:name="_Toc200445095"/>
      <w:bookmarkStart w:id="323" w:name="_Toc200515790"/>
      <w:bookmarkStart w:id="324" w:name="_Toc221608047"/>
      <w:bookmarkStart w:id="325" w:name="_Toc221610022"/>
      <w:bookmarkStart w:id="326" w:name="_Toc225757989"/>
      <w:bookmarkStart w:id="327" w:name="_Toc227051333"/>
      <w:bookmarkStart w:id="328" w:name="_Toc230162430"/>
      <w:r>
        <w:rPr>
          <w:rStyle w:val="CharPartNo"/>
        </w:rPr>
        <w:t>Part 5</w:t>
      </w:r>
      <w:r>
        <w:rPr>
          <w:rStyle w:val="CharDivNo"/>
        </w:rPr>
        <w:t> </w:t>
      </w:r>
      <w:r>
        <w:t>—</w:t>
      </w:r>
      <w:r>
        <w:rPr>
          <w:rStyle w:val="CharDivText"/>
        </w:rPr>
        <w:t> </w:t>
      </w:r>
      <w:r>
        <w:rPr>
          <w:rStyle w:val="CharPartText"/>
        </w:rPr>
        <w:t>Miscellaneous</w:t>
      </w:r>
      <w:bookmarkEnd w:id="301"/>
      <w:bookmarkEnd w:id="302"/>
      <w:bookmarkEnd w:id="303"/>
      <w:bookmarkEnd w:id="304"/>
      <w:bookmarkEnd w:id="305"/>
      <w:bookmarkEnd w:id="306"/>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5072647"/>
      <w:bookmarkStart w:id="330" w:name="_Toc5072819"/>
      <w:bookmarkStart w:id="331" w:name="_Toc7409930"/>
      <w:bookmarkStart w:id="332" w:name="_Toc110931826"/>
      <w:bookmarkStart w:id="333" w:name="_Toc110933134"/>
      <w:bookmarkStart w:id="334" w:name="_Toc230162431"/>
      <w:bookmarkStart w:id="335" w:name="_Toc227051334"/>
      <w:r>
        <w:rPr>
          <w:rStyle w:val="CharSectno"/>
        </w:rPr>
        <w:t>29</w:t>
      </w:r>
      <w:r>
        <w:rPr>
          <w:snapToGrid w:val="0"/>
        </w:rPr>
        <w:t>.</w:t>
      </w:r>
      <w:r>
        <w:rPr>
          <w:snapToGrid w:val="0"/>
        </w:rPr>
        <w:tab/>
        <w:t>Commission may require a statutory declaration</w:t>
      </w:r>
      <w:bookmarkEnd w:id="329"/>
      <w:bookmarkEnd w:id="330"/>
      <w:bookmarkEnd w:id="331"/>
      <w:bookmarkEnd w:id="332"/>
      <w:bookmarkEnd w:id="333"/>
      <w:bookmarkEnd w:id="334"/>
      <w:bookmarkEnd w:id="335"/>
    </w:p>
    <w:p>
      <w:pPr>
        <w:pStyle w:val="Subsection"/>
        <w:rPr>
          <w:snapToGrid w:val="0"/>
        </w:rPr>
      </w:pPr>
      <w:r>
        <w:rPr>
          <w:snapToGrid w:val="0"/>
        </w:rPr>
        <w:tab/>
      </w:r>
      <w:r>
        <w:rPr>
          <w:snapToGrid w:val="0"/>
        </w:rPr>
        <w:tab/>
        <w:t xml:space="preserve">The Commission may require the holder of a receipted ticket to complete a statutory declaration, upon the payment of any Oz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p>
    <w:p>
      <w:pPr>
        <w:pStyle w:val="Footnotesection"/>
      </w:pPr>
      <w:bookmarkStart w:id="336" w:name="_Toc5072648"/>
      <w:bookmarkStart w:id="337" w:name="_Toc5072820"/>
      <w:bookmarkStart w:id="338" w:name="_Toc7409931"/>
      <w:bookmarkStart w:id="339" w:name="_Toc110931827"/>
      <w:bookmarkStart w:id="340" w:name="_Toc110933135"/>
      <w:r>
        <w:tab/>
        <w:t>[Rule 29 amended in Gazette 6 Jun 2008 p. 2291.]</w:t>
      </w:r>
    </w:p>
    <w:p>
      <w:pPr>
        <w:pStyle w:val="Heading5"/>
        <w:rPr>
          <w:snapToGrid w:val="0"/>
        </w:rPr>
      </w:pPr>
      <w:bookmarkStart w:id="341" w:name="_Toc230162432"/>
      <w:bookmarkStart w:id="342" w:name="_Toc227051335"/>
      <w:r>
        <w:rPr>
          <w:rStyle w:val="CharSectno"/>
        </w:rPr>
        <w:t>30</w:t>
      </w:r>
      <w:r>
        <w:rPr>
          <w:snapToGrid w:val="0"/>
        </w:rPr>
        <w:t>.</w:t>
      </w:r>
      <w:r>
        <w:rPr>
          <w:snapToGrid w:val="0"/>
        </w:rPr>
        <w:tab/>
        <w:t>Publication of names and addresses of prize winners</w:t>
      </w:r>
      <w:bookmarkEnd w:id="336"/>
      <w:bookmarkEnd w:id="337"/>
      <w:bookmarkEnd w:id="338"/>
      <w:bookmarkEnd w:id="339"/>
      <w:bookmarkEnd w:id="340"/>
      <w:bookmarkEnd w:id="341"/>
      <w:bookmarkEnd w:id="342"/>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343" w:name="_Toc5072649"/>
      <w:bookmarkStart w:id="344" w:name="_Toc5072821"/>
      <w:bookmarkStart w:id="345" w:name="_Toc7409932"/>
      <w:bookmarkStart w:id="346" w:name="_Toc110931828"/>
      <w:bookmarkStart w:id="347" w:name="_Toc110933136"/>
      <w:bookmarkStart w:id="348" w:name="_Toc230162433"/>
      <w:bookmarkStart w:id="349" w:name="_Toc227051336"/>
      <w:r>
        <w:rPr>
          <w:rStyle w:val="CharSectno"/>
        </w:rPr>
        <w:t>31</w:t>
      </w:r>
      <w:r>
        <w:t>.</w:t>
      </w:r>
      <w:r>
        <w:tab/>
        <w:t>Player Registration Service</w:t>
      </w:r>
      <w:bookmarkEnd w:id="343"/>
      <w:bookmarkEnd w:id="344"/>
      <w:bookmarkEnd w:id="345"/>
      <w:bookmarkEnd w:id="346"/>
      <w:bookmarkEnd w:id="347"/>
      <w:bookmarkEnd w:id="348"/>
      <w:bookmarkEnd w:id="349"/>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keepNext/>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inserted in Gazette 9 Mar 2001 p. 1338</w:t>
      </w:r>
      <w:r>
        <w:noBreakHyphen/>
        <w:t>9; amended in Gazette 8 Aug 2003 p. 3581; 6 Jun 2008 p. 2291-2.]</w:t>
      </w:r>
    </w:p>
    <w:p>
      <w:pPr>
        <w:pStyle w:val="Heading5"/>
      </w:pPr>
      <w:bookmarkStart w:id="350" w:name="_Toc230162434"/>
      <w:bookmarkStart w:id="351" w:name="_Toc227051337"/>
      <w:bookmarkStart w:id="352" w:name="_Toc5072650"/>
      <w:bookmarkStart w:id="353" w:name="_Toc5072822"/>
      <w:bookmarkStart w:id="354" w:name="_Toc7409933"/>
      <w:bookmarkStart w:id="355" w:name="_Toc110931829"/>
      <w:bookmarkStart w:id="356" w:name="_Toc110933137"/>
      <w:r>
        <w:rPr>
          <w:rStyle w:val="CharSectno"/>
        </w:rPr>
        <w:t>31A</w:t>
      </w:r>
      <w:r>
        <w:t>.</w:t>
      </w:r>
      <w:r>
        <w:tab/>
        <w:t>Player’s card holders may request direct credit of prizes</w:t>
      </w:r>
      <w:bookmarkEnd w:id="350"/>
      <w:bookmarkEnd w:id="351"/>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2292.]</w:t>
      </w:r>
    </w:p>
    <w:p>
      <w:pPr>
        <w:pStyle w:val="Heading5"/>
      </w:pPr>
      <w:bookmarkStart w:id="357" w:name="_Toc230162435"/>
      <w:bookmarkStart w:id="358" w:name="_Toc227051338"/>
      <w:r>
        <w:rPr>
          <w:rStyle w:val="CharSectno"/>
        </w:rPr>
        <w:t>31B</w:t>
      </w:r>
      <w:r>
        <w:t>.</w:t>
      </w:r>
      <w:r>
        <w:tab/>
        <w:t>Registering favourite numbers</w:t>
      </w:r>
      <w:bookmarkEnd w:id="357"/>
      <w:bookmarkEnd w:id="358"/>
    </w:p>
    <w:p>
      <w:pPr>
        <w:pStyle w:val="Subsection"/>
      </w:pPr>
      <w:r>
        <w:tab/>
        <w:t>(1)</w:t>
      </w:r>
      <w:r>
        <w:tab/>
        <w:t>A subscriber may register one or more sets of numbers against his or her player’s card number to be the “favourite numbers” for Oz lotto.</w:t>
      </w:r>
    </w:p>
    <w:p>
      <w:pPr>
        <w:pStyle w:val="Subsection"/>
      </w:pPr>
      <w:r>
        <w:tab/>
        <w:t>(2)</w:t>
      </w:r>
      <w:r>
        <w:tab/>
        <w:t>A subscriber may specify particular types of game entry and register sets of numbers for those types of game entry against his or her player’s card number to be the “favourite numbers” for Oz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2292.]</w:t>
      </w:r>
    </w:p>
    <w:p>
      <w:pPr>
        <w:pStyle w:val="Heading5"/>
        <w:rPr>
          <w:snapToGrid w:val="0"/>
        </w:rPr>
      </w:pPr>
      <w:bookmarkStart w:id="359" w:name="_Toc230162436"/>
      <w:bookmarkStart w:id="360" w:name="_Toc227051339"/>
      <w:r>
        <w:rPr>
          <w:rStyle w:val="CharSectno"/>
        </w:rPr>
        <w:t>32</w:t>
      </w:r>
      <w:r>
        <w:rPr>
          <w:snapToGrid w:val="0"/>
        </w:rPr>
        <w:t>.</w:t>
      </w:r>
      <w:r>
        <w:rPr>
          <w:snapToGrid w:val="0"/>
        </w:rPr>
        <w:tab/>
        <w:t>Instructions</w:t>
      </w:r>
      <w:bookmarkEnd w:id="352"/>
      <w:bookmarkEnd w:id="353"/>
      <w:bookmarkEnd w:id="354"/>
      <w:bookmarkEnd w:id="355"/>
      <w:bookmarkEnd w:id="356"/>
      <w:bookmarkEnd w:id="359"/>
      <w:bookmarkEnd w:id="360"/>
    </w:p>
    <w:p>
      <w:pPr>
        <w:pStyle w:val="Subsection"/>
        <w:rPr>
          <w:snapToGrid w:val="0"/>
        </w:rPr>
      </w:pPr>
      <w:r>
        <w:rPr>
          <w:snapToGrid w:val="0"/>
        </w:rPr>
        <w:tab/>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61" w:name="_Toc5072651"/>
      <w:bookmarkStart w:id="362" w:name="_Toc5072823"/>
      <w:bookmarkStart w:id="363" w:name="_Toc7409934"/>
      <w:bookmarkStart w:id="364" w:name="_Toc110931830"/>
      <w:bookmarkStart w:id="365" w:name="_Toc110933138"/>
      <w:r>
        <w:tab/>
        <w:t>[Rule 32 amended in Gazette 6 Jun 2008 p. 2293.]</w:t>
      </w:r>
    </w:p>
    <w:p>
      <w:pPr>
        <w:pStyle w:val="Heading5"/>
        <w:rPr>
          <w:snapToGrid w:val="0"/>
        </w:rPr>
      </w:pPr>
      <w:bookmarkStart w:id="366" w:name="_Toc230162437"/>
      <w:bookmarkStart w:id="367" w:name="_Toc227051340"/>
      <w:r>
        <w:rPr>
          <w:rStyle w:val="CharSectno"/>
        </w:rPr>
        <w:t>33</w:t>
      </w:r>
      <w:r>
        <w:rPr>
          <w:snapToGrid w:val="0"/>
        </w:rPr>
        <w:t>.</w:t>
      </w:r>
      <w:r>
        <w:rPr>
          <w:snapToGrid w:val="0"/>
        </w:rPr>
        <w:tab/>
        <w:t>Rules to be made available</w:t>
      </w:r>
      <w:bookmarkEnd w:id="361"/>
      <w:bookmarkEnd w:id="362"/>
      <w:bookmarkEnd w:id="363"/>
      <w:bookmarkEnd w:id="364"/>
      <w:bookmarkEnd w:id="365"/>
      <w:bookmarkEnd w:id="366"/>
      <w:bookmarkEnd w:id="367"/>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68" w:name="_Toc5072652"/>
      <w:bookmarkStart w:id="369" w:name="_Toc5072824"/>
      <w:bookmarkStart w:id="370" w:name="_Toc7409935"/>
      <w:bookmarkStart w:id="371" w:name="_Toc110931831"/>
      <w:bookmarkStart w:id="372" w:name="_Toc110933139"/>
      <w:bookmarkStart w:id="373" w:name="_Toc230162438"/>
      <w:bookmarkStart w:id="374" w:name="_Toc227051341"/>
      <w:r>
        <w:rPr>
          <w:rStyle w:val="CharSectno"/>
        </w:rPr>
        <w:t>34</w:t>
      </w:r>
      <w:r>
        <w:rPr>
          <w:snapToGrid w:val="0"/>
        </w:rPr>
        <w:t>.</w:t>
      </w:r>
      <w:r>
        <w:rPr>
          <w:snapToGrid w:val="0"/>
        </w:rPr>
        <w:tab/>
        <w:t>Decisions of Commission final</w:t>
      </w:r>
      <w:bookmarkEnd w:id="368"/>
      <w:bookmarkEnd w:id="369"/>
      <w:bookmarkEnd w:id="370"/>
      <w:bookmarkEnd w:id="371"/>
      <w:bookmarkEnd w:id="372"/>
      <w:bookmarkEnd w:id="373"/>
      <w:bookmarkEnd w:id="374"/>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75" w:name="_Toc5072825"/>
      <w:bookmarkStart w:id="376" w:name="_Toc110931832"/>
      <w:bookmarkStart w:id="377" w:name="_Toc110933140"/>
      <w:bookmarkStart w:id="378" w:name="_Toc110933216"/>
      <w:bookmarkStart w:id="379" w:name="_Toc110933299"/>
      <w:bookmarkStart w:id="380" w:name="_Toc113703798"/>
      <w:bookmarkStart w:id="381" w:name="_Toc113767389"/>
    </w:p>
    <w:p>
      <w:pPr>
        <w:pStyle w:val="yScheduleHeading"/>
      </w:pPr>
      <w:bookmarkStart w:id="382" w:name="_Toc200445105"/>
      <w:bookmarkStart w:id="383" w:name="_Toc200515799"/>
      <w:bookmarkStart w:id="384" w:name="_Toc221608056"/>
      <w:bookmarkStart w:id="385" w:name="_Toc221610031"/>
      <w:bookmarkStart w:id="386" w:name="_Toc225757998"/>
      <w:bookmarkStart w:id="387" w:name="_Toc227051342"/>
      <w:bookmarkStart w:id="388" w:name="_Toc230162439"/>
      <w:bookmarkStart w:id="389" w:name="_Toc187816452"/>
      <w:bookmarkStart w:id="390" w:name="_Toc187816543"/>
      <w:bookmarkStart w:id="391" w:name="_Toc196013967"/>
      <w:bookmarkStart w:id="392" w:name="_Toc196014029"/>
      <w:bookmarkStart w:id="393" w:name="_Toc196014328"/>
      <w:bookmarkStart w:id="394" w:name="_Toc115087836"/>
      <w:bookmarkStart w:id="395" w:name="_Toc115146268"/>
      <w:bookmarkStart w:id="396" w:name="_Toc143931285"/>
      <w:bookmarkStart w:id="397" w:name="_Toc144005732"/>
      <w:bookmarkStart w:id="398" w:name="_Toc148759804"/>
      <w:bookmarkStart w:id="399" w:name="_Toc153172657"/>
      <w:bookmarkStart w:id="400" w:name="_Toc153172838"/>
      <w:bookmarkStart w:id="401" w:name="_Toc170548744"/>
      <w:bookmarkStart w:id="402" w:name="_Toc170620670"/>
      <w:bookmarkEnd w:id="375"/>
      <w:bookmarkEnd w:id="376"/>
      <w:bookmarkEnd w:id="377"/>
      <w:bookmarkEnd w:id="378"/>
      <w:bookmarkEnd w:id="379"/>
      <w:bookmarkEnd w:id="380"/>
      <w:bookmarkEnd w:id="381"/>
      <w:r>
        <w:rPr>
          <w:rStyle w:val="CharSchNo"/>
        </w:rPr>
        <w:t>Schedule 1</w:t>
      </w:r>
      <w:r>
        <w:t> — </w:t>
      </w:r>
      <w:r>
        <w:rPr>
          <w:rStyle w:val="CharSchText"/>
        </w:rPr>
        <w:t xml:space="preserve">Calculating </w:t>
      </w:r>
      <w:bookmarkStart w:id="403" w:name="_Toc186863560"/>
      <w:bookmarkStart w:id="404" w:name="_Toc187816453"/>
      <w:bookmarkStart w:id="405" w:name="_Toc187816544"/>
      <w:bookmarkStart w:id="406" w:name="_Toc196013968"/>
      <w:bookmarkStart w:id="407" w:name="_Toc196014030"/>
      <w:bookmarkStart w:id="408" w:name="_Toc196014329"/>
      <w:r>
        <w:rPr>
          <w:rStyle w:val="CharSchText"/>
        </w:rPr>
        <w:t>the total cost of entry — Oz lotto draw</w:t>
      </w:r>
      <w:bookmarkEnd w:id="382"/>
      <w:bookmarkEnd w:id="383"/>
      <w:bookmarkEnd w:id="384"/>
      <w:bookmarkEnd w:id="385"/>
      <w:bookmarkEnd w:id="386"/>
      <w:bookmarkEnd w:id="387"/>
      <w:bookmarkEnd w:id="388"/>
      <w:bookmarkEnd w:id="403"/>
      <w:bookmarkEnd w:id="404"/>
      <w:bookmarkEnd w:id="405"/>
      <w:bookmarkEnd w:id="406"/>
      <w:bookmarkEnd w:id="407"/>
      <w:bookmarkEnd w:id="408"/>
    </w:p>
    <w:p>
      <w:pPr>
        <w:pStyle w:val="yShoulderClause"/>
        <w:spacing w:before="60"/>
      </w:pPr>
      <w:r>
        <w:t xml:space="preserve">[r. </w:t>
      </w:r>
      <w:r>
        <w:rPr>
          <w:snapToGrid w:val="0"/>
        </w:rPr>
        <w:t>3, 5, 6 and 7</w:t>
      </w:r>
      <w:r>
        <w:t>]</w:t>
      </w:r>
    </w:p>
    <w:p>
      <w:pPr>
        <w:pStyle w:val="yFootnoteheading"/>
      </w:pPr>
      <w:r>
        <w:tab/>
        <w:t>[Heading inserted in Gazette 6 Jun 2008 p. 2293.]</w:t>
      </w:r>
    </w:p>
    <w:p/>
    <w:bookmarkEnd w:id="389"/>
    <w:bookmarkEnd w:id="390"/>
    <w:bookmarkEnd w:id="391"/>
    <w:bookmarkEnd w:id="392"/>
    <w:bookmarkEnd w:id="393"/>
    <w:p>
      <w:pPr>
        <w:pStyle w:val="yMiscellaneousBody"/>
      </w:pPr>
      <w:r>
        <w:t>The unit cost of entering an Oz lotto draw is made up of a subscription of $1.00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$1.00) x .09 </w:t>
      </w:r>
      <w:r>
        <w:rPr>
          <w:b/>
          <w:bCs/>
        </w:rPr>
        <w:sym w:font="Symbol" w:char="F0AE"/>
      </w:r>
      <w:r>
        <w:rPr>
          <w:b/>
          <w:bCs/>
        </w:rPr>
        <w:t xml:space="preserve"> rounded) x W = T</w:t>
      </w:r>
    </w:p>
    <w:p>
      <w:pPr>
        <w:pStyle w:val="yMiscellaneousBody"/>
      </w:pPr>
      <w:r>
        <w:t>where —</w:t>
      </w:r>
    </w:p>
    <w:p>
      <w:pPr>
        <w:pStyle w:val="yMiscellaneousBody"/>
        <w:tabs>
          <w:tab w:val="left" w:pos="574"/>
        </w:tabs>
        <w:spacing w:before="120"/>
      </w:pPr>
      <w:r>
        <w:tab/>
      </w:r>
      <w:r>
        <w:rPr>
          <w:b/>
          <w:bCs/>
        </w:rPr>
        <w:t>G</w:t>
      </w:r>
      <w:r>
        <w:t xml:space="preserve"> = No. of games entered in a draw</w:t>
      </w:r>
    </w:p>
    <w:p>
      <w:pPr>
        <w:pStyle w:val="yMiscellaneousBody"/>
        <w:tabs>
          <w:tab w:val="left" w:pos="574"/>
        </w:tabs>
        <w:spacing w:before="120"/>
      </w:pPr>
      <w:r>
        <w:tab/>
      </w:r>
      <w:r>
        <w:rPr>
          <w:b/>
          <w:bCs/>
        </w:rPr>
        <w:t>W</w:t>
      </w:r>
      <w:r>
        <w:t xml:space="preserve"> = No. of weeks the entry spans</w:t>
      </w:r>
    </w:p>
    <w:p>
      <w:pPr>
        <w:pStyle w:val="yMiscellaneousBody"/>
        <w:tabs>
          <w:tab w:val="left" w:pos="574"/>
        </w:tabs>
        <w:spacing w:before="120"/>
      </w:pPr>
      <w:r>
        <w:tab/>
      </w:r>
      <w:r>
        <w:rPr>
          <w:b/>
          <w:bCs/>
        </w:rPr>
        <w:t>T</w:t>
      </w:r>
      <w:r>
        <w:t xml:space="preserve"> = Total agent’s component cost payable by the subscriber</w:t>
      </w:r>
    </w:p>
    <w:p>
      <w:pPr>
        <w:pStyle w:val="yMiscellaneousBody"/>
        <w:rPr>
          <w:b/>
          <w:bCs/>
        </w:rPr>
      </w:pPr>
      <w:r>
        <w:rPr>
          <w:b/>
          <w:bCs/>
        </w:rPr>
        <w:t>Examples:</w:t>
      </w:r>
    </w:p>
    <w:p>
      <w:pPr>
        <w:pStyle w:val="yMiscellaneousBody"/>
      </w:pPr>
      <w:r>
        <w:t>The total cost of entry for a Slikpik 25 entry for a single Oz lotto draw is calculated as follows —</w:t>
      </w:r>
    </w:p>
    <w:p>
      <w:pPr>
        <w:pStyle w:val="yMiscellaneousBody"/>
        <w:tabs>
          <w:tab w:val="left" w:pos="574"/>
          <w:tab w:val="left" w:pos="4800"/>
          <w:tab w:val="right" w:pos="5880"/>
        </w:tabs>
        <w:spacing w:before="120"/>
      </w:pPr>
      <w:r>
        <w:tab/>
        <w:t>Subscription [25 games @ $1.00 each]</w:t>
      </w:r>
      <w:r>
        <w:tab/>
        <w:t>=</w:t>
      </w:r>
      <w:r>
        <w:tab/>
        <w:t>$25.00</w:t>
      </w:r>
    </w:p>
    <w:p>
      <w:pPr>
        <w:pStyle w:val="yMiscellaneousBody"/>
        <w:tabs>
          <w:tab w:val="left" w:pos="574"/>
          <w:tab w:val="left" w:pos="4800"/>
          <w:tab w:val="right" w:pos="5880"/>
        </w:tabs>
        <w:spacing w:before="120"/>
      </w:pPr>
      <w:r>
        <w:tab/>
        <w:t>9% of subscription [.09 x $25.00]</w:t>
      </w:r>
      <w:r>
        <w:tab/>
        <w:t>=</w:t>
      </w:r>
      <w:r>
        <w:tab/>
        <w:t>$2.25</w:t>
      </w:r>
    </w:p>
    <w:p>
      <w:pPr>
        <w:pStyle w:val="yMiscellaneousBody"/>
        <w:tabs>
          <w:tab w:val="left" w:pos="574"/>
          <w:tab w:val="left" w:pos="4800"/>
          <w:tab w:val="right" w:pos="5880"/>
        </w:tabs>
        <w:spacing w:before="120"/>
      </w:pPr>
      <w:r>
        <w:tab/>
        <w:t>Rounding not required</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$27.25</w:t>
      </w:r>
    </w:p>
    <w:p>
      <w:pPr>
        <w:pStyle w:val="yMiscellaneousBody"/>
        <w:spacing w:before="0"/>
      </w:pPr>
    </w:p>
    <w:p>
      <w:pPr>
        <w:pStyle w:val="yMiscellaneousBody"/>
      </w:pPr>
      <w:r>
        <w:t>The total cost of entry for a System 9 entry for a single Oz lotto draw is calculated as follows —</w:t>
      </w:r>
    </w:p>
    <w:p>
      <w:pPr>
        <w:pStyle w:val="yMiscellaneousBody"/>
        <w:tabs>
          <w:tab w:val="left" w:pos="574"/>
          <w:tab w:val="left" w:pos="4800"/>
          <w:tab w:val="right" w:pos="5880"/>
        </w:tabs>
        <w:spacing w:before="120"/>
      </w:pPr>
      <w:r>
        <w:tab/>
        <w:t>Subscription [36 games @ $1.00 each]</w:t>
      </w:r>
      <w:r>
        <w:tab/>
        <w:t>=</w:t>
      </w:r>
      <w:r>
        <w:tab/>
        <w:t>$36.00</w:t>
      </w:r>
    </w:p>
    <w:p>
      <w:pPr>
        <w:pStyle w:val="yMiscellaneousBody"/>
        <w:tabs>
          <w:tab w:val="left" w:pos="574"/>
          <w:tab w:val="left" w:pos="4800"/>
          <w:tab w:val="right" w:pos="5880"/>
        </w:tabs>
        <w:spacing w:before="120"/>
      </w:pPr>
      <w:r>
        <w:tab/>
        <w:t>9% of subscription [.09 x $36.00]</w:t>
      </w:r>
      <w:r>
        <w:tab/>
        <w:t>=</w:t>
      </w:r>
      <w:r>
        <w:tab/>
        <w:t>$3.24</w:t>
      </w:r>
    </w:p>
    <w:p>
      <w:pPr>
        <w:pStyle w:val="yMiscellaneousBody"/>
        <w:tabs>
          <w:tab w:val="left" w:pos="574"/>
          <w:tab w:val="left" w:pos="4800"/>
          <w:tab w:val="right" w:pos="5880"/>
        </w:tabs>
        <w:spacing w:before="120"/>
      </w:pPr>
      <w:r>
        <w:tab/>
        <w:t>Rounded using “bankers rounding”</w:t>
      </w:r>
      <w:r>
        <w:tab/>
        <w:t>=</w:t>
      </w:r>
      <w:r>
        <w:tab/>
        <w:t>$3.25</w:t>
      </w:r>
    </w:p>
    <w:p>
      <w:pPr>
        <w:pStyle w:val="yMiscellaneousBody"/>
        <w:tabs>
          <w:tab w:val="left" w:pos="574"/>
          <w:tab w:val="left" w:pos="4800"/>
          <w:tab w:val="right" w:pos="5880"/>
        </w:tabs>
        <w:spacing w:before="120"/>
        <w:rPr>
          <w:b/>
          <w:bCs/>
        </w:rPr>
      </w:pPr>
      <w:r>
        <w:rPr>
          <w:b/>
          <w:bCs/>
        </w:rPr>
        <w:tab/>
        <w:t>Total cost of entry</w:t>
      </w:r>
      <w:r>
        <w:rPr>
          <w:b/>
          <w:bCs/>
        </w:rPr>
        <w:tab/>
        <w:t>=</w:t>
      </w:r>
      <w:r>
        <w:rPr>
          <w:b/>
          <w:bCs/>
        </w:rPr>
        <w:tab/>
        <w:t>$39.25</w:t>
      </w:r>
    </w:p>
    <w:p>
      <w:pPr>
        <w:pStyle w:val="yMiscellaneousBody"/>
      </w:pPr>
      <w:r>
        <w:t>The total cost of entry for a 6 game board System 9 entry for a single Oz lotto draw is calculated as follows —</w:t>
      </w:r>
    </w:p>
    <w:p>
      <w:pPr>
        <w:pStyle w:val="yMiscellaneousBody"/>
        <w:tabs>
          <w:tab w:val="left" w:pos="574"/>
          <w:tab w:val="left" w:pos="4800"/>
          <w:tab w:val="right" w:pos="5880"/>
        </w:tabs>
      </w:pPr>
      <w:r>
        <w:tab/>
        <w:t>Subscription [6 x 36 games @ $1.00 each]</w:t>
      </w:r>
      <w:r>
        <w:tab/>
        <w:t>=</w:t>
      </w:r>
      <w:r>
        <w:tab/>
        <w:t>$216.00</w:t>
      </w:r>
    </w:p>
    <w:p>
      <w:pPr>
        <w:pStyle w:val="yMiscellaneousBody"/>
        <w:tabs>
          <w:tab w:val="left" w:pos="574"/>
          <w:tab w:val="left" w:pos="4800"/>
          <w:tab w:val="right" w:pos="5880"/>
        </w:tabs>
      </w:pPr>
      <w:r>
        <w:tab/>
        <w:t>9% of subscription [.09 x $216.00]</w:t>
      </w:r>
      <w:r>
        <w:tab/>
        <w:t>=</w:t>
      </w:r>
      <w:r>
        <w:tab/>
        <w:t>$19.44</w:t>
      </w:r>
    </w:p>
    <w:p>
      <w:pPr>
        <w:pStyle w:val="yMiscellaneousBody"/>
        <w:tabs>
          <w:tab w:val="left" w:pos="574"/>
          <w:tab w:val="left" w:pos="4800"/>
          <w:tab w:val="right" w:pos="5880"/>
        </w:tabs>
      </w:pPr>
      <w:r>
        <w:tab/>
        <w:t>Rounded using “bankers rounding”</w:t>
      </w:r>
      <w:r>
        <w:tab/>
        <w:t>=</w:t>
      </w:r>
      <w:r>
        <w:tab/>
        <w:t>$19.45</w:t>
      </w:r>
    </w:p>
    <w:p>
      <w:pPr>
        <w:pStyle w:val="yMiscellaneousBody"/>
        <w:tabs>
          <w:tab w:val="left" w:pos="574"/>
          <w:tab w:val="left" w:pos="4800"/>
          <w:tab w:val="right" w:pos="5880"/>
        </w:tabs>
        <w:rPr>
          <w:b/>
          <w:bCs/>
        </w:rPr>
      </w:pPr>
      <w:r>
        <w:rPr>
          <w:b/>
          <w:bCs/>
        </w:rPr>
        <w:tab/>
        <w:t>Total cost of entry</w:t>
      </w:r>
      <w:r>
        <w:rPr>
          <w:b/>
          <w:bCs/>
        </w:rPr>
        <w:tab/>
        <w:t>=</w:t>
      </w:r>
      <w:r>
        <w:rPr>
          <w:b/>
          <w:bCs/>
        </w:rPr>
        <w:tab/>
        <w:t>$235.45</w:t>
      </w:r>
    </w:p>
    <w:p>
      <w:pPr>
        <w:pStyle w:val="yMiscellaneousBody"/>
      </w:pPr>
    </w:p>
    <w:p>
      <w:pPr>
        <w:pStyle w:val="yMiscellaneousBody"/>
      </w:pPr>
      <w:r>
        <w:t>The total cost of entry for a Slikpik 25 entry spanning 10 weeks of Oz lotto is calculated as follows —</w:t>
      </w:r>
    </w:p>
    <w:p>
      <w:pPr>
        <w:pStyle w:val="yMiscellaneousBody"/>
        <w:tabs>
          <w:tab w:val="left" w:pos="574"/>
          <w:tab w:val="left" w:pos="4800"/>
          <w:tab w:val="left" w:pos="5110"/>
        </w:tabs>
      </w:pPr>
      <w:r>
        <w:tab/>
        <w:t>Subscription for one week</w:t>
      </w:r>
    </w:p>
    <w:p>
      <w:pPr>
        <w:pStyle w:val="yMiscellaneousBody"/>
        <w:tabs>
          <w:tab w:val="left" w:pos="574"/>
          <w:tab w:val="left" w:pos="4800"/>
          <w:tab w:val="right" w:pos="5880"/>
        </w:tabs>
      </w:pPr>
      <w:r>
        <w:tab/>
        <w:t>[25 games @ $1.00 each]</w:t>
      </w:r>
      <w:r>
        <w:tab/>
        <w:t>=</w:t>
      </w:r>
      <w:r>
        <w:tab/>
        <w:t>$25.00</w:t>
      </w:r>
    </w:p>
    <w:p>
      <w:pPr>
        <w:pStyle w:val="yMiscellaneousBody"/>
        <w:tabs>
          <w:tab w:val="left" w:pos="574"/>
          <w:tab w:val="left" w:pos="4800"/>
          <w:tab w:val="right" w:pos="5880"/>
        </w:tabs>
      </w:pPr>
      <w:r>
        <w:tab/>
        <w:t>9% of subscription [.09 x $25.00]</w:t>
      </w:r>
      <w:r>
        <w:tab/>
        <w:t>=</w:t>
      </w:r>
      <w:r>
        <w:tab/>
        <w:t>$2.25</w:t>
      </w:r>
    </w:p>
    <w:p>
      <w:pPr>
        <w:pStyle w:val="yMiscellaneousBody"/>
        <w:tabs>
          <w:tab w:val="left" w:pos="574"/>
          <w:tab w:val="left" w:pos="4800"/>
          <w:tab w:val="right" w:pos="5880"/>
        </w:tabs>
      </w:pPr>
      <w:r>
        <w:tab/>
        <w:t>Rounding not required</w:t>
      </w:r>
    </w:p>
    <w:p>
      <w:pPr>
        <w:pStyle w:val="yMiscellaneousBody"/>
        <w:tabs>
          <w:tab w:val="left" w:pos="574"/>
          <w:tab w:val="left" w:pos="4800"/>
          <w:tab w:val="right" w:pos="5880"/>
        </w:tabs>
      </w:pPr>
      <w:r>
        <w:tab/>
        <w:t>Total cost of entry for one week</w:t>
      </w:r>
      <w:r>
        <w:tab/>
        <w:t>=</w:t>
      </w:r>
      <w:r>
        <w:tab/>
        <w:t>$27.25</w:t>
      </w:r>
    </w:p>
    <w:p>
      <w:pPr>
        <w:pStyle w:val="yMiscellaneousBody"/>
        <w:tabs>
          <w:tab w:val="left" w:pos="574"/>
          <w:tab w:val="left" w:pos="4800"/>
          <w:tab w:val="right" w:pos="5880"/>
        </w:tabs>
        <w:rPr>
          <w:b/>
          <w:bCs/>
        </w:rPr>
      </w:pPr>
      <w:r>
        <w:rPr>
          <w:b/>
          <w:bCs/>
        </w:rPr>
        <w:tab/>
        <w:t>Total cost of entry for 10 weeks</w:t>
      </w:r>
      <w:r>
        <w:rPr>
          <w:b/>
          <w:bCs/>
        </w:rPr>
        <w:tab/>
        <w:t>=</w:t>
      </w:r>
      <w:r>
        <w:rPr>
          <w:b/>
          <w:bCs/>
        </w:rPr>
        <w:tab/>
        <w:t>$272.50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6 Jun 2008 p. 2293-5.]</w:t>
      </w:r>
    </w:p>
    <w:p>
      <w:pPr>
        <w:pStyle w:val="yScheduleHeading"/>
      </w:pPr>
      <w:bookmarkStart w:id="409" w:name="_Toc200445107"/>
      <w:bookmarkStart w:id="410" w:name="_Toc200515800"/>
      <w:bookmarkStart w:id="411" w:name="_Toc221608057"/>
      <w:bookmarkStart w:id="412" w:name="_Toc221610032"/>
      <w:bookmarkStart w:id="413" w:name="_Toc225757999"/>
      <w:bookmarkStart w:id="414" w:name="_Toc227051343"/>
      <w:bookmarkStart w:id="415" w:name="_Toc230162440"/>
      <w:bookmarkStart w:id="416" w:name="_Toc115087837"/>
      <w:bookmarkStart w:id="417" w:name="_Toc115146269"/>
      <w:bookmarkStart w:id="418" w:name="_Toc143931286"/>
      <w:bookmarkStart w:id="419" w:name="_Toc144005733"/>
      <w:bookmarkStart w:id="420" w:name="_Toc148759805"/>
      <w:bookmarkStart w:id="421" w:name="_Toc153172658"/>
      <w:bookmarkStart w:id="422" w:name="_Toc153172839"/>
      <w:bookmarkStart w:id="423" w:name="_Toc170548745"/>
      <w:bookmarkStart w:id="424" w:name="_Toc170620671"/>
      <w:bookmarkEnd w:id="394"/>
      <w:bookmarkEnd w:id="395"/>
      <w:bookmarkEnd w:id="396"/>
      <w:bookmarkEnd w:id="397"/>
      <w:bookmarkEnd w:id="398"/>
      <w:bookmarkEnd w:id="399"/>
      <w:bookmarkEnd w:id="400"/>
      <w:bookmarkEnd w:id="401"/>
      <w:bookmarkEnd w:id="402"/>
      <w:r>
        <w:rPr>
          <w:rStyle w:val="CharSchNo"/>
        </w:rPr>
        <w:t>Schedule 2</w:t>
      </w:r>
      <w:r>
        <w:t> — </w:t>
      </w:r>
      <w:r>
        <w:rPr>
          <w:rStyle w:val="CharSchText"/>
        </w:rPr>
        <w:t>System entries and game equivalents</w:t>
      </w:r>
      <w:bookmarkEnd w:id="409"/>
      <w:bookmarkEnd w:id="410"/>
      <w:bookmarkEnd w:id="411"/>
      <w:bookmarkEnd w:id="412"/>
      <w:bookmarkEnd w:id="413"/>
      <w:bookmarkEnd w:id="414"/>
      <w:bookmarkEnd w:id="415"/>
    </w:p>
    <w:p>
      <w:pPr>
        <w:pStyle w:val="yFootnoteheading"/>
      </w:pPr>
      <w:r>
        <w:tab/>
        <w:t>[Heading inserted in Gazette 6 Jun 2008 p. 2295.]</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jc w:val="center"/>
            </w:pPr>
            <w:r>
              <w:rPr>
                <w:b/>
                <w:bCs/>
              </w:rPr>
              <w:t>Oz Lotto</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20</w:t>
            </w:r>
          </w:p>
        </w:tc>
        <w:tc>
          <w:tcPr>
            <w:tcW w:w="1984" w:type="dxa"/>
            <w:tcBorders>
              <w:top w:val="single" w:sz="4" w:space="0" w:color="auto"/>
              <w:left w:val="single" w:sz="4" w:space="0" w:color="auto"/>
              <w:bottom w:val="single" w:sz="4" w:space="0" w:color="auto"/>
              <w:right w:val="single" w:sz="4" w:space="0" w:color="auto"/>
            </w:tcBorders>
          </w:tcPr>
          <w:p>
            <w:pPr>
              <w:pStyle w:val="yTable"/>
              <w:jc w:val="center"/>
            </w:pPr>
            <w:r>
              <w:rPr>
                <w:spacing w:val="-2"/>
              </w:rPr>
              <w:t>77 520</w:t>
            </w:r>
          </w:p>
        </w:tc>
      </w:tr>
    </w:tbl>
    <w:p>
      <w:pPr>
        <w:pStyle w:val="yFootnotesection"/>
      </w:pPr>
      <w:r>
        <w:tab/>
        <w:t>[Schedule 2 inserted in Gazette 6 Jun 2008 p. 2295-6.]</w:t>
      </w:r>
    </w:p>
    <w:p>
      <w:pPr>
        <w:pStyle w:val="yScheduleHeading"/>
      </w:pPr>
      <w:bookmarkStart w:id="425" w:name="_Toc200445108"/>
      <w:bookmarkStart w:id="426" w:name="_Toc200515801"/>
      <w:bookmarkStart w:id="427" w:name="_Toc221608058"/>
      <w:bookmarkStart w:id="428" w:name="_Toc221610033"/>
      <w:bookmarkStart w:id="429" w:name="_Toc225758000"/>
      <w:bookmarkStart w:id="430" w:name="_Toc227051344"/>
      <w:bookmarkStart w:id="431" w:name="_Toc230162441"/>
      <w:r>
        <w:rPr>
          <w:rStyle w:val="CharSchNo"/>
        </w:rPr>
        <w:t>Schedule 3</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WINNING</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PRIZE TAKE</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432" w:name="_Toc187202423"/>
      <w:bookmarkStart w:id="433" w:name="_Toc187203234"/>
      <w:bookmarkStart w:id="434" w:name="_Toc187208860"/>
      <w:bookmarkStart w:id="435" w:name="_Toc187816456"/>
      <w:bookmarkStart w:id="436" w:name="_Toc187816547"/>
      <w:bookmarkStart w:id="437" w:name="_Toc196013971"/>
      <w:bookmarkStart w:id="438" w:name="_Toc196014033"/>
      <w:bookmarkStart w:id="439" w:name="_Toc196014332"/>
      <w:bookmarkStart w:id="440" w:name="_Toc200445110"/>
      <w:bookmarkStart w:id="441" w:name="_Toc200515802"/>
      <w:bookmarkStart w:id="442" w:name="_Toc221608059"/>
      <w:bookmarkStart w:id="443" w:name="_Toc221610034"/>
      <w:bookmarkStart w:id="444" w:name="_Toc225758001"/>
      <w:bookmarkStart w:id="445" w:name="_Toc227051345"/>
      <w:bookmarkStart w:id="446" w:name="_Toc230162442"/>
      <w:bookmarkStart w:id="447" w:name="_Toc110931836"/>
      <w:bookmarkStart w:id="448" w:name="_Toc110933144"/>
      <w:bookmarkStart w:id="449" w:name="_Toc110933220"/>
      <w:bookmarkStart w:id="450" w:name="_Toc110933303"/>
      <w:bookmarkStart w:id="451" w:name="_Toc113703802"/>
      <w:bookmarkStart w:id="452" w:name="_Toc113767393"/>
      <w:r>
        <w:rPr>
          <w:rStyle w:val="CharSchNo"/>
        </w:rPr>
        <w:t>Schedule 4</w:t>
      </w:r>
      <w:r>
        <w:t> — </w:t>
      </w:r>
      <w:r>
        <w:rPr>
          <w:rStyle w:val="CharSchText"/>
        </w:rPr>
        <w:t>Summary of parameters within which Oz lotto is conducted</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p>
    <w:p>
      <w:pPr>
        <w:pStyle w:val="yFootnoteheading"/>
        <w:spacing w:before="80"/>
      </w:pPr>
      <w:r>
        <w:tab/>
        <w:t>[Heading inserted in Gazette 6 Jun 2008 p. 2296.]</w:t>
      </w:r>
    </w:p>
    <w:p>
      <w:pPr>
        <w:rPr>
          <w:rFonts w:ascii="Times" w:hAnsi="Times"/>
          <w:sz w:val="8"/>
        </w:rPr>
      </w:pPr>
    </w:p>
    <w:tbl>
      <w:tblPr>
        <w:tblW w:w="6946" w:type="dxa"/>
        <w:tblInd w:w="283" w:type="dxa"/>
        <w:tblLayout w:type="fixed"/>
        <w:tblCellMar>
          <w:left w:w="141" w:type="dxa"/>
          <w:right w:w="141" w:type="dxa"/>
        </w:tblCellMar>
        <w:tblLook w:val="0000" w:firstRow="0" w:lastRow="0" w:firstColumn="0" w:lastColumn="0" w:noHBand="0" w:noVBand="0"/>
      </w:tblPr>
      <w:tblGrid>
        <w:gridCol w:w="3969"/>
        <w:gridCol w:w="2977"/>
      </w:tblGrid>
      <w:tr>
        <w:tc>
          <w:tcPr>
            <w:tcW w:w="3969" w:type="dxa"/>
          </w:tcPr>
          <w:p>
            <w:pPr>
              <w:pStyle w:val="yTable"/>
              <w:spacing w:before="0"/>
              <w:rPr>
                <w:spacing w:val="-2"/>
              </w:rPr>
            </w:pPr>
            <w:r>
              <w:rPr>
                <w:spacing w:val="-2"/>
              </w:rPr>
              <w:t>Unit cost</w:t>
            </w:r>
          </w:p>
        </w:tc>
        <w:tc>
          <w:tcPr>
            <w:tcW w:w="2977" w:type="dxa"/>
          </w:tcPr>
          <w:p>
            <w:pPr>
              <w:pStyle w:val="yTable"/>
              <w:spacing w:before="0"/>
              <w:rPr>
                <w:spacing w:val="-2"/>
              </w:rPr>
            </w:pPr>
            <w:r>
              <w:rPr>
                <w:spacing w:val="-2"/>
              </w:rPr>
              <w:t>$1.00</w:t>
            </w:r>
          </w:p>
          <w:p>
            <w:pPr>
              <w:pStyle w:val="yTable"/>
              <w:spacing w:before="0"/>
              <w:rPr>
                <w:spacing w:val="-1"/>
              </w:rPr>
            </w:pPr>
            <w:r>
              <w:rPr>
                <w:spacing w:val="-1"/>
              </w:rPr>
              <w:t>(+ a 9% agent’s component)</w:t>
            </w:r>
          </w:p>
        </w:tc>
      </w:tr>
      <w:tr>
        <w:tc>
          <w:tcPr>
            <w:tcW w:w="3969" w:type="dxa"/>
          </w:tcPr>
          <w:p>
            <w:pPr>
              <w:pStyle w:val="yTable"/>
              <w:spacing w:before="0"/>
              <w:rPr>
                <w:spacing w:val="-2"/>
              </w:rPr>
            </w:pPr>
            <w:r>
              <w:rPr>
                <w:spacing w:val="-2"/>
              </w:rPr>
              <w:t>Prize fund % subscriptions</w:t>
            </w:r>
          </w:p>
        </w:tc>
        <w:tc>
          <w:tcPr>
            <w:tcW w:w="2977" w:type="dxa"/>
          </w:tcPr>
          <w:p>
            <w:pPr>
              <w:pStyle w:val="yTable"/>
              <w:spacing w:before="0"/>
              <w:rPr>
                <w:spacing w:val="-2"/>
              </w:rPr>
            </w:pPr>
            <w:r>
              <w:rPr>
                <w:spacing w:val="-2"/>
              </w:rPr>
              <w:t>60.0%</w:t>
            </w:r>
          </w:p>
        </w:tc>
      </w:tr>
      <w:tr>
        <w:tc>
          <w:tcPr>
            <w:tcW w:w="3969" w:type="dxa"/>
          </w:tcPr>
          <w:p>
            <w:pPr>
              <w:pStyle w:val="yTable"/>
              <w:spacing w:before="0"/>
              <w:rPr>
                <w:spacing w:val="-2"/>
              </w:rPr>
            </w:pPr>
            <w:r>
              <w:t>Prize pool — % of subscriptions</w:t>
            </w:r>
          </w:p>
        </w:tc>
        <w:tc>
          <w:tcPr>
            <w:tcW w:w="2977" w:type="dxa"/>
          </w:tcPr>
          <w:p>
            <w:pPr>
              <w:pStyle w:val="yTable"/>
              <w:spacing w:before="0"/>
              <w:rPr>
                <w:spacing w:val="-2"/>
              </w:rPr>
            </w:pPr>
            <w:r>
              <w:t>no less than 55.0%</w:t>
            </w:r>
          </w:p>
        </w:tc>
      </w:tr>
      <w:tr>
        <w:tc>
          <w:tcPr>
            <w:tcW w:w="3969" w:type="dxa"/>
          </w:tcPr>
          <w:p>
            <w:pPr>
              <w:pStyle w:val="yTable"/>
              <w:spacing w:before="0"/>
            </w:pPr>
            <w:r>
              <w:t>Prize reserve fund — % of subscriptions</w:t>
            </w:r>
          </w:p>
        </w:tc>
        <w:tc>
          <w:tcPr>
            <w:tcW w:w="2977" w:type="dxa"/>
          </w:tcPr>
          <w:p>
            <w:pPr>
              <w:pStyle w:val="yTable"/>
              <w:spacing w:before="0"/>
            </w:pPr>
            <w:r>
              <w:t>balance of prize fund after prize pool (up to 5.0%)</w:t>
            </w:r>
          </w:p>
        </w:tc>
      </w:tr>
      <w:tr>
        <w:tc>
          <w:tcPr>
            <w:tcW w:w="3969" w:type="dxa"/>
          </w:tcPr>
          <w:p>
            <w:pPr>
              <w:pStyle w:val="yTable"/>
              <w:spacing w:before="0"/>
              <w:rPr>
                <w:spacing w:val="-2"/>
              </w:rPr>
            </w:pPr>
            <w:r>
              <w:rPr>
                <w:spacing w:val="-2"/>
              </w:rPr>
              <w:t>Number of divisions</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Winning numbers drawn</w:t>
            </w:r>
          </w:p>
        </w:tc>
        <w:tc>
          <w:tcPr>
            <w:tcW w:w="2977" w:type="dxa"/>
          </w:tcPr>
          <w:p>
            <w:pPr>
              <w:pStyle w:val="yTable"/>
              <w:spacing w:before="0"/>
              <w:rPr>
                <w:spacing w:val="-2"/>
              </w:rPr>
            </w:pPr>
            <w:r>
              <w:rPr>
                <w:spacing w:val="-2"/>
              </w:rPr>
              <w:t>7</w:t>
            </w:r>
          </w:p>
        </w:tc>
      </w:tr>
      <w:tr>
        <w:tc>
          <w:tcPr>
            <w:tcW w:w="3969" w:type="dxa"/>
          </w:tcPr>
          <w:p>
            <w:pPr>
              <w:pStyle w:val="yTable"/>
              <w:spacing w:before="0"/>
              <w:rPr>
                <w:spacing w:val="-2"/>
              </w:rPr>
            </w:pPr>
            <w:r>
              <w:rPr>
                <w:spacing w:val="-2"/>
              </w:rPr>
              <w:t>Supplementary numbers drawn</w:t>
            </w:r>
          </w:p>
        </w:tc>
        <w:tc>
          <w:tcPr>
            <w:tcW w:w="2977" w:type="dxa"/>
          </w:tcPr>
          <w:p>
            <w:pPr>
              <w:pStyle w:val="yTable"/>
              <w:spacing w:before="0"/>
              <w:rPr>
                <w:spacing w:val="-2"/>
              </w:rPr>
            </w:pPr>
            <w:r>
              <w:rPr>
                <w:spacing w:val="-2"/>
              </w:rPr>
              <w:t>2</w:t>
            </w:r>
          </w:p>
        </w:tc>
      </w:tr>
      <w:tr>
        <w:tc>
          <w:tcPr>
            <w:tcW w:w="3969" w:type="dxa"/>
          </w:tcPr>
          <w:p>
            <w:pPr>
              <w:pStyle w:val="yTable"/>
              <w:spacing w:before="0"/>
              <w:rPr>
                <w:spacing w:val="-2"/>
              </w:rPr>
            </w:pPr>
            <w:r>
              <w:rPr>
                <w:spacing w:val="-2"/>
              </w:rPr>
              <w:t xml:space="preserve">Odds of winning — </w:t>
            </w:r>
          </w:p>
        </w:tc>
        <w:tc>
          <w:tcPr>
            <w:tcW w:w="2977" w:type="dxa"/>
          </w:tcPr>
          <w:p>
            <w:pPr>
              <w:pStyle w:val="yTable"/>
              <w:spacing w:before="0"/>
              <w:rPr>
                <w:spacing w:val="-2"/>
              </w:rPr>
            </w:pPr>
          </w:p>
        </w:tc>
      </w:tr>
      <w:tr>
        <w:tc>
          <w:tcPr>
            <w:tcW w:w="3969" w:type="dxa"/>
          </w:tcPr>
          <w:p>
            <w:pPr>
              <w:pStyle w:val="yTable"/>
              <w:spacing w:before="0"/>
              <w:rPr>
                <w:spacing w:val="-2"/>
              </w:rPr>
            </w:pPr>
            <w:r>
              <w:rPr>
                <w:spacing w:val="-2"/>
              </w:rPr>
              <w:t>division 1</w:t>
            </w:r>
          </w:p>
        </w:tc>
        <w:tc>
          <w:tcPr>
            <w:tcW w:w="2977" w:type="dxa"/>
          </w:tcPr>
          <w:p>
            <w:pPr>
              <w:pStyle w:val="yTable"/>
              <w:spacing w:before="0"/>
              <w:rPr>
                <w:spacing w:val="-2"/>
              </w:rPr>
            </w:pPr>
            <w:r>
              <w:rPr>
                <w:spacing w:val="-2"/>
              </w:rPr>
              <w:t>1 in 45 379 620</w:t>
            </w:r>
          </w:p>
        </w:tc>
      </w:tr>
      <w:tr>
        <w:tc>
          <w:tcPr>
            <w:tcW w:w="3969" w:type="dxa"/>
          </w:tcPr>
          <w:p>
            <w:pPr>
              <w:pStyle w:val="yTable"/>
              <w:spacing w:before="0"/>
              <w:rPr>
                <w:spacing w:val="-2"/>
              </w:rPr>
            </w:pPr>
            <w:r>
              <w:rPr>
                <w:spacing w:val="-2"/>
              </w:rPr>
              <w:t>division 2</w:t>
            </w:r>
          </w:p>
        </w:tc>
        <w:tc>
          <w:tcPr>
            <w:tcW w:w="2977" w:type="dxa"/>
          </w:tcPr>
          <w:p>
            <w:pPr>
              <w:pStyle w:val="yTable"/>
              <w:spacing w:before="0"/>
              <w:rPr>
                <w:spacing w:val="-2"/>
              </w:rPr>
            </w:pPr>
            <w:r>
              <w:rPr>
                <w:spacing w:val="-2"/>
              </w:rPr>
              <w:t>1 in 3 241 401</w:t>
            </w:r>
          </w:p>
        </w:tc>
      </w:tr>
      <w:tr>
        <w:tc>
          <w:tcPr>
            <w:tcW w:w="3969" w:type="dxa"/>
          </w:tcPr>
          <w:p>
            <w:pPr>
              <w:pStyle w:val="yTable"/>
              <w:spacing w:before="0"/>
              <w:rPr>
                <w:spacing w:val="-2"/>
              </w:rPr>
            </w:pPr>
            <w:r>
              <w:rPr>
                <w:spacing w:val="-2"/>
              </w:rPr>
              <w:t>division 3</w:t>
            </w:r>
          </w:p>
        </w:tc>
        <w:tc>
          <w:tcPr>
            <w:tcW w:w="2977" w:type="dxa"/>
          </w:tcPr>
          <w:p>
            <w:pPr>
              <w:pStyle w:val="yTable"/>
              <w:spacing w:before="0"/>
              <w:rPr>
                <w:spacing w:val="-2"/>
              </w:rPr>
            </w:pPr>
            <w:r>
              <w:rPr>
                <w:spacing w:val="-2"/>
              </w:rPr>
              <w:t>1 in 180 078</w:t>
            </w:r>
          </w:p>
        </w:tc>
      </w:tr>
      <w:tr>
        <w:tc>
          <w:tcPr>
            <w:tcW w:w="3969" w:type="dxa"/>
          </w:tcPr>
          <w:p>
            <w:pPr>
              <w:pStyle w:val="yTable"/>
              <w:spacing w:before="0"/>
              <w:rPr>
                <w:spacing w:val="-2"/>
              </w:rPr>
            </w:pPr>
            <w:r>
              <w:rPr>
                <w:spacing w:val="-2"/>
              </w:rPr>
              <w:t>division 4</w:t>
            </w:r>
          </w:p>
        </w:tc>
        <w:tc>
          <w:tcPr>
            <w:tcW w:w="2977" w:type="dxa"/>
          </w:tcPr>
          <w:p>
            <w:pPr>
              <w:pStyle w:val="yTable"/>
              <w:spacing w:before="0"/>
              <w:rPr>
                <w:spacing w:val="-2"/>
              </w:rPr>
            </w:pPr>
            <w:r>
              <w:rPr>
                <w:spacing w:val="-2"/>
              </w:rPr>
              <w:t>1 in 29 602</w:t>
            </w:r>
          </w:p>
        </w:tc>
      </w:tr>
      <w:tr>
        <w:tc>
          <w:tcPr>
            <w:tcW w:w="3969" w:type="dxa"/>
          </w:tcPr>
          <w:p>
            <w:pPr>
              <w:pStyle w:val="yTable"/>
              <w:spacing w:before="0"/>
              <w:rPr>
                <w:spacing w:val="-2"/>
              </w:rPr>
            </w:pPr>
            <w:r>
              <w:rPr>
                <w:spacing w:val="-2"/>
              </w:rPr>
              <w:t>division 5</w:t>
            </w:r>
          </w:p>
        </w:tc>
        <w:tc>
          <w:tcPr>
            <w:tcW w:w="2977" w:type="dxa"/>
          </w:tcPr>
          <w:p>
            <w:pPr>
              <w:pStyle w:val="yTable"/>
              <w:spacing w:before="0"/>
              <w:rPr>
                <w:spacing w:val="-2"/>
              </w:rPr>
            </w:pPr>
            <w:r>
              <w:rPr>
                <w:spacing w:val="-2"/>
              </w:rPr>
              <w:t>1 in 3 430</w:t>
            </w:r>
          </w:p>
        </w:tc>
      </w:tr>
      <w:tr>
        <w:tc>
          <w:tcPr>
            <w:tcW w:w="3969" w:type="dxa"/>
          </w:tcPr>
          <w:p>
            <w:pPr>
              <w:pStyle w:val="yTable"/>
              <w:spacing w:before="0"/>
              <w:rPr>
                <w:spacing w:val="-2"/>
              </w:rPr>
            </w:pPr>
            <w:r>
              <w:rPr>
                <w:spacing w:val="-2"/>
              </w:rPr>
              <w:t>division 6</w:t>
            </w:r>
          </w:p>
        </w:tc>
        <w:tc>
          <w:tcPr>
            <w:tcW w:w="2977" w:type="dxa"/>
          </w:tcPr>
          <w:p>
            <w:pPr>
              <w:pStyle w:val="yTable"/>
              <w:spacing w:before="0"/>
              <w:rPr>
                <w:spacing w:val="-2"/>
              </w:rPr>
            </w:pPr>
            <w:r>
              <w:rPr>
                <w:spacing w:val="-2"/>
              </w:rPr>
              <w:t>1 in 154</w:t>
            </w:r>
          </w:p>
        </w:tc>
      </w:tr>
      <w:tr>
        <w:tc>
          <w:tcPr>
            <w:tcW w:w="3969" w:type="dxa"/>
          </w:tcPr>
          <w:p>
            <w:pPr>
              <w:pStyle w:val="yTable"/>
              <w:spacing w:before="0"/>
              <w:rPr>
                <w:spacing w:val="-2"/>
              </w:rPr>
            </w:pPr>
            <w:r>
              <w:rPr>
                <w:spacing w:val="-2"/>
              </w:rPr>
              <w:t>division 7</w:t>
            </w:r>
          </w:p>
        </w:tc>
        <w:tc>
          <w:tcPr>
            <w:tcW w:w="2977" w:type="dxa"/>
          </w:tcPr>
          <w:p>
            <w:pPr>
              <w:pStyle w:val="yTable"/>
              <w:spacing w:before="0"/>
              <w:rPr>
                <w:spacing w:val="-2"/>
              </w:rPr>
            </w:pPr>
            <w:r>
              <w:rPr>
                <w:spacing w:val="-2"/>
              </w:rPr>
              <w:t>1 in 87</w:t>
            </w:r>
          </w:p>
        </w:tc>
      </w:tr>
      <w:tr>
        <w:tc>
          <w:tcPr>
            <w:tcW w:w="3969" w:type="dxa"/>
          </w:tcPr>
          <w:p>
            <w:pPr>
              <w:pStyle w:val="yTable"/>
              <w:spacing w:before="0"/>
              <w:rPr>
                <w:spacing w:val="-2"/>
              </w:rPr>
            </w:pPr>
            <w:r>
              <w:rPr>
                <w:spacing w:val="-2"/>
              </w:rPr>
              <w:t>Any prize</w:t>
            </w:r>
          </w:p>
        </w:tc>
        <w:tc>
          <w:tcPr>
            <w:tcW w:w="2977" w:type="dxa"/>
          </w:tcPr>
          <w:p>
            <w:pPr>
              <w:pStyle w:val="yTable"/>
              <w:spacing w:before="0"/>
              <w:rPr>
                <w:spacing w:val="-2"/>
              </w:rPr>
            </w:pPr>
            <w:r>
              <w:rPr>
                <w:spacing w:val="-2"/>
              </w:rPr>
              <w:t>1 in 55</w:t>
            </w:r>
          </w:p>
        </w:tc>
      </w:tr>
      <w:tr>
        <w:tc>
          <w:tcPr>
            <w:tcW w:w="3969" w:type="dxa"/>
          </w:tcPr>
          <w:p>
            <w:pPr>
              <w:pStyle w:val="yTable"/>
              <w:spacing w:before="0"/>
              <w:rPr>
                <w:spacing w:val="-2"/>
              </w:rPr>
            </w:pPr>
            <w:r>
              <w:rPr>
                <w:spacing w:val="-2"/>
              </w:rPr>
              <w:t>Forecast range</w:t>
            </w:r>
          </w:p>
        </w:tc>
        <w:tc>
          <w:tcPr>
            <w:tcW w:w="2977" w:type="dxa"/>
          </w:tcPr>
          <w:p>
            <w:pPr>
              <w:pStyle w:val="yTable"/>
              <w:spacing w:before="0"/>
              <w:rPr>
                <w:spacing w:val="-2"/>
              </w:rPr>
            </w:pPr>
            <w:r>
              <w:rPr>
                <w:spacing w:val="-2"/>
              </w:rPr>
              <w:t>1 to 45 inclusive</w:t>
            </w:r>
          </w:p>
        </w:tc>
      </w:tr>
      <w:tr>
        <w:tc>
          <w:tcPr>
            <w:tcW w:w="3969" w:type="dxa"/>
          </w:tcPr>
          <w:p>
            <w:pPr>
              <w:pStyle w:val="yTable"/>
              <w:spacing w:before="0"/>
              <w:rPr>
                <w:spacing w:val="-2"/>
              </w:rPr>
            </w:pPr>
            <w:r>
              <w:rPr>
                <w:spacing w:val="-2"/>
              </w:rPr>
              <w:t>Systems range</w:t>
            </w:r>
          </w:p>
        </w:tc>
        <w:tc>
          <w:tcPr>
            <w:tcW w:w="2977" w:type="dxa"/>
          </w:tcPr>
          <w:p>
            <w:pPr>
              <w:pStyle w:val="yTable"/>
              <w:spacing w:before="0"/>
              <w:rPr>
                <w:spacing w:val="-2"/>
              </w:rPr>
            </w:pPr>
            <w:r>
              <w:rPr>
                <w:spacing w:val="-2"/>
              </w:rPr>
              <w:t>4</w:t>
            </w:r>
            <w:r>
              <w:rPr>
                <w:spacing w:val="-2"/>
              </w:rPr>
              <w:noBreakHyphen/>
              <w:t>6/8</w:t>
            </w:r>
            <w:r>
              <w:rPr>
                <w:spacing w:val="-2"/>
              </w:rPr>
              <w:noBreakHyphen/>
              <w:t>20 inclusive</w:t>
            </w:r>
          </w:p>
        </w:tc>
      </w:tr>
      <w:tr>
        <w:tc>
          <w:tcPr>
            <w:tcW w:w="3969" w:type="dxa"/>
          </w:tcPr>
          <w:p>
            <w:pPr>
              <w:pStyle w:val="yTable"/>
              <w:spacing w:before="0"/>
              <w:rPr>
                <w:spacing w:val="-2"/>
              </w:rPr>
            </w:pPr>
            <w:r>
              <w:rPr>
                <w:spacing w:val="-2"/>
              </w:rPr>
              <w:t>Multiweek options (</w:t>
            </w:r>
            <w:r>
              <w:rPr>
                <w:i/>
                <w:spacing w:val="-2"/>
              </w:rPr>
              <w:t>if available</w:t>
            </w:r>
            <w:r>
              <w:rPr>
                <w:spacing w:val="-2"/>
              </w:rPr>
              <w:t>)</w:t>
            </w:r>
          </w:p>
        </w:tc>
        <w:tc>
          <w:tcPr>
            <w:tcW w:w="2977" w:type="dxa"/>
          </w:tcPr>
          <w:p>
            <w:pPr>
              <w:pStyle w:val="yTable"/>
              <w:spacing w:before="0"/>
              <w:rPr>
                <w:spacing w:val="-2"/>
              </w:rPr>
            </w:pPr>
            <w:r>
              <w:rPr>
                <w:spacing w:val="-2"/>
              </w:rPr>
              <w:t>2, 5 or 10 weeks</w:t>
            </w:r>
          </w:p>
        </w:tc>
      </w:tr>
      <w:tr>
        <w:tc>
          <w:tcPr>
            <w:tcW w:w="3969" w:type="dxa"/>
          </w:tcPr>
          <w:p>
            <w:pPr>
              <w:pStyle w:val="yTable"/>
              <w:spacing w:before="0"/>
              <w:rPr>
                <w:spacing w:val="-2"/>
              </w:rPr>
            </w:pPr>
            <w:r>
              <w:rPr>
                <w:spacing w:val="-2"/>
              </w:rPr>
              <w:t>Advance sales (maximum) (</w:t>
            </w:r>
            <w:r>
              <w:rPr>
                <w:i/>
                <w:spacing w:val="-2"/>
              </w:rPr>
              <w:t>if available</w:t>
            </w:r>
            <w:r>
              <w:rPr>
                <w:spacing w:val="-2"/>
              </w:rPr>
              <w:t>)</w:t>
            </w:r>
          </w:p>
        </w:tc>
        <w:tc>
          <w:tcPr>
            <w:tcW w:w="2977" w:type="dxa"/>
          </w:tcPr>
          <w:p>
            <w:pPr>
              <w:pStyle w:val="yTable"/>
              <w:spacing w:before="0"/>
              <w:rPr>
                <w:spacing w:val="-2"/>
              </w:rPr>
            </w:pPr>
            <w:r>
              <w:rPr>
                <w:spacing w:val="-2"/>
              </w:rPr>
              <w:t>10 weeks</w:t>
            </w:r>
          </w:p>
        </w:tc>
      </w:tr>
      <w:tr>
        <w:tc>
          <w:tcPr>
            <w:tcW w:w="3969" w:type="dxa"/>
          </w:tcPr>
          <w:p>
            <w:pPr>
              <w:pStyle w:val="yTable"/>
              <w:spacing w:before="0"/>
              <w:rPr>
                <w:spacing w:val="-2"/>
              </w:rPr>
            </w:pPr>
            <w:r>
              <w:rPr>
                <w:spacing w:val="-2"/>
              </w:rPr>
              <w:t>Entries per playslip (minimum)</w:t>
            </w:r>
          </w:p>
        </w:tc>
        <w:tc>
          <w:tcPr>
            <w:tcW w:w="2977" w:type="dxa"/>
          </w:tcPr>
          <w:p>
            <w:pPr>
              <w:pStyle w:val="yTable"/>
              <w:spacing w:before="0"/>
              <w:rPr>
                <w:spacing w:val="-2"/>
              </w:rPr>
            </w:pPr>
            <w:r>
              <w:rPr>
                <w:spacing w:val="-2"/>
              </w:rPr>
              <w:t>1</w:t>
            </w:r>
          </w:p>
        </w:tc>
      </w:tr>
      <w:tr>
        <w:tc>
          <w:tcPr>
            <w:tcW w:w="3969" w:type="dxa"/>
          </w:tcPr>
          <w:p>
            <w:pPr>
              <w:pStyle w:val="yTable"/>
              <w:keepNext/>
              <w:keepLines/>
              <w:spacing w:before="0"/>
              <w:rPr>
                <w:spacing w:val="-2"/>
              </w:rPr>
            </w:pPr>
            <w:r>
              <w:t xml:space="preserve">Entries per </w:t>
            </w:r>
            <w:r>
              <w:rPr>
                <w:spacing w:val="-2"/>
              </w:rPr>
              <w:t>playslip</w:t>
            </w:r>
            <w:r>
              <w:t xml:space="preserve"> (maximum)</w:t>
            </w:r>
          </w:p>
        </w:tc>
        <w:tc>
          <w:tcPr>
            <w:tcW w:w="2977" w:type="dxa"/>
          </w:tcPr>
          <w:p>
            <w:pPr>
              <w:pStyle w:val="yTable"/>
              <w:spacing w:before="0"/>
            </w:pPr>
            <w:r>
              <w:t>18</w:t>
            </w:r>
          </w:p>
          <w:p>
            <w:pPr>
              <w:pStyle w:val="yTable"/>
              <w:spacing w:before="0"/>
              <w:rPr>
                <w:spacing w:val="-2"/>
              </w:rPr>
            </w:pPr>
            <w:r>
              <w:t>(</w:t>
            </w:r>
            <w:r>
              <w:rPr>
                <w:i/>
              </w:rPr>
              <w:t>subject to maximum aggregate entry cost</w:t>
            </w:r>
            <w:r>
              <w:t>)</w:t>
            </w:r>
          </w:p>
        </w:tc>
      </w:tr>
      <w:tr>
        <w:tc>
          <w:tcPr>
            <w:tcW w:w="3969" w:type="dxa"/>
          </w:tcPr>
          <w:p>
            <w:pPr>
              <w:pStyle w:val="yTable"/>
              <w:spacing w:before="0"/>
              <w:rPr>
                <w:spacing w:val="-2"/>
              </w:rPr>
            </w:pPr>
            <w:r>
              <w:rPr>
                <w:spacing w:val="-2"/>
              </w:rPr>
              <w:t>Games per oral request (default)</w:t>
            </w:r>
          </w:p>
        </w:tc>
        <w:tc>
          <w:tcPr>
            <w:tcW w:w="2977" w:type="dxa"/>
          </w:tcPr>
          <w:p>
            <w:pPr>
              <w:pStyle w:val="yTable"/>
              <w:spacing w:before="0"/>
              <w:rPr>
                <w:spacing w:val="-2"/>
              </w:rPr>
            </w:pPr>
            <w:r>
              <w:rPr>
                <w:spacing w:val="-2"/>
              </w:rPr>
              <w:t>6, 12, 18, 25, 30 or 50</w:t>
            </w:r>
          </w:p>
        </w:tc>
      </w:tr>
      <w:tr>
        <w:tc>
          <w:tcPr>
            <w:tcW w:w="3969" w:type="dxa"/>
          </w:tcPr>
          <w:p>
            <w:pPr>
              <w:pStyle w:val="yTable"/>
              <w:spacing w:before="0" w:line="220" w:lineRule="exact"/>
            </w:pPr>
            <w:r>
              <w:t>Games per oral request (</w:t>
            </w:r>
            <w:r>
              <w:rPr>
                <w:i/>
                <w:iCs/>
              </w:rPr>
              <w:t>if available</w:t>
            </w:r>
            <w:r>
              <w:t>)</w:t>
            </w:r>
          </w:p>
        </w:tc>
        <w:tc>
          <w:tcPr>
            <w:tcW w:w="2977" w:type="dxa"/>
          </w:tcPr>
          <w:p>
            <w:pPr>
              <w:pStyle w:val="yTable"/>
              <w:spacing w:before="0" w:line="220" w:lineRule="exact"/>
            </w:pPr>
            <w:r>
              <w:t>1 to 50</w:t>
            </w:r>
          </w:p>
        </w:tc>
      </w:tr>
      <w:tr>
        <w:tc>
          <w:tcPr>
            <w:tcW w:w="3969" w:type="dxa"/>
          </w:tcPr>
          <w:p>
            <w:pPr>
              <w:pStyle w:val="yTable"/>
              <w:spacing w:before="0" w:line="220" w:lineRule="exact"/>
            </w:pPr>
            <w:r>
              <w:t>Syndicate entries may be purchased (</w:t>
            </w:r>
            <w:r>
              <w:rPr>
                <w:i/>
                <w:iCs/>
              </w:rPr>
              <w:t>if available</w:t>
            </w:r>
            <w:r>
              <w:t>)</w:t>
            </w:r>
          </w:p>
        </w:tc>
        <w:tc>
          <w:tcPr>
            <w:tcW w:w="2977" w:type="dxa"/>
          </w:tcPr>
          <w:p>
            <w:pPr>
              <w:pStyle w:val="yTable"/>
              <w:spacing w:before="0" w:line="220" w:lineRule="exact"/>
            </w:pPr>
            <w:r>
              <w:t>(see Part 2A)</w:t>
            </w:r>
          </w:p>
        </w:tc>
      </w:tr>
      <w:tr>
        <w:tc>
          <w:tcPr>
            <w:tcW w:w="3969" w:type="dxa"/>
          </w:tcPr>
          <w:p>
            <w:pPr>
              <w:pStyle w:val="yTable"/>
              <w:spacing w:before="0"/>
              <w:rPr>
                <w:spacing w:val="-2"/>
              </w:rPr>
            </w:pPr>
            <w:r>
              <w:rPr>
                <w:spacing w:val="-2"/>
              </w:rPr>
              <w:t>Systems entries per oral request</w:t>
            </w:r>
          </w:p>
        </w:tc>
        <w:tc>
          <w:tcPr>
            <w:tcW w:w="2977" w:type="dxa"/>
          </w:tcPr>
          <w:p>
            <w:pPr>
              <w:pStyle w:val="yTable"/>
              <w:spacing w:before="0"/>
              <w:rPr>
                <w:spacing w:val="-2"/>
              </w:rPr>
            </w:pPr>
            <w:r>
              <w:rPr>
                <w:spacing w:val="-2"/>
              </w:rPr>
              <w:t>1</w:t>
            </w:r>
          </w:p>
        </w:tc>
      </w:tr>
      <w:tr>
        <w:tc>
          <w:tcPr>
            <w:tcW w:w="3969" w:type="dxa"/>
          </w:tcPr>
          <w:p>
            <w:pPr>
              <w:pStyle w:val="yTable"/>
              <w:spacing w:before="0"/>
              <w:rPr>
                <w:spacing w:val="-2"/>
              </w:rPr>
            </w:pPr>
            <w:r>
              <w:rPr>
                <w:spacing w:val="-2"/>
              </w:rPr>
              <w:t>Prize payment period</w:t>
            </w:r>
          </w:p>
        </w:tc>
        <w:tc>
          <w:tcPr>
            <w:tcW w:w="2977" w:type="dxa"/>
          </w:tcPr>
          <w:p>
            <w:pPr>
              <w:pStyle w:val="yTable"/>
              <w:spacing w:before="0"/>
              <w:rPr>
                <w:spacing w:val="-2"/>
              </w:rPr>
            </w:pPr>
            <w:r>
              <w:rPr>
                <w:spacing w:val="-2"/>
              </w:rPr>
              <w:t>12 months</w:t>
            </w:r>
          </w:p>
        </w:tc>
      </w:tr>
      <w:tr>
        <w:tc>
          <w:tcPr>
            <w:tcW w:w="3969" w:type="dxa"/>
          </w:tcPr>
          <w:p>
            <w:pPr>
              <w:pStyle w:val="yTable"/>
              <w:spacing w:before="0"/>
              <w:rPr>
                <w:spacing w:val="-2"/>
              </w:rPr>
            </w:pPr>
            <w:r>
              <w:t>Maximum aggregate entry cost</w:t>
            </w:r>
          </w:p>
        </w:tc>
        <w:tc>
          <w:tcPr>
            <w:tcW w:w="2977" w:type="dxa"/>
          </w:tcPr>
          <w:p>
            <w:pPr>
              <w:pStyle w:val="yTable"/>
              <w:spacing w:before="0"/>
              <w:rPr>
                <w:spacing w:val="-2"/>
              </w:rPr>
            </w:pPr>
            <w:r>
              <w:t>$100 000</w:t>
            </w:r>
          </w:p>
        </w:tc>
      </w:tr>
    </w:tbl>
    <w:p>
      <w:pPr>
        <w:pStyle w:val="yFootnotesection"/>
      </w:pPr>
      <w:r>
        <w:tab/>
        <w:t>[Schedule 4 inserted in Gazette 6 Jun 2008 p. 2296-7.]</w:t>
      </w:r>
    </w:p>
    <w:p>
      <w:pPr>
        <w:pStyle w:val="CentredBaseLine"/>
        <w:jc w:val="center"/>
        <w:rPr>
          <w:del w:id="453" w:author="Master Repository Process" w:date="2021-08-29T02:41:00Z"/>
        </w:rPr>
      </w:pPr>
      <w:del w:id="454" w:author="Master Repository Process" w:date="2021-08-29T02:4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455" w:author="Master Repository Process" w:date="2021-08-29T02:41:00Z"/>
        </w:rPr>
      </w:pPr>
      <w:ins w:id="456" w:author="Master Repository Process" w:date="2021-08-29T02:4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457" w:name="_Toc115087839"/>
      <w:bookmarkStart w:id="458" w:name="_Toc115146271"/>
      <w:bookmarkStart w:id="459" w:name="_Toc143931288"/>
      <w:bookmarkStart w:id="460" w:name="_Toc144005735"/>
      <w:bookmarkStart w:id="461" w:name="_Toc148759807"/>
      <w:bookmarkStart w:id="462" w:name="_Toc153172660"/>
      <w:bookmarkStart w:id="463" w:name="_Toc153172841"/>
      <w:bookmarkStart w:id="464" w:name="_Toc170548747"/>
      <w:bookmarkStart w:id="465" w:name="_Toc170620673"/>
      <w:bookmarkStart w:id="466" w:name="_Toc200445111"/>
      <w:bookmarkStart w:id="467" w:name="_Toc200515803"/>
      <w:bookmarkStart w:id="468" w:name="_Toc221608060"/>
      <w:bookmarkStart w:id="469" w:name="_Toc221610035"/>
      <w:bookmarkStart w:id="470" w:name="_Toc225758002"/>
      <w:bookmarkStart w:id="471" w:name="_Toc227051346"/>
      <w:bookmarkStart w:id="472" w:name="_Toc230162443"/>
      <w:r>
        <w:t>Notes</w:t>
      </w:r>
      <w:bookmarkEnd w:id="447"/>
      <w:bookmarkEnd w:id="448"/>
      <w:bookmarkEnd w:id="449"/>
      <w:bookmarkEnd w:id="450"/>
      <w:bookmarkEnd w:id="451"/>
      <w:bookmarkEnd w:id="452"/>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nSubsection"/>
        <w:rPr>
          <w:snapToGrid w:val="0"/>
        </w:rPr>
      </w:pPr>
      <w:r>
        <w:rPr>
          <w:snapToGrid w:val="0"/>
          <w:vertAlign w:val="superscript"/>
        </w:rPr>
        <w:t>1</w:t>
      </w:r>
      <w:r>
        <w:rPr>
          <w:snapToGrid w:val="0"/>
        </w:rPr>
        <w:tab/>
        <w:t xml:space="preserve">This </w:t>
      </w:r>
      <w:del w:id="473" w:author="Master Repository Process" w:date="2021-08-29T02:41:00Z">
        <w:r>
          <w:rPr>
            <w:snapToGrid w:val="0"/>
          </w:rPr>
          <w:delText xml:space="preserve">reprint </w:delText>
        </w:r>
      </w:del>
      <w:r>
        <w:rPr>
          <w:snapToGrid w:val="0"/>
        </w:rPr>
        <w:t>is a compilation</w:t>
      </w:r>
      <w:del w:id="474" w:author="Master Repository Process" w:date="2021-08-29T02:41:00Z">
        <w:r>
          <w:rPr>
            <w:snapToGrid w:val="0"/>
          </w:rPr>
          <w:delText xml:space="preserve"> as at 3 April 2009</w:delText>
        </w:r>
      </w:del>
      <w:r>
        <w:rPr>
          <w:snapToGrid w:val="0"/>
        </w:rPr>
        <w:t xml:space="preserve">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75" w:name="_Toc230162444"/>
      <w:bookmarkStart w:id="476" w:name="_Toc227051347"/>
      <w:r>
        <w:rPr>
          <w:snapToGrid w:val="0"/>
        </w:rPr>
        <w:t>Compilation table</w:t>
      </w:r>
      <w:bookmarkEnd w:id="475"/>
      <w:bookmarkEnd w:id="47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27</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2007</w:t>
            </w:r>
          </w:p>
        </w:tc>
        <w:tc>
          <w:tcPr>
            <w:tcW w:w="1276" w:type="dxa"/>
          </w:tcPr>
          <w:p>
            <w:pPr>
              <w:pStyle w:val="nTable"/>
              <w:spacing w:after="40"/>
              <w:rPr>
                <w:sz w:val="19"/>
              </w:rPr>
            </w:pPr>
            <w:r>
              <w:rPr>
                <w:sz w:val="19"/>
              </w:rPr>
              <w:t>26 Jun 2007 p. 3054</w:t>
            </w:r>
            <w:r>
              <w:rPr>
                <w:sz w:val="19"/>
              </w:rPr>
              <w:noBreakHyphen/>
              <w:t>5</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(Oz Lotto) Amendment Rules 2008</w:t>
            </w:r>
          </w:p>
        </w:tc>
        <w:tc>
          <w:tcPr>
            <w:tcW w:w="1276" w:type="dxa"/>
          </w:tcPr>
          <w:p>
            <w:pPr>
              <w:pStyle w:val="nTable"/>
              <w:spacing w:after="40"/>
              <w:rPr>
                <w:sz w:val="19"/>
              </w:rPr>
            </w:pPr>
            <w:r>
              <w:rPr>
                <w:sz w:val="19"/>
              </w:rPr>
              <w:t>6 Jun 2008 p. 2275-97</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(Oz Lotto) Rules 1995</w:t>
            </w:r>
            <w:r>
              <w:rPr>
                <w:b/>
                <w:sz w:val="19"/>
              </w:rPr>
              <w:t xml:space="preserve"> as at 3 Apr 2009</w:t>
            </w:r>
            <w:r>
              <w:rPr>
                <w:b/>
                <w:sz w:val="19"/>
              </w:rPr>
              <w:br/>
            </w:r>
            <w:r>
              <w:rPr>
                <w:sz w:val="19"/>
              </w:rPr>
              <w:t>(includes amendments listed above)</w:t>
            </w:r>
          </w:p>
        </w:tc>
      </w:tr>
      <w:tr>
        <w:trPr>
          <w:ins w:id="477" w:author="Master Repository Process" w:date="2021-08-29T02:41:00Z"/>
        </w:trPr>
        <w:tc>
          <w:tcPr>
            <w:tcW w:w="3118" w:type="dxa"/>
            <w:tcBorders>
              <w:bottom w:val="single" w:sz="4" w:space="0" w:color="auto"/>
            </w:tcBorders>
          </w:tcPr>
          <w:p>
            <w:pPr>
              <w:pStyle w:val="nTable"/>
              <w:spacing w:after="40"/>
              <w:rPr>
                <w:ins w:id="478" w:author="Master Repository Process" w:date="2021-08-29T02:41:00Z"/>
                <w:iCs/>
                <w:noProof/>
                <w:snapToGrid w:val="0"/>
                <w:sz w:val="19"/>
              </w:rPr>
            </w:pPr>
            <w:ins w:id="479" w:author="Master Repository Process" w:date="2021-08-29T02:41:00Z">
              <w:r>
                <w:rPr>
                  <w:i/>
                  <w:noProof/>
                  <w:snapToGrid w:val="0"/>
                  <w:sz w:val="19"/>
                </w:rPr>
                <w:t>Lotteries Commission Amendment Rules 2009</w:t>
              </w:r>
              <w:r>
                <w:rPr>
                  <w:iCs/>
                  <w:noProof/>
                  <w:snapToGrid w:val="0"/>
                  <w:sz w:val="19"/>
                </w:rPr>
                <w:t xml:space="preserve"> Pt. 3</w:t>
              </w:r>
            </w:ins>
          </w:p>
        </w:tc>
        <w:tc>
          <w:tcPr>
            <w:tcW w:w="1276" w:type="dxa"/>
            <w:tcBorders>
              <w:bottom w:val="single" w:sz="4" w:space="0" w:color="auto"/>
            </w:tcBorders>
          </w:tcPr>
          <w:p>
            <w:pPr>
              <w:pStyle w:val="nTable"/>
              <w:spacing w:after="40"/>
              <w:rPr>
                <w:ins w:id="480" w:author="Master Repository Process" w:date="2021-08-29T02:41:00Z"/>
                <w:sz w:val="19"/>
              </w:rPr>
            </w:pPr>
            <w:ins w:id="481" w:author="Master Repository Process" w:date="2021-08-29T02:41:00Z">
              <w:r>
                <w:rPr>
                  <w:sz w:val="19"/>
                </w:rPr>
                <w:t>15 May 2009 p. 1632-5</w:t>
              </w:r>
            </w:ins>
          </w:p>
        </w:tc>
        <w:tc>
          <w:tcPr>
            <w:tcW w:w="2693" w:type="dxa"/>
            <w:tcBorders>
              <w:bottom w:val="single" w:sz="4" w:space="0" w:color="auto"/>
            </w:tcBorders>
          </w:tcPr>
          <w:p>
            <w:pPr>
              <w:pStyle w:val="nTable"/>
              <w:spacing w:after="40"/>
              <w:rPr>
                <w:ins w:id="482" w:author="Master Repository Process" w:date="2021-08-29T02:41:00Z"/>
                <w:sz w:val="19"/>
              </w:rPr>
            </w:pPr>
            <w:ins w:id="483" w:author="Master Repository Process" w:date="2021-08-29T02:41:00Z">
              <w:r>
                <w:rPr>
                  <w:sz w:val="19"/>
                </w:rPr>
                <w:t>17 May 2009 (see r. 2(b))</w:t>
              </w:r>
            </w:ins>
          </w:p>
        </w:tc>
      </w:tr>
    </w:tbl>
    <w:p>
      <w:pPr>
        <w:pStyle w:val="nSubsection"/>
        <w:rPr>
          <w:snapToGrid w:val="0"/>
        </w:rPr>
      </w:pPr>
      <w:bookmarkStart w:id="484" w:name="UpToHere"/>
      <w:bookmarkEnd w:id="484"/>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Pr>
        <w:rPr>
          <w:ins w:id="485" w:author="Master Repository Process" w:date="2021-08-29T02:41:00Z"/>
        </w:rPr>
      </w:pP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5F2647F-D65A-463D-AF99-5087E5A0C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norm">
    <w:name w:val="norm"/>
    <w:basedOn w:val="yFootnoteheading"/>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9949</Words>
  <Characters>39896</Characters>
  <Application>Microsoft Office Word</Application>
  <DocSecurity>0</DocSecurity>
  <Lines>3324</Lines>
  <Paragraphs>2769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47076</CharactersWithSpaces>
  <SharedDoc>false</SharedDoc>
  <HLinks>
    <vt:vector size="12" baseType="variant">
      <vt:variant>
        <vt:i4>5439608</vt:i4>
      </vt:variant>
      <vt:variant>
        <vt:i4>52422</vt:i4>
      </vt:variant>
      <vt:variant>
        <vt:i4>1025</vt:i4>
      </vt:variant>
      <vt:variant>
        <vt:i4>1</vt:i4>
      </vt:variant>
      <vt:variant>
        <vt:lpwstr>A:\dline.gif</vt:lpwstr>
      </vt:variant>
      <vt:variant>
        <vt:lpwstr/>
      </vt:variant>
      <vt:variant>
        <vt:i4>3014716</vt:i4>
      </vt:variant>
      <vt:variant>
        <vt:i4>-1</vt:i4>
      </vt:variant>
      <vt:variant>
        <vt:i4>1037</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03-a0-02 - 03-b0-01</dc:title>
  <dc:subject/>
  <dc:creator/>
  <cp:keywords/>
  <dc:description/>
  <cp:lastModifiedBy>Master Repository Process</cp:lastModifiedBy>
  <cp:revision>2</cp:revision>
  <cp:lastPrinted>2009-03-26T02:44:00Z</cp:lastPrinted>
  <dcterms:created xsi:type="dcterms:W3CDTF">2021-08-28T18:41:00Z</dcterms:created>
  <dcterms:modified xsi:type="dcterms:W3CDTF">2021-08-28T18:41:00Z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20090517</vt:lpwstr>
  </property>
  <property fmtid="{D5CDD505-2E9C-101B-9397-08002B2CF9AE}" pid="4" name="DocumentType">
    <vt:lpwstr>Reg</vt:lpwstr>
  </property>
  <property fmtid="{D5CDD505-2E9C-101B-9397-08002B2CF9AE}" pid="5" name="OwlsUID">
    <vt:i4>4605</vt:i4>
  </property>
  <property fmtid="{D5CDD505-2E9C-101B-9397-08002B2CF9AE}" pid="6" name="ReprintNo">
    <vt:lpwstr>3</vt:lpwstr>
  </property>
  <property fmtid="{D5CDD505-2E9C-101B-9397-08002B2CF9AE}" pid="7" name="FromSuffix">
    <vt:lpwstr>03-a0-02</vt:lpwstr>
  </property>
  <property fmtid="{D5CDD505-2E9C-101B-9397-08002B2CF9AE}" pid="8" name="FromAsAtDate">
    <vt:lpwstr>03 Apr 2009</vt:lpwstr>
  </property>
  <property fmtid="{D5CDD505-2E9C-101B-9397-08002B2CF9AE}" pid="9" name="ToSuffix">
    <vt:lpwstr>03-b0-01</vt:lpwstr>
  </property>
  <property fmtid="{D5CDD505-2E9C-101B-9397-08002B2CF9AE}" pid="10" name="ToAsAtDate">
    <vt:lpwstr>17 May 2009</vt:lpwstr>
  </property>
</Properties>
</file>