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08-b0-03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3T23:36:00Z"/>
        </w:trPr>
        <w:tc>
          <w:tcPr>
            <w:tcW w:w="2434" w:type="dxa"/>
            <w:vMerge w:val="restart"/>
          </w:tcPr>
          <w:p>
            <w:pPr>
              <w:rPr>
                <w:del w:id="1" w:author="svcMRProcess" w:date="2020-02-13T23:36:00Z"/>
              </w:rPr>
            </w:pPr>
          </w:p>
        </w:tc>
        <w:tc>
          <w:tcPr>
            <w:tcW w:w="2434" w:type="dxa"/>
            <w:vMerge w:val="restart"/>
          </w:tcPr>
          <w:p>
            <w:pPr>
              <w:jc w:val="center"/>
              <w:rPr>
                <w:del w:id="2" w:author="svcMRProcess" w:date="2020-02-13T23:36:00Z"/>
              </w:rPr>
            </w:pPr>
            <w:del w:id="3" w:author="svcMRProcess" w:date="2020-02-13T23: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3T23:36:00Z"/>
              </w:rPr>
            </w:pPr>
          </w:p>
        </w:tc>
      </w:tr>
      <w:tr>
        <w:trPr>
          <w:cantSplit/>
          <w:del w:id="5" w:author="svcMRProcess" w:date="2020-02-13T23:36:00Z"/>
        </w:trPr>
        <w:tc>
          <w:tcPr>
            <w:tcW w:w="2434" w:type="dxa"/>
            <w:vMerge/>
          </w:tcPr>
          <w:p>
            <w:pPr>
              <w:rPr>
                <w:del w:id="6" w:author="svcMRProcess" w:date="2020-02-13T23:36:00Z"/>
              </w:rPr>
            </w:pPr>
          </w:p>
        </w:tc>
        <w:tc>
          <w:tcPr>
            <w:tcW w:w="2434" w:type="dxa"/>
            <w:vMerge/>
          </w:tcPr>
          <w:p>
            <w:pPr>
              <w:jc w:val="center"/>
              <w:rPr>
                <w:del w:id="7" w:author="svcMRProcess" w:date="2020-02-13T23:36:00Z"/>
              </w:rPr>
            </w:pPr>
          </w:p>
        </w:tc>
        <w:tc>
          <w:tcPr>
            <w:tcW w:w="2434" w:type="dxa"/>
          </w:tcPr>
          <w:p>
            <w:pPr>
              <w:keepNext/>
              <w:rPr>
                <w:del w:id="8" w:author="svcMRProcess" w:date="2020-02-13T23:36:00Z"/>
                <w:b/>
                <w:sz w:val="22"/>
              </w:rPr>
            </w:pPr>
            <w:del w:id="9" w:author="svcMRProcess" w:date="2020-02-13T23:36: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October 2006</w:delText>
              </w:r>
            </w:del>
          </w:p>
        </w:tc>
      </w:tr>
    </w:tbl>
    <w:p>
      <w:pPr>
        <w:pStyle w:val="WA"/>
      </w:pPr>
      <w:r>
        <w:t>Western Australia</w:t>
      </w:r>
    </w:p>
    <w:p>
      <w:pPr>
        <w:pStyle w:val="NameofActReg"/>
      </w:pPr>
      <w:r>
        <w:t xml:space="preserve">Betting Control Act 1954 </w:t>
      </w:r>
    </w:p>
    <w:p>
      <w:pPr>
        <w:pStyle w:val="LongTitle"/>
      </w:pPr>
      <w:r>
        <w:t>A</w:t>
      </w:r>
      <w:bookmarkStart w:id="10" w:name="_GoBack"/>
      <w:bookmarkEnd w:id="1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1" w:name="_Toc89168126"/>
      <w:bookmarkStart w:id="12" w:name="_Toc96937653"/>
      <w:bookmarkStart w:id="13" w:name="_Toc96937761"/>
      <w:bookmarkStart w:id="14" w:name="_Toc101927939"/>
      <w:bookmarkStart w:id="15" w:name="_Toc101928054"/>
      <w:bookmarkStart w:id="16" w:name="_Toc102796905"/>
      <w:bookmarkStart w:id="17" w:name="_Toc122949200"/>
      <w:bookmarkStart w:id="18" w:name="_Toc131327347"/>
      <w:bookmarkStart w:id="19" w:name="_Toc142803228"/>
      <w:bookmarkStart w:id="20" w:name="_Toc142809204"/>
      <w:bookmarkStart w:id="21" w:name="_Toc146426917"/>
      <w:bookmarkStart w:id="22" w:name="_Toc146440086"/>
      <w:bookmarkStart w:id="23" w:name="_Toc148849349"/>
      <w:bookmarkStart w:id="24" w:name="_Toc148858286"/>
      <w:bookmarkStart w:id="25" w:name="_Toc151285169"/>
      <w:bookmarkStart w:id="26" w:name="_Toc151785425"/>
      <w:bookmarkStart w:id="27" w:name="_Toc151796458"/>
      <w:bookmarkStart w:id="28" w:name="_Toc519996745"/>
      <w:bookmarkStart w:id="29" w:name="_Toc4564317"/>
      <w:bookmarkStart w:id="30" w:name="_Toc6885567"/>
      <w:r>
        <w:rPr>
          <w:rStyle w:val="CharPartNo"/>
        </w:rPr>
        <w:lastRenderedPageBreak/>
        <w:t>Part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tabs>
          <w:tab w:val="left" w:pos="851"/>
        </w:tabs>
      </w:pPr>
      <w:r>
        <w:tab/>
        <w:t>[Heading inserted by No. 35 of 2003 s. 101(1).]</w:t>
      </w:r>
    </w:p>
    <w:p>
      <w:pPr>
        <w:pStyle w:val="Heading5"/>
        <w:spacing w:before="360"/>
        <w:rPr>
          <w:snapToGrid w:val="0"/>
        </w:rPr>
      </w:pPr>
      <w:bookmarkStart w:id="31" w:name="_Toc131327348"/>
      <w:bookmarkStart w:id="32" w:name="_Toc151285170"/>
      <w:bookmarkStart w:id="33" w:name="_Toc151796459"/>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4" w:name="_Toc519996746"/>
      <w:bookmarkStart w:id="35" w:name="_Toc4564318"/>
      <w:bookmarkStart w:id="36" w:name="_Toc6885568"/>
      <w:bookmarkStart w:id="37" w:name="_Toc131327349"/>
      <w:bookmarkStart w:id="38" w:name="_Toc151285171"/>
      <w:bookmarkStart w:id="39" w:name="_Toc151796460"/>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40" w:name="_Toc519996747"/>
      <w:bookmarkStart w:id="41" w:name="_Toc4564319"/>
      <w:bookmarkStart w:id="42" w:name="_Toc6885569"/>
      <w:bookmarkStart w:id="43" w:name="_Toc131327350"/>
      <w:bookmarkStart w:id="44" w:name="_Toc151285172"/>
      <w:bookmarkStart w:id="45" w:name="_Toc151796461"/>
      <w:r>
        <w:rPr>
          <w:rStyle w:val="CharSectno"/>
        </w:rPr>
        <w:t>4</w:t>
      </w:r>
      <w:r>
        <w:rPr>
          <w:snapToGrid w:val="0"/>
        </w:rPr>
        <w:t>.</w:t>
      </w:r>
      <w:r>
        <w:rPr>
          <w:snapToGrid w:val="0"/>
        </w:rPr>
        <w:tab/>
        <w:t>Interpretation</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lastRenderedPageBreak/>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lastRenderedPageBreak/>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w:t>
      </w:r>
    </w:p>
    <w:p>
      <w:pPr>
        <w:pStyle w:val="Heading5"/>
      </w:pPr>
      <w:bookmarkStart w:id="46" w:name="_Toc519996748"/>
      <w:bookmarkStart w:id="47" w:name="_Toc4564320"/>
      <w:bookmarkStart w:id="48" w:name="_Toc6885570"/>
      <w:bookmarkStart w:id="49" w:name="_Toc131327351"/>
      <w:bookmarkStart w:id="50" w:name="_Toc151285173"/>
      <w:bookmarkStart w:id="51" w:name="_Toc151796462"/>
      <w:r>
        <w:rPr>
          <w:rStyle w:val="CharSectno"/>
        </w:rPr>
        <w:t>4A</w:t>
      </w:r>
      <w:r>
        <w:t>.</w:t>
      </w:r>
      <w:r>
        <w:tab/>
        <w:t>Application of this Act to certain sporting events other than races</w:t>
      </w:r>
      <w:bookmarkEnd w:id="46"/>
      <w:bookmarkEnd w:id="47"/>
      <w:bookmarkEnd w:id="48"/>
      <w:bookmarkEnd w:id="49"/>
      <w:bookmarkEnd w:id="50"/>
      <w:bookmarkEnd w:id="51"/>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2" w:name="_Toc519996749"/>
      <w:bookmarkStart w:id="53" w:name="_Toc4564321"/>
      <w:bookmarkStart w:id="54" w:name="_Toc6885571"/>
      <w:bookmarkStart w:id="55" w:name="_Toc131327352"/>
      <w:bookmarkStart w:id="56" w:name="_Toc151285174"/>
      <w:bookmarkStart w:id="57" w:name="_Toc151796463"/>
      <w:r>
        <w:rPr>
          <w:rStyle w:val="CharSectno"/>
        </w:rPr>
        <w:t>4B</w:t>
      </w:r>
      <w:r>
        <w:rPr>
          <w:snapToGrid w:val="0"/>
        </w:rPr>
        <w:t>.</w:t>
      </w:r>
      <w:r>
        <w:rPr>
          <w:snapToGrid w:val="0"/>
        </w:rPr>
        <w:tab/>
        <w:t>Application of this Act to sporting events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8" w:name="_Toc519996750"/>
      <w:bookmarkStart w:id="59" w:name="_Toc4564322"/>
      <w:bookmarkStart w:id="60" w:name="_Toc6885572"/>
      <w:bookmarkStart w:id="61" w:name="_Toc131327353"/>
      <w:bookmarkStart w:id="62" w:name="_Toc151285175"/>
      <w:bookmarkStart w:id="63" w:name="_Toc151796464"/>
      <w:r>
        <w:rPr>
          <w:rStyle w:val="CharSectno"/>
        </w:rPr>
        <w:t>5</w:t>
      </w:r>
      <w:r>
        <w:rPr>
          <w:snapToGrid w:val="0"/>
        </w:rPr>
        <w:t>.</w:t>
      </w:r>
      <w:r>
        <w:rPr>
          <w:snapToGrid w:val="0"/>
        </w:rPr>
        <w:tab/>
        <w:t>Legalisation of betting with bookmakers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4" w:name="_Toc131327354"/>
      <w:bookmarkStart w:id="65" w:name="_Toc151285176"/>
      <w:bookmarkStart w:id="66" w:name="_Toc151796465"/>
      <w:bookmarkStart w:id="67" w:name="_Toc519996751"/>
      <w:bookmarkStart w:id="68" w:name="_Toc4564323"/>
      <w:bookmarkStart w:id="69" w:name="_Toc6885573"/>
      <w:r>
        <w:rPr>
          <w:rStyle w:val="CharSectno"/>
        </w:rPr>
        <w:t>5A</w:t>
      </w:r>
      <w:r>
        <w:t>.</w:t>
      </w:r>
      <w:r>
        <w:tab/>
        <w:t>Communication and broadcasting of information</w:t>
      </w:r>
      <w:bookmarkEnd w:id="64"/>
      <w:bookmarkEnd w:id="65"/>
      <w:bookmarkEnd w:id="66"/>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67"/>
    <w:bookmarkEnd w:id="68"/>
    <w:bookmarkEnd w:id="69"/>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0" w:name="_Toc519996763"/>
      <w:bookmarkStart w:id="71" w:name="_Toc4564335"/>
      <w:bookmarkStart w:id="72" w:name="_Toc6885585"/>
      <w:r>
        <w:t>[</w:t>
      </w:r>
      <w:r>
        <w:rPr>
          <w:b/>
        </w:rPr>
        <w:t>9, 10.</w:t>
      </w:r>
      <w:r>
        <w:rPr>
          <w:b/>
        </w:rPr>
        <w:tab/>
      </w:r>
      <w:r>
        <w:t>Repealed by No. 35 of 2003 s. 79.]</w:t>
      </w:r>
    </w:p>
    <w:p>
      <w:pPr>
        <w:pStyle w:val="Heading2"/>
      </w:pPr>
      <w:bookmarkStart w:id="73" w:name="_Toc89168134"/>
      <w:bookmarkStart w:id="74" w:name="_Toc96937661"/>
      <w:bookmarkStart w:id="75" w:name="_Toc96937769"/>
      <w:bookmarkStart w:id="76" w:name="_Toc101927947"/>
      <w:bookmarkStart w:id="77" w:name="_Toc101928062"/>
      <w:bookmarkStart w:id="78" w:name="_Toc102796913"/>
      <w:bookmarkStart w:id="79" w:name="_Toc122949208"/>
      <w:bookmarkStart w:id="80" w:name="_Toc131327355"/>
      <w:bookmarkStart w:id="81" w:name="_Toc142803236"/>
      <w:bookmarkStart w:id="82" w:name="_Toc142809212"/>
      <w:bookmarkStart w:id="83" w:name="_Toc146426925"/>
      <w:bookmarkStart w:id="84" w:name="_Toc146440094"/>
      <w:bookmarkStart w:id="85" w:name="_Toc148849357"/>
      <w:bookmarkStart w:id="86" w:name="_Toc148858294"/>
      <w:bookmarkStart w:id="87" w:name="_Toc151285177"/>
      <w:bookmarkStart w:id="88" w:name="_Toc151785433"/>
      <w:bookmarkStart w:id="89" w:name="_Toc151796466"/>
      <w:r>
        <w:rPr>
          <w:rStyle w:val="CharPartNo"/>
        </w:rPr>
        <w:t>Part 2</w:t>
      </w:r>
      <w:r>
        <w:rPr>
          <w:b w:val="0"/>
        </w:rPr>
        <w:t> </w:t>
      </w:r>
      <w:r>
        <w:t>—</w:t>
      </w:r>
      <w:r>
        <w:rPr>
          <w:b w:val="0"/>
        </w:rPr>
        <w:t> </w:t>
      </w:r>
      <w:r>
        <w:rPr>
          <w:rStyle w:val="CharPartText"/>
        </w:rPr>
        <w:t>Licences, approvals and permits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tabs>
          <w:tab w:val="left" w:pos="851"/>
        </w:tabs>
      </w:pPr>
      <w:r>
        <w:tab/>
        <w:t>[Heading inserted by No. 35 of 2003 s. 101(2).]</w:t>
      </w:r>
    </w:p>
    <w:p>
      <w:pPr>
        <w:pStyle w:val="Heading5"/>
      </w:pPr>
      <w:bookmarkStart w:id="90" w:name="_Toc131327356"/>
      <w:bookmarkStart w:id="91" w:name="_Toc151285178"/>
      <w:bookmarkStart w:id="92" w:name="_Toc151796467"/>
      <w:r>
        <w:rPr>
          <w:rStyle w:val="CharSectno"/>
        </w:rPr>
        <w:t>11</w:t>
      </w:r>
      <w:r>
        <w:t>.</w:t>
      </w:r>
      <w:r>
        <w:tab/>
        <w:t>Licences and approvals relating to bookmaking</w:t>
      </w:r>
      <w:bookmarkEnd w:id="90"/>
      <w:bookmarkEnd w:id="91"/>
      <w:bookmarkEnd w:id="92"/>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93" w:name="_Toc131327357"/>
      <w:bookmarkStart w:id="94" w:name="_Toc151285179"/>
      <w:bookmarkStart w:id="95" w:name="_Toc151796468"/>
      <w:r>
        <w:rPr>
          <w:rStyle w:val="CharSectno"/>
        </w:rPr>
        <w:t>11A</w:t>
      </w:r>
      <w:r>
        <w:t>.</w:t>
      </w:r>
      <w:r>
        <w:tab/>
        <w:t>Bookmaker’s licence — natural person</w:t>
      </w:r>
      <w:bookmarkEnd w:id="93"/>
      <w:bookmarkEnd w:id="94"/>
      <w:bookmarkEnd w:id="95"/>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96" w:name="_Toc131327358"/>
      <w:bookmarkStart w:id="97" w:name="_Toc151285180"/>
      <w:bookmarkStart w:id="98" w:name="_Toc151796469"/>
      <w:r>
        <w:rPr>
          <w:rStyle w:val="CharSectno"/>
        </w:rPr>
        <w:t>11B</w:t>
      </w:r>
      <w:r>
        <w:t>.</w:t>
      </w:r>
      <w:r>
        <w:tab/>
        <w:t>Bookmaker’s licence — partnership</w:t>
      </w:r>
      <w:bookmarkEnd w:id="96"/>
      <w:bookmarkEnd w:id="97"/>
      <w:bookmarkEnd w:id="98"/>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99" w:name="_Toc131327359"/>
      <w:bookmarkStart w:id="100" w:name="_Toc151285181"/>
      <w:bookmarkStart w:id="101" w:name="_Toc151796470"/>
      <w:r>
        <w:rPr>
          <w:rStyle w:val="CharSectno"/>
        </w:rPr>
        <w:t>11C</w:t>
      </w:r>
      <w:r>
        <w:t>.</w:t>
      </w:r>
      <w:r>
        <w:tab/>
        <w:t>Bookmaker’s licences — body corporate</w:t>
      </w:r>
      <w:bookmarkEnd w:id="99"/>
      <w:bookmarkEnd w:id="100"/>
      <w:bookmarkEnd w:id="101"/>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02" w:name="_Toc131327360"/>
      <w:bookmarkStart w:id="103" w:name="_Toc151285182"/>
      <w:bookmarkStart w:id="104" w:name="_Toc151796471"/>
      <w:r>
        <w:rPr>
          <w:rStyle w:val="CharSectno"/>
        </w:rPr>
        <w:t>11D</w:t>
      </w:r>
      <w:r>
        <w:t>.</w:t>
      </w:r>
      <w:r>
        <w:tab/>
        <w:t>Licences — manager or employee</w:t>
      </w:r>
      <w:bookmarkEnd w:id="102"/>
      <w:bookmarkEnd w:id="103"/>
      <w:bookmarkEnd w:id="104"/>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05" w:name="_Toc131327361"/>
      <w:bookmarkStart w:id="106" w:name="_Toc151285183"/>
      <w:bookmarkStart w:id="107" w:name="_Toc151796472"/>
      <w:r>
        <w:rPr>
          <w:rStyle w:val="CharSectno"/>
        </w:rPr>
        <w:t>11E</w:t>
      </w:r>
      <w:r>
        <w:t>.</w:t>
      </w:r>
      <w:r>
        <w:tab/>
        <w:t>Security</w:t>
      </w:r>
      <w:bookmarkEnd w:id="105"/>
      <w:bookmarkEnd w:id="106"/>
      <w:bookmarkEnd w:id="107"/>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08" w:name="_Toc131327362"/>
      <w:bookmarkStart w:id="109" w:name="_Toc151285184"/>
      <w:bookmarkStart w:id="110" w:name="_Toc151796473"/>
      <w:r>
        <w:rPr>
          <w:rStyle w:val="CharSectno"/>
        </w:rPr>
        <w:t>11F</w:t>
      </w:r>
      <w:r>
        <w:t>.</w:t>
      </w:r>
      <w:r>
        <w:tab/>
        <w:t>Notification of Commission in relation to licensed manager</w:t>
      </w:r>
      <w:bookmarkEnd w:id="108"/>
      <w:bookmarkEnd w:id="109"/>
      <w:bookmarkEnd w:id="110"/>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11" w:name="_Toc131327363"/>
      <w:bookmarkStart w:id="112" w:name="_Toc151285185"/>
      <w:bookmarkStart w:id="113" w:name="_Toc151796474"/>
      <w:r>
        <w:rPr>
          <w:rStyle w:val="CharSectno"/>
        </w:rPr>
        <w:t>11G</w:t>
      </w:r>
      <w:r>
        <w:t>.</w:t>
      </w:r>
      <w:r>
        <w:tab/>
        <w:t>Offences</w:t>
      </w:r>
      <w:bookmarkEnd w:id="111"/>
      <w:bookmarkEnd w:id="112"/>
      <w:bookmarkEnd w:id="113"/>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114" w:name="_Toc131327364"/>
      <w:bookmarkStart w:id="115" w:name="_Toc151285186"/>
      <w:bookmarkStart w:id="116" w:name="_Toc151796475"/>
      <w:r>
        <w:rPr>
          <w:rStyle w:val="CharSectno"/>
        </w:rPr>
        <w:t>11H</w:t>
      </w:r>
      <w:r>
        <w:t>.</w:t>
      </w:r>
      <w:r>
        <w:tab/>
        <w:t>Liability of persons who occupy a position of authority in a body corporate</w:t>
      </w:r>
      <w:bookmarkEnd w:id="114"/>
      <w:bookmarkEnd w:id="115"/>
      <w:bookmarkEnd w:id="116"/>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keepNext/>
        <w:keepLines/>
      </w:pPr>
      <w:r>
        <w:tab/>
        <w:t>(2)</w:t>
      </w:r>
      <w:r>
        <w:tab/>
        <w:t>A person may be proceeded against and convicted of an offence against this Act by virtue of subsection (1) whether or not the body corporate has been proceeded against and convicted of the offence.</w:t>
      </w:r>
    </w:p>
    <w:p>
      <w:pPr>
        <w:pStyle w:val="Footnotesection"/>
        <w:spacing w:before="80"/>
        <w:ind w:left="890" w:hanging="890"/>
      </w:pPr>
      <w:r>
        <w:tab/>
        <w:t>[Section 11H inserted by No. 13 of 2002 s. 7.]</w:t>
      </w:r>
    </w:p>
    <w:p>
      <w:pPr>
        <w:pStyle w:val="Heading5"/>
        <w:spacing w:before="180"/>
      </w:pPr>
      <w:bookmarkStart w:id="117" w:name="_Toc131327365"/>
      <w:bookmarkStart w:id="118" w:name="_Toc151285187"/>
      <w:bookmarkStart w:id="119" w:name="_Toc151796476"/>
      <w:r>
        <w:rPr>
          <w:rStyle w:val="CharSectno"/>
        </w:rPr>
        <w:t>11I</w:t>
      </w:r>
      <w:r>
        <w:t>.</w:t>
      </w:r>
      <w:r>
        <w:tab/>
        <w:t>Liability of natural person, partners, bodies corporate and officers</w:t>
      </w:r>
      <w:bookmarkEnd w:id="117"/>
      <w:bookmarkEnd w:id="118"/>
      <w:bookmarkEnd w:id="119"/>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spacing w:before="60"/>
      </w:pPr>
      <w:r>
        <w:tab/>
        <w:t>(a)</w:t>
      </w:r>
      <w:r>
        <w:tab/>
        <w:t>each of the partners; or</w:t>
      </w:r>
    </w:p>
    <w:p>
      <w:pPr>
        <w:pStyle w:val="Indenta"/>
        <w:spacing w:before="60"/>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spacing w:before="60"/>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120" w:name="_Toc131327366"/>
      <w:bookmarkStart w:id="121" w:name="_Toc151285188"/>
      <w:bookmarkStart w:id="122" w:name="_Toc151796477"/>
      <w:r>
        <w:rPr>
          <w:rStyle w:val="CharSectno"/>
        </w:rPr>
        <w:t>12</w:t>
      </w:r>
      <w:r>
        <w:rPr>
          <w:snapToGrid w:val="0"/>
        </w:rPr>
        <w:t>.</w:t>
      </w:r>
      <w:r>
        <w:rPr>
          <w:snapToGrid w:val="0"/>
        </w:rPr>
        <w:tab/>
        <w:t>Permits required to bet on race courses, etc.</w:t>
      </w:r>
      <w:bookmarkEnd w:id="70"/>
      <w:bookmarkEnd w:id="71"/>
      <w:bookmarkEnd w:id="72"/>
      <w:bookmarkEnd w:id="120"/>
      <w:bookmarkEnd w:id="121"/>
      <w:bookmarkEnd w:id="122"/>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23" w:name="_Toc519996764"/>
      <w:bookmarkStart w:id="124" w:name="_Toc4564336"/>
      <w:bookmarkStart w:id="125" w:name="_Toc6885586"/>
      <w:bookmarkStart w:id="126" w:name="_Toc131327367"/>
      <w:bookmarkStart w:id="127" w:name="_Toc151285189"/>
      <w:bookmarkStart w:id="128" w:name="_Toc151796478"/>
      <w:r>
        <w:rPr>
          <w:rStyle w:val="CharSectno"/>
        </w:rPr>
        <w:t>12A</w:t>
      </w:r>
      <w:r>
        <w:t>.</w:t>
      </w:r>
      <w:r>
        <w:tab/>
        <w:t>Temporary bookmakers’ employees’ licences</w:t>
      </w:r>
      <w:bookmarkEnd w:id="123"/>
      <w:bookmarkEnd w:id="124"/>
      <w:bookmarkEnd w:id="125"/>
      <w:bookmarkEnd w:id="126"/>
      <w:bookmarkEnd w:id="127"/>
      <w:bookmarkEnd w:id="128"/>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29" w:name="_Toc519996765"/>
      <w:bookmarkStart w:id="130" w:name="_Toc4564337"/>
      <w:bookmarkStart w:id="131" w:name="_Toc6885587"/>
      <w:bookmarkStart w:id="132" w:name="_Toc131327368"/>
      <w:bookmarkStart w:id="133" w:name="_Toc151285190"/>
      <w:bookmarkStart w:id="134" w:name="_Toc151796479"/>
      <w:r>
        <w:rPr>
          <w:rStyle w:val="CharSectno"/>
        </w:rPr>
        <w:t>13</w:t>
      </w:r>
      <w:r>
        <w:rPr>
          <w:snapToGrid w:val="0"/>
        </w:rPr>
        <w:t>.</w:t>
      </w:r>
      <w:r>
        <w:rPr>
          <w:snapToGrid w:val="0"/>
        </w:rPr>
        <w:tab/>
        <w:t>Bookmakers’ annual licence fee</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35" w:name="_Toc89168148"/>
      <w:bookmarkStart w:id="136" w:name="_Toc96937675"/>
      <w:bookmarkStart w:id="137" w:name="_Toc96937783"/>
      <w:bookmarkStart w:id="138" w:name="_Toc101927961"/>
      <w:bookmarkStart w:id="139" w:name="_Toc101928076"/>
      <w:bookmarkStart w:id="140" w:name="_Toc102796927"/>
      <w:bookmarkStart w:id="141" w:name="_Toc122949222"/>
      <w:bookmarkStart w:id="142" w:name="_Toc131327369"/>
      <w:bookmarkStart w:id="143" w:name="_Toc142803250"/>
      <w:bookmarkStart w:id="144" w:name="_Toc142809226"/>
      <w:bookmarkStart w:id="145" w:name="_Toc146426939"/>
      <w:bookmarkStart w:id="146" w:name="_Toc146440108"/>
      <w:bookmarkStart w:id="147" w:name="_Toc148849371"/>
      <w:bookmarkStart w:id="148" w:name="_Toc148858308"/>
      <w:bookmarkStart w:id="149" w:name="_Toc151285191"/>
      <w:bookmarkStart w:id="150" w:name="_Toc151785447"/>
      <w:bookmarkStart w:id="151" w:name="_Toc151796480"/>
      <w:bookmarkStart w:id="152" w:name="_Toc519996766"/>
      <w:bookmarkStart w:id="153" w:name="_Toc4564338"/>
      <w:bookmarkStart w:id="154" w:name="_Toc6885588"/>
      <w:r>
        <w:rPr>
          <w:rStyle w:val="CharPartNo"/>
        </w:rPr>
        <w:t>Part 3</w:t>
      </w:r>
      <w:r>
        <w:rPr>
          <w:b w:val="0"/>
        </w:rPr>
        <w:t> </w:t>
      </w:r>
      <w:r>
        <w:t>—</w:t>
      </w:r>
      <w:r>
        <w:rPr>
          <w:b w:val="0"/>
        </w:rPr>
        <w:t> </w:t>
      </w:r>
      <w:r>
        <w:rPr>
          <w:rStyle w:val="CharPartText"/>
        </w:rPr>
        <w:t>Levies and totalisators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tabs>
          <w:tab w:val="left" w:pos="851"/>
        </w:tabs>
      </w:pPr>
      <w:r>
        <w:tab/>
        <w:t>[Heading inserted by No. 35 of 2003 s. 101(3).]</w:t>
      </w:r>
    </w:p>
    <w:p>
      <w:pPr>
        <w:pStyle w:val="Heading5"/>
        <w:rPr>
          <w:snapToGrid w:val="0"/>
        </w:rPr>
      </w:pPr>
      <w:bookmarkStart w:id="155" w:name="_Toc131327370"/>
      <w:bookmarkStart w:id="156" w:name="_Toc151285192"/>
      <w:bookmarkStart w:id="157" w:name="_Toc151796481"/>
      <w:r>
        <w:rPr>
          <w:rStyle w:val="CharSectno"/>
        </w:rPr>
        <w:t>14</w:t>
      </w:r>
      <w:r>
        <w:rPr>
          <w:snapToGrid w:val="0"/>
        </w:rPr>
        <w:t>.</w:t>
      </w:r>
      <w:r>
        <w:rPr>
          <w:snapToGrid w:val="0"/>
        </w:rPr>
        <w:tab/>
        <w:t>Bookmakers’ liability to pay bookmakers’ betting levy</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58" w:name="_Toc519996767"/>
      <w:bookmarkStart w:id="159" w:name="_Toc4564339"/>
      <w:bookmarkStart w:id="160" w:name="_Toc6885589"/>
      <w:bookmarkStart w:id="161" w:name="_Toc131327371"/>
      <w:bookmarkStart w:id="162" w:name="_Toc151285193"/>
      <w:bookmarkStart w:id="163" w:name="_Toc151796482"/>
      <w:r>
        <w:rPr>
          <w:rStyle w:val="CharSectno"/>
        </w:rPr>
        <w:t>15</w:t>
      </w:r>
      <w:r>
        <w:rPr>
          <w:snapToGrid w:val="0"/>
        </w:rPr>
        <w:t>.</w:t>
      </w:r>
      <w:r>
        <w:rPr>
          <w:snapToGrid w:val="0"/>
        </w:rPr>
        <w:tab/>
        <w:t>Payment of levy by bookmakers on bets made at race meetings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64" w:name="_Toc519996768"/>
      <w:bookmarkStart w:id="165" w:name="_Toc4564340"/>
      <w:bookmarkStart w:id="166" w:name="_Toc6885590"/>
      <w:bookmarkStart w:id="167" w:name="_Toc131327372"/>
      <w:bookmarkStart w:id="168" w:name="_Toc151285194"/>
      <w:bookmarkStart w:id="169" w:name="_Toc151796483"/>
      <w:r>
        <w:rPr>
          <w:rStyle w:val="CharSectno"/>
        </w:rPr>
        <w:t>16</w:t>
      </w:r>
      <w:r>
        <w:rPr>
          <w:snapToGrid w:val="0"/>
        </w:rPr>
        <w:t>.</w:t>
      </w:r>
      <w:r>
        <w:rPr>
          <w:snapToGrid w:val="0"/>
        </w:rPr>
        <w:tab/>
        <w:t>Payment of levy by bookmakers on bets made at registered premises</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70" w:name="_Toc519996769"/>
      <w:bookmarkStart w:id="171" w:name="_Toc4564341"/>
      <w:bookmarkStart w:id="172" w:name="_Toc6885591"/>
      <w:bookmarkStart w:id="173" w:name="_Toc131327373"/>
      <w:bookmarkStart w:id="174" w:name="_Toc151285195"/>
      <w:bookmarkStart w:id="175" w:name="_Toc151796484"/>
      <w:r>
        <w:rPr>
          <w:rStyle w:val="CharSectno"/>
        </w:rPr>
        <w:t>16A</w:t>
      </w:r>
      <w:r>
        <w:rPr>
          <w:snapToGrid w:val="0"/>
        </w:rPr>
        <w:t>.</w:t>
      </w:r>
      <w:r>
        <w:rPr>
          <w:snapToGrid w:val="0"/>
        </w:rPr>
        <w:tab/>
        <w:t>Books of account, records etc.</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76" w:name="_Toc519996770"/>
      <w:bookmarkStart w:id="177" w:name="_Toc4564342"/>
      <w:bookmarkStart w:id="178" w:name="_Toc6885592"/>
      <w:bookmarkStart w:id="179" w:name="_Toc131327374"/>
      <w:bookmarkStart w:id="180" w:name="_Toc151285196"/>
      <w:bookmarkStart w:id="181" w:name="_Toc151796485"/>
      <w:r>
        <w:rPr>
          <w:rStyle w:val="CharSectno"/>
        </w:rPr>
        <w:t>17</w:t>
      </w:r>
      <w:r>
        <w:rPr>
          <w:snapToGrid w:val="0"/>
        </w:rPr>
        <w:t>.</w:t>
      </w:r>
      <w:r>
        <w:rPr>
          <w:snapToGrid w:val="0"/>
        </w:rPr>
        <w:tab/>
        <w:t>Effect on liability for payment of levy where racing authority declares bets off, etc.</w:t>
      </w:r>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82" w:name="_Toc519996771"/>
      <w:bookmarkStart w:id="183" w:name="_Toc4564343"/>
      <w:bookmarkStart w:id="184" w:name="_Toc6885593"/>
      <w:bookmarkStart w:id="185" w:name="_Toc131327375"/>
      <w:bookmarkStart w:id="186" w:name="_Toc151285197"/>
      <w:bookmarkStart w:id="187" w:name="_Toc151796486"/>
      <w:r>
        <w:rPr>
          <w:rStyle w:val="CharSectno"/>
        </w:rPr>
        <w:t>17A</w:t>
      </w:r>
      <w:r>
        <w:rPr>
          <w:snapToGrid w:val="0"/>
        </w:rPr>
        <w:t>.</w:t>
      </w:r>
      <w:r>
        <w:rPr>
          <w:snapToGrid w:val="0"/>
        </w:rPr>
        <w:tab/>
        <w:t>Annual licence fee in respect of totalisators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88" w:name="_Toc519996772"/>
      <w:bookmarkStart w:id="189" w:name="_Toc4564344"/>
      <w:bookmarkStart w:id="190" w:name="_Toc6885594"/>
      <w:bookmarkStart w:id="191" w:name="_Toc131327376"/>
      <w:bookmarkStart w:id="192" w:name="_Toc151285198"/>
      <w:bookmarkStart w:id="193" w:name="_Toc151796487"/>
      <w:r>
        <w:rPr>
          <w:rStyle w:val="CharSectno"/>
        </w:rPr>
        <w:t>17B</w:t>
      </w:r>
      <w:r>
        <w:rPr>
          <w:snapToGrid w:val="0"/>
        </w:rPr>
        <w:t>.</w:t>
      </w:r>
      <w:r>
        <w:rPr>
          <w:snapToGrid w:val="0"/>
        </w:rPr>
        <w:tab/>
        <w:t>Use of the totalisator by racing clubs</w:t>
      </w:r>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iCs/>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iCs/>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94" w:name="_Toc519996773"/>
      <w:bookmarkStart w:id="195" w:name="_Toc4564345"/>
      <w:bookmarkStart w:id="196" w:name="_Toc6885595"/>
      <w:bookmarkStart w:id="197" w:name="_Toc131327377"/>
      <w:bookmarkStart w:id="198" w:name="_Toc151285199"/>
      <w:bookmarkStart w:id="199" w:name="_Toc151796488"/>
      <w:r>
        <w:rPr>
          <w:rStyle w:val="CharSectno"/>
        </w:rPr>
        <w:t>17C</w:t>
      </w:r>
      <w:r>
        <w:rPr>
          <w:snapToGrid w:val="0"/>
        </w:rPr>
        <w:t>.</w:t>
      </w:r>
      <w:r>
        <w:rPr>
          <w:snapToGrid w:val="0"/>
        </w:rPr>
        <w:tab/>
      </w:r>
      <w:bookmarkEnd w:id="194"/>
      <w:bookmarkEnd w:id="195"/>
      <w:r>
        <w:rPr>
          <w:snapToGrid w:val="0"/>
        </w:rPr>
        <w:t>Making of bets on designated sporting events not authorised</w:t>
      </w:r>
      <w:bookmarkEnd w:id="196"/>
      <w:bookmarkEnd w:id="197"/>
      <w:bookmarkEnd w:id="198"/>
      <w:bookmarkEnd w:id="19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00" w:name="_Toc519996774"/>
      <w:bookmarkStart w:id="201" w:name="_Toc4564346"/>
      <w:bookmarkStart w:id="202" w:name="_Toc6885596"/>
      <w:bookmarkStart w:id="203" w:name="_Toc131327378"/>
      <w:bookmarkStart w:id="204" w:name="_Toc151285200"/>
      <w:bookmarkStart w:id="205" w:name="_Toc15179648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06" w:name="_Toc519996775"/>
      <w:bookmarkStart w:id="207" w:name="_Toc4564347"/>
      <w:bookmarkStart w:id="208" w:name="_Toc6885597"/>
      <w:bookmarkStart w:id="209" w:name="_Toc131327379"/>
      <w:bookmarkStart w:id="210" w:name="_Toc151285201"/>
      <w:bookmarkStart w:id="211" w:name="_Toc151796490"/>
      <w:r>
        <w:rPr>
          <w:rStyle w:val="CharSectno"/>
        </w:rPr>
        <w:t>17E</w:t>
      </w:r>
      <w:r>
        <w:rPr>
          <w:snapToGrid w:val="0"/>
        </w:rPr>
        <w:t>.</w:t>
      </w:r>
      <w:r>
        <w:rPr>
          <w:snapToGrid w:val="0"/>
        </w:rPr>
        <w:tab/>
        <w:t xml:space="preserve">Percentage of off course bets to belong to </w:t>
      </w:r>
      <w:bookmarkEnd w:id="206"/>
      <w:bookmarkEnd w:id="207"/>
      <w:bookmarkEnd w:id="208"/>
      <w:bookmarkEnd w:id="209"/>
      <w:r>
        <w:rPr>
          <w:snapToGrid w:val="0"/>
        </w:rPr>
        <w:t>RWWA</w:t>
      </w:r>
      <w:bookmarkEnd w:id="210"/>
      <w:bookmarkEnd w:id="211"/>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12" w:name="_Toc519996776"/>
      <w:bookmarkStart w:id="213" w:name="_Toc4564348"/>
      <w:bookmarkStart w:id="214" w:name="_Toc6885598"/>
      <w:bookmarkStart w:id="215" w:name="_Toc131327380"/>
      <w:bookmarkStart w:id="216" w:name="_Toc151285202"/>
      <w:bookmarkStart w:id="217" w:name="_Toc151796491"/>
      <w:r>
        <w:rPr>
          <w:rStyle w:val="CharSectno"/>
        </w:rPr>
        <w:t>17EA</w:t>
      </w:r>
      <w:r>
        <w:t>.</w:t>
      </w:r>
      <w:r>
        <w:tab/>
        <w:t xml:space="preserve">Management of fixed odds </w:t>
      </w:r>
      <w:r>
        <w:rPr>
          <w:snapToGrid w:val="0"/>
        </w:rPr>
        <w:t>—</w:t>
      </w:r>
      <w:r>
        <w:t xml:space="preserve"> prescribed margin</w:t>
      </w:r>
      <w:bookmarkEnd w:id="212"/>
      <w:bookmarkEnd w:id="213"/>
      <w:bookmarkEnd w:id="214"/>
      <w:bookmarkEnd w:id="215"/>
      <w:bookmarkEnd w:id="216"/>
      <w:bookmarkEnd w:id="217"/>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bCs/>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bCs/>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bCs/>
        </w:rPr>
      </w:pPr>
      <w:r>
        <w:rPr>
          <w:b/>
          <w:bCs/>
        </w:rPr>
        <w:tab/>
      </w:r>
      <w:r>
        <w:rPr>
          <w:b/>
          <w:bCs/>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6"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18" w:name="_Toc519996777"/>
      <w:bookmarkStart w:id="219" w:name="_Toc4564349"/>
      <w:bookmarkStart w:id="220" w:name="_Toc6885599"/>
      <w:bookmarkStart w:id="221" w:name="_Toc131327381"/>
      <w:bookmarkStart w:id="222" w:name="_Toc151285203"/>
      <w:bookmarkStart w:id="223" w:name="_Toc151796492"/>
      <w:r>
        <w:rPr>
          <w:rStyle w:val="CharSectno"/>
        </w:rPr>
        <w:t>17F</w:t>
      </w:r>
      <w:r>
        <w:rPr>
          <w:snapToGrid w:val="0"/>
        </w:rPr>
        <w:t>.</w:t>
      </w:r>
      <w:r>
        <w:rPr>
          <w:snapToGrid w:val="0"/>
        </w:rPr>
        <w:tab/>
        <w:t>Percentage of bets to belong to racing club</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24" w:name="_Toc519996778"/>
      <w:bookmarkStart w:id="225" w:name="_Toc4564350"/>
      <w:bookmarkStart w:id="226" w:name="_Toc6885600"/>
      <w:bookmarkStart w:id="227" w:name="_Toc131327382"/>
      <w:bookmarkStart w:id="228" w:name="_Toc151285204"/>
      <w:bookmarkStart w:id="229" w:name="_Toc151796493"/>
      <w:r>
        <w:rPr>
          <w:rStyle w:val="CharSectno"/>
        </w:rPr>
        <w:t>18</w:t>
      </w:r>
      <w:r>
        <w:rPr>
          <w:snapToGrid w:val="0"/>
        </w:rPr>
        <w:t>.</w:t>
      </w:r>
      <w:r>
        <w:rPr>
          <w:snapToGrid w:val="0"/>
        </w:rPr>
        <w:tab/>
        <w:t>Omission of bets from records or returns does not affect liability for levy or penalty</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30" w:name="_Toc519996779"/>
      <w:bookmarkStart w:id="231" w:name="_Toc4564351"/>
      <w:bookmarkStart w:id="232" w:name="_Toc6885601"/>
      <w:bookmarkStart w:id="233" w:name="_Toc131327383"/>
      <w:bookmarkStart w:id="234" w:name="_Toc151285205"/>
      <w:bookmarkStart w:id="235" w:name="_Toc151796494"/>
      <w:r>
        <w:rPr>
          <w:rStyle w:val="CharSectno"/>
        </w:rPr>
        <w:t>18A</w:t>
      </w:r>
      <w:r>
        <w:rPr>
          <w:snapToGrid w:val="0"/>
        </w:rPr>
        <w:t>.</w:t>
      </w:r>
      <w:r>
        <w:rPr>
          <w:snapToGrid w:val="0"/>
        </w:rPr>
        <w:tab/>
        <w:t>Payment of levy</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36" w:name="_Toc519996780"/>
      <w:bookmarkStart w:id="237" w:name="_Toc4564352"/>
      <w:bookmarkStart w:id="238" w:name="_Toc6885602"/>
      <w:bookmarkStart w:id="239" w:name="_Toc131327384"/>
      <w:bookmarkStart w:id="240" w:name="_Toc151285206"/>
      <w:bookmarkStart w:id="241" w:name="_Toc151796495"/>
      <w:r>
        <w:rPr>
          <w:rStyle w:val="CharSectno"/>
        </w:rPr>
        <w:t>18B</w:t>
      </w:r>
      <w:r>
        <w:rPr>
          <w:snapToGrid w:val="0"/>
        </w:rPr>
        <w:t>.</w:t>
      </w:r>
      <w:r>
        <w:rPr>
          <w:snapToGrid w:val="0"/>
        </w:rPr>
        <w:tab/>
        <w:t>Assessments, and additional levy</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42" w:name="_Toc89168164"/>
      <w:bookmarkStart w:id="243" w:name="_Toc96937691"/>
      <w:bookmarkStart w:id="244" w:name="_Toc96937799"/>
      <w:bookmarkStart w:id="245" w:name="_Toc101927977"/>
      <w:bookmarkStart w:id="246" w:name="_Toc101928092"/>
      <w:bookmarkStart w:id="247" w:name="_Toc102796943"/>
      <w:bookmarkStart w:id="248" w:name="_Toc122949238"/>
      <w:bookmarkStart w:id="249" w:name="_Toc131327385"/>
      <w:bookmarkStart w:id="250" w:name="_Toc142803266"/>
      <w:bookmarkStart w:id="251" w:name="_Toc142809242"/>
      <w:bookmarkStart w:id="252" w:name="_Toc146426955"/>
      <w:bookmarkStart w:id="253" w:name="_Toc146440124"/>
      <w:bookmarkStart w:id="254" w:name="_Toc148849387"/>
      <w:bookmarkStart w:id="255" w:name="_Toc148858324"/>
      <w:bookmarkStart w:id="256" w:name="_Toc151285207"/>
      <w:bookmarkStart w:id="257" w:name="_Toc151785463"/>
      <w:bookmarkStart w:id="258" w:name="_Toc151796496"/>
      <w:bookmarkStart w:id="259" w:name="_Toc519996781"/>
      <w:bookmarkStart w:id="260" w:name="_Toc4564353"/>
      <w:bookmarkStart w:id="261" w:name="_Toc6885603"/>
      <w:r>
        <w:rPr>
          <w:rStyle w:val="CharPartNo"/>
        </w:rPr>
        <w:t>Part 4</w:t>
      </w:r>
      <w:r>
        <w:rPr>
          <w:b w:val="0"/>
        </w:rPr>
        <w:t> </w:t>
      </w:r>
      <w:r>
        <w:t>—</w:t>
      </w:r>
      <w:r>
        <w:rPr>
          <w:b w:val="0"/>
        </w:rPr>
        <w:t> </w:t>
      </w:r>
      <w:r>
        <w:rPr>
          <w:rStyle w:val="CharPartText"/>
        </w:rPr>
        <w:t>Enforcement and offences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851"/>
        </w:tabs>
      </w:pPr>
      <w:r>
        <w:tab/>
        <w:t>[Heading inserted by No. 35 of 2003 s. 101(4).]</w:t>
      </w:r>
    </w:p>
    <w:p>
      <w:pPr>
        <w:pStyle w:val="Heading5"/>
        <w:rPr>
          <w:snapToGrid w:val="0"/>
        </w:rPr>
      </w:pPr>
      <w:bookmarkStart w:id="262" w:name="_Toc131327386"/>
      <w:bookmarkStart w:id="263" w:name="_Toc151285208"/>
      <w:bookmarkStart w:id="264" w:name="_Toc151796497"/>
      <w:r>
        <w:rPr>
          <w:rStyle w:val="CharSectno"/>
        </w:rPr>
        <w:t>19</w:t>
      </w:r>
      <w:r>
        <w:rPr>
          <w:snapToGrid w:val="0"/>
        </w:rPr>
        <w:t>.</w:t>
      </w:r>
      <w:r>
        <w:rPr>
          <w:snapToGrid w:val="0"/>
        </w:rPr>
        <w:tab/>
      </w:r>
      <w:r>
        <w:t>Commission</w:t>
      </w:r>
      <w:r>
        <w:rPr>
          <w:snapToGrid w:val="0"/>
        </w:rPr>
        <w:t xml:space="preserve"> may sue bookmaker for unpaid levy</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65" w:name="_Toc519996782"/>
      <w:bookmarkStart w:id="266" w:name="_Toc4564354"/>
      <w:bookmarkStart w:id="267" w:name="_Toc6885604"/>
      <w:bookmarkStart w:id="268" w:name="_Toc131327387"/>
      <w:bookmarkStart w:id="269" w:name="_Toc151285209"/>
      <w:bookmarkStart w:id="270" w:name="_Toc15179649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71" w:name="_Toc131327388"/>
      <w:bookmarkStart w:id="272" w:name="_Toc151285210"/>
      <w:bookmarkStart w:id="273" w:name="_Toc151796499"/>
      <w:bookmarkStart w:id="274" w:name="_Toc519996784"/>
      <w:bookmarkStart w:id="275" w:name="_Toc4564356"/>
      <w:bookmarkStart w:id="276" w:name="_Toc6885606"/>
      <w:r>
        <w:rPr>
          <w:rStyle w:val="CharSectno"/>
        </w:rPr>
        <w:t>20</w:t>
      </w:r>
      <w:r>
        <w:t>.</w:t>
      </w:r>
      <w:r>
        <w:tab/>
        <w:t>Entry and inspection of race courses and certain other premises</w:t>
      </w:r>
      <w:bookmarkEnd w:id="271"/>
      <w:bookmarkEnd w:id="272"/>
      <w:bookmarkEnd w:id="273"/>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77" w:name="_Toc131327389"/>
      <w:bookmarkStart w:id="278" w:name="_Toc151285211"/>
      <w:bookmarkStart w:id="279" w:name="_Toc151796500"/>
      <w:r>
        <w:rPr>
          <w:rStyle w:val="CharSectno"/>
        </w:rPr>
        <w:t>20A</w:t>
      </w:r>
      <w:r>
        <w:t>.</w:t>
      </w:r>
      <w:r>
        <w:tab/>
        <w:t>Powers of Commission representative</w:t>
      </w:r>
      <w:bookmarkEnd w:id="277"/>
      <w:bookmarkEnd w:id="278"/>
      <w:bookmarkEnd w:id="279"/>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80" w:name="_Toc131327390"/>
      <w:bookmarkStart w:id="281" w:name="_Toc151285212"/>
      <w:bookmarkStart w:id="282" w:name="_Toc151796501"/>
      <w:r>
        <w:rPr>
          <w:rStyle w:val="CharSectno"/>
        </w:rPr>
        <w:t>20B</w:t>
      </w:r>
      <w:r>
        <w:t>.</w:t>
      </w:r>
      <w:r>
        <w:tab/>
        <w:t>Requirement to provide information</w:t>
      </w:r>
      <w:bookmarkEnd w:id="280"/>
      <w:bookmarkEnd w:id="281"/>
      <w:bookmarkEnd w:id="28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83" w:name="_Toc131327391"/>
      <w:bookmarkStart w:id="284" w:name="_Toc151285213"/>
      <w:bookmarkStart w:id="285" w:name="_Toc151796502"/>
      <w:r>
        <w:rPr>
          <w:rStyle w:val="CharSectno"/>
        </w:rPr>
        <w:t>20C</w:t>
      </w:r>
      <w:r>
        <w:t>.</w:t>
      </w:r>
      <w:r>
        <w:tab/>
        <w:t>Complying with information requirements</w:t>
      </w:r>
      <w:bookmarkEnd w:id="283"/>
      <w:bookmarkEnd w:id="284"/>
      <w:bookmarkEnd w:id="285"/>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86" w:name="_Toc131327392"/>
      <w:bookmarkStart w:id="287" w:name="_Toc151285214"/>
      <w:bookmarkStart w:id="288" w:name="_Toc151796503"/>
      <w:r>
        <w:rPr>
          <w:rStyle w:val="CharSectno"/>
        </w:rPr>
        <w:t>21</w:t>
      </w:r>
      <w:r>
        <w:rPr>
          <w:snapToGrid w:val="0"/>
        </w:rPr>
        <w:t>.</w:t>
      </w:r>
      <w:r>
        <w:rPr>
          <w:snapToGrid w:val="0"/>
        </w:rPr>
        <w:tab/>
        <w:t>Prohibition of betting with minors, intoxicated persons, etc.</w:t>
      </w:r>
      <w:bookmarkEnd w:id="274"/>
      <w:bookmarkEnd w:id="275"/>
      <w:bookmarkEnd w:id="276"/>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89" w:name="_Toc519996785"/>
      <w:bookmarkStart w:id="290" w:name="_Toc4564357"/>
      <w:bookmarkStart w:id="291" w:name="_Toc6885607"/>
      <w:bookmarkStart w:id="292" w:name="_Toc131327393"/>
      <w:bookmarkStart w:id="293" w:name="_Toc151285215"/>
      <w:bookmarkStart w:id="294" w:name="_Toc151796504"/>
      <w:r>
        <w:rPr>
          <w:rStyle w:val="CharSectno"/>
        </w:rPr>
        <w:t>22</w:t>
      </w:r>
      <w:r>
        <w:rPr>
          <w:snapToGrid w:val="0"/>
        </w:rPr>
        <w:t>.</w:t>
      </w:r>
      <w:r>
        <w:rPr>
          <w:snapToGrid w:val="0"/>
        </w:rPr>
        <w:tab/>
        <w:t>Offences by minors</w:t>
      </w:r>
      <w:bookmarkEnd w:id="289"/>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295" w:name="_Toc519996786"/>
      <w:bookmarkStart w:id="296" w:name="_Toc4564358"/>
      <w:bookmarkStart w:id="297" w:name="_Toc6885608"/>
      <w:bookmarkStart w:id="298" w:name="_Toc131327394"/>
      <w:bookmarkStart w:id="299" w:name="_Toc151285216"/>
      <w:bookmarkStart w:id="300" w:name="_Toc151796505"/>
      <w:r>
        <w:rPr>
          <w:rStyle w:val="CharSectno"/>
        </w:rPr>
        <w:t>23</w:t>
      </w:r>
      <w:r>
        <w:rPr>
          <w:snapToGrid w:val="0"/>
        </w:rPr>
        <w:t>.</w:t>
      </w:r>
      <w:r>
        <w:rPr>
          <w:snapToGrid w:val="0"/>
        </w:rPr>
        <w:tab/>
        <w:t>Prohibition of betting on races unless in accordance with this Act</w:t>
      </w:r>
      <w:bookmarkEnd w:id="295"/>
      <w:bookmarkEnd w:id="296"/>
      <w:bookmarkEnd w:id="297"/>
      <w:bookmarkEnd w:id="298"/>
      <w:bookmarkEnd w:id="299"/>
      <w:bookmarkEnd w:id="30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301" w:name="_Toc519996787"/>
      <w:bookmarkStart w:id="302" w:name="_Toc4564359"/>
      <w:bookmarkStart w:id="303" w:name="_Toc6885609"/>
      <w:bookmarkStart w:id="304" w:name="_Toc131327395"/>
      <w:bookmarkStart w:id="305" w:name="_Toc151285217"/>
      <w:bookmarkStart w:id="306" w:name="_Toc151796506"/>
      <w:r>
        <w:rPr>
          <w:rStyle w:val="CharSectno"/>
        </w:rPr>
        <w:t>24</w:t>
      </w:r>
      <w:r>
        <w:rPr>
          <w:snapToGrid w:val="0"/>
        </w:rPr>
        <w:t>.</w:t>
      </w:r>
      <w:r>
        <w:rPr>
          <w:snapToGrid w:val="0"/>
        </w:rPr>
        <w:tab/>
        <w:t>Unlawful betting</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w:t>
      </w:r>
    </w:p>
    <w:p>
      <w:pPr>
        <w:pStyle w:val="Heading5"/>
        <w:spacing w:before="180"/>
        <w:rPr>
          <w:snapToGrid w:val="0"/>
        </w:rPr>
      </w:pPr>
      <w:bookmarkStart w:id="307" w:name="_Toc519996788"/>
      <w:bookmarkStart w:id="308" w:name="_Toc4564360"/>
      <w:bookmarkStart w:id="309" w:name="_Toc6885610"/>
      <w:bookmarkStart w:id="310" w:name="_Toc131327396"/>
      <w:bookmarkStart w:id="311" w:name="_Toc151285218"/>
      <w:bookmarkStart w:id="312" w:name="_Toc151796507"/>
      <w:r>
        <w:rPr>
          <w:rStyle w:val="CharSectno"/>
        </w:rPr>
        <w:t>25</w:t>
      </w:r>
      <w:r>
        <w:rPr>
          <w:snapToGrid w:val="0"/>
        </w:rPr>
        <w:t>.</w:t>
      </w:r>
      <w:r>
        <w:rPr>
          <w:snapToGrid w:val="0"/>
        </w:rPr>
        <w:tab/>
        <w:t>Bookmakers may be ordered not to bet</w:t>
      </w:r>
      <w:bookmarkEnd w:id="307"/>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13" w:name="_Toc519996789"/>
      <w:bookmarkStart w:id="314" w:name="_Toc4564361"/>
      <w:bookmarkStart w:id="315" w:name="_Toc6885611"/>
      <w:bookmarkStart w:id="316" w:name="_Toc131327397"/>
      <w:bookmarkStart w:id="317" w:name="_Toc151285219"/>
      <w:bookmarkStart w:id="318" w:name="_Toc151796508"/>
      <w:r>
        <w:rPr>
          <w:rStyle w:val="CharSectno"/>
        </w:rPr>
        <w:t>26</w:t>
      </w:r>
      <w:r>
        <w:rPr>
          <w:snapToGrid w:val="0"/>
        </w:rPr>
        <w:t>.</w:t>
      </w:r>
      <w:r>
        <w:rPr>
          <w:snapToGrid w:val="0"/>
        </w:rPr>
        <w:tab/>
        <w:t>Loitering in street or public place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19" w:name="_Toc519996790"/>
      <w:bookmarkStart w:id="320" w:name="_Toc4564362"/>
      <w:bookmarkStart w:id="321" w:name="_Toc6885612"/>
      <w:bookmarkStart w:id="322" w:name="_Toc131327398"/>
      <w:bookmarkStart w:id="323" w:name="_Toc151285220"/>
      <w:bookmarkStart w:id="324" w:name="_Toc151796509"/>
      <w:r>
        <w:rPr>
          <w:rStyle w:val="CharSectno"/>
        </w:rPr>
        <w:t>26A</w:t>
      </w:r>
      <w:r>
        <w:rPr>
          <w:snapToGrid w:val="0"/>
        </w:rPr>
        <w:t>.</w:t>
      </w:r>
      <w:r>
        <w:rPr>
          <w:snapToGrid w:val="0"/>
        </w:rPr>
        <w:tab/>
        <w:t>Removal of persons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25" w:name="_Toc519996791"/>
      <w:bookmarkStart w:id="326" w:name="_Toc4564363"/>
      <w:bookmarkStart w:id="327" w:name="_Toc6885613"/>
      <w:bookmarkStart w:id="328" w:name="_Toc131327399"/>
      <w:bookmarkStart w:id="329" w:name="_Toc151285221"/>
      <w:bookmarkStart w:id="330" w:name="_Toc151796510"/>
      <w:r>
        <w:rPr>
          <w:rStyle w:val="CharSectno"/>
        </w:rPr>
        <w:t>26B</w:t>
      </w:r>
      <w:r>
        <w:rPr>
          <w:snapToGrid w:val="0"/>
        </w:rPr>
        <w:t>.</w:t>
      </w:r>
      <w:r>
        <w:rPr>
          <w:snapToGrid w:val="0"/>
        </w:rPr>
        <w:tab/>
        <w:t>Penalty for persons warning offenders of the approach of a member of the Police Force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31" w:name="_Toc519996792"/>
      <w:bookmarkStart w:id="332" w:name="_Toc4564364"/>
      <w:bookmarkStart w:id="333" w:name="_Toc6885614"/>
      <w:bookmarkStart w:id="334" w:name="_Toc131327400"/>
      <w:bookmarkStart w:id="335" w:name="_Toc151285222"/>
      <w:bookmarkStart w:id="336" w:name="_Toc151796511"/>
      <w:r>
        <w:rPr>
          <w:rStyle w:val="CharSectno"/>
        </w:rPr>
        <w:t>26C</w:t>
      </w:r>
      <w:r>
        <w:rPr>
          <w:snapToGrid w:val="0"/>
        </w:rPr>
        <w:t>.</w:t>
      </w:r>
      <w:r>
        <w:rPr>
          <w:snapToGrid w:val="0"/>
        </w:rPr>
        <w:tab/>
        <w:t>Unlawful betting on licensed premises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337" w:name="_Toc131327401"/>
      <w:bookmarkStart w:id="338" w:name="_Toc151285223"/>
      <w:bookmarkStart w:id="339" w:name="_Toc151796512"/>
      <w:bookmarkStart w:id="340" w:name="_Toc519996794"/>
      <w:bookmarkStart w:id="341" w:name="_Toc4564366"/>
      <w:bookmarkStart w:id="342" w:name="_Toc6885616"/>
      <w:r>
        <w:rPr>
          <w:rStyle w:val="CharSectno"/>
        </w:rPr>
        <w:t>27</w:t>
      </w:r>
      <w:r>
        <w:t>.</w:t>
      </w:r>
      <w:r>
        <w:tab/>
        <w:t>Penalty on owner or occupier of premises used for unlawful betting</w:t>
      </w:r>
      <w:bookmarkEnd w:id="337"/>
      <w:bookmarkEnd w:id="338"/>
      <w:bookmarkEnd w:id="339"/>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43" w:name="_Toc131327402"/>
      <w:bookmarkStart w:id="344" w:name="_Toc151285224"/>
      <w:bookmarkStart w:id="345" w:name="_Toc151796513"/>
      <w:r>
        <w:rPr>
          <w:rStyle w:val="CharSectno"/>
        </w:rPr>
        <w:t>27A</w:t>
      </w:r>
      <w:r>
        <w:t>.</w:t>
      </w:r>
      <w:r>
        <w:tab/>
        <w:t>Offshore betting</w:t>
      </w:r>
      <w:bookmarkEnd w:id="343"/>
      <w:bookmarkEnd w:id="344"/>
      <w:bookmarkEnd w:id="345"/>
      <w:r>
        <w:t xml:space="preserve"> </w:t>
      </w:r>
    </w:p>
    <w:p>
      <w:pPr>
        <w:pStyle w:val="Subsection"/>
        <w:spacing w:before="120"/>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spacing w:before="120"/>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346" w:name="_Toc131327403"/>
      <w:bookmarkStart w:id="347" w:name="_Toc151285225"/>
      <w:bookmarkStart w:id="348" w:name="_Toc151796514"/>
      <w:r>
        <w:rPr>
          <w:rStyle w:val="CharSectno"/>
        </w:rPr>
        <w:t>28</w:t>
      </w:r>
      <w:r>
        <w:rPr>
          <w:snapToGrid w:val="0"/>
        </w:rPr>
        <w:t>.</w:t>
      </w:r>
      <w:r>
        <w:rPr>
          <w:snapToGrid w:val="0"/>
        </w:rPr>
        <w:tab/>
        <w:t>Forfeiture of betting material and money in certain cases</w:t>
      </w:r>
      <w:bookmarkEnd w:id="340"/>
      <w:bookmarkEnd w:id="341"/>
      <w:bookmarkEnd w:id="342"/>
      <w:bookmarkEnd w:id="346"/>
      <w:bookmarkEnd w:id="347"/>
      <w:bookmarkEnd w:id="348"/>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49" w:name="_Toc519996795"/>
      <w:bookmarkStart w:id="350" w:name="_Toc4564367"/>
      <w:bookmarkStart w:id="351" w:name="_Toc6885617"/>
      <w:bookmarkStart w:id="352" w:name="_Toc131327404"/>
      <w:bookmarkStart w:id="353" w:name="_Toc151285226"/>
      <w:bookmarkStart w:id="354" w:name="_Toc151796515"/>
      <w:r>
        <w:rPr>
          <w:rStyle w:val="CharSectno"/>
        </w:rPr>
        <w:t>28A</w:t>
      </w:r>
      <w:r>
        <w:rPr>
          <w:snapToGrid w:val="0"/>
        </w:rPr>
        <w:t>.</w:t>
      </w:r>
      <w:r>
        <w:rPr>
          <w:snapToGrid w:val="0"/>
        </w:rPr>
        <w:tab/>
        <w:t>Search warrant</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55" w:name="_Toc519996796"/>
      <w:bookmarkStart w:id="356" w:name="_Toc4564368"/>
      <w:bookmarkStart w:id="357" w:name="_Toc6885618"/>
      <w:bookmarkStart w:id="358" w:name="_Toc131327405"/>
      <w:bookmarkStart w:id="359" w:name="_Toc151285227"/>
      <w:bookmarkStart w:id="360" w:name="_Toc151796516"/>
      <w:r>
        <w:rPr>
          <w:rStyle w:val="CharSectno"/>
        </w:rPr>
        <w:t>28B</w:t>
      </w:r>
      <w:r>
        <w:rPr>
          <w:snapToGrid w:val="0"/>
        </w:rPr>
        <w:t>.</w:t>
      </w:r>
      <w:r>
        <w:rPr>
          <w:snapToGrid w:val="0"/>
        </w:rPr>
        <w:tab/>
        <w:t>Prima facie evidence of offence</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61" w:name="_Toc519996797"/>
      <w:bookmarkStart w:id="362" w:name="_Toc4564369"/>
      <w:bookmarkStart w:id="363" w:name="_Toc6885619"/>
      <w:bookmarkStart w:id="364" w:name="_Toc131327406"/>
      <w:bookmarkStart w:id="365" w:name="_Toc151285228"/>
      <w:bookmarkStart w:id="366" w:name="_Toc151796517"/>
      <w:r>
        <w:rPr>
          <w:rStyle w:val="CharSectno"/>
        </w:rPr>
        <w:t>28C</w:t>
      </w:r>
      <w:r>
        <w:rPr>
          <w:snapToGrid w:val="0"/>
        </w:rPr>
        <w:t>.</w:t>
      </w:r>
      <w:r>
        <w:rPr>
          <w:snapToGrid w:val="0"/>
        </w:rPr>
        <w:tab/>
        <w:t>Offences in respect of conducting totalisator agencies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67" w:name="_Toc519996798"/>
      <w:bookmarkStart w:id="368" w:name="_Toc4564370"/>
      <w:bookmarkStart w:id="369" w:name="_Toc6885620"/>
      <w:bookmarkStart w:id="370" w:name="_Toc131327407"/>
      <w:bookmarkStart w:id="371" w:name="_Toc151285229"/>
      <w:bookmarkStart w:id="372" w:name="_Toc151796518"/>
      <w:r>
        <w:rPr>
          <w:rStyle w:val="CharSectno"/>
        </w:rPr>
        <w:t>28D</w:t>
      </w:r>
      <w:r>
        <w:rPr>
          <w:snapToGrid w:val="0"/>
        </w:rPr>
        <w:t>.</w:t>
      </w:r>
      <w:r>
        <w:rPr>
          <w:snapToGrid w:val="0"/>
        </w:rPr>
        <w:tab/>
        <w:t>Penalty for acting as totalisator agent</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73" w:name="_Toc519996799"/>
      <w:bookmarkStart w:id="374" w:name="_Toc4564371"/>
      <w:bookmarkStart w:id="375" w:name="_Toc6885621"/>
      <w:bookmarkStart w:id="376" w:name="_Toc131327408"/>
      <w:bookmarkStart w:id="377" w:name="_Toc151285230"/>
      <w:bookmarkStart w:id="378" w:name="_Toc151796519"/>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73"/>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79" w:name="_Toc519996800"/>
      <w:bookmarkStart w:id="380" w:name="_Toc4564372"/>
      <w:bookmarkStart w:id="381" w:name="_Toc6885622"/>
      <w:bookmarkStart w:id="382" w:name="_Toc131327409"/>
      <w:bookmarkStart w:id="383" w:name="_Toc151285231"/>
      <w:bookmarkStart w:id="384" w:name="_Toc151796520"/>
      <w:r>
        <w:rPr>
          <w:rStyle w:val="CharSectno"/>
        </w:rPr>
        <w:t>28F</w:t>
      </w:r>
      <w:r>
        <w:rPr>
          <w:snapToGrid w:val="0"/>
        </w:rPr>
        <w:t>.</w:t>
      </w:r>
      <w:r>
        <w:rPr>
          <w:snapToGrid w:val="0"/>
        </w:rPr>
        <w:tab/>
        <w:t>Non</w:t>
      </w:r>
      <w:r>
        <w:rPr>
          <w:snapToGrid w:val="0"/>
        </w:rPr>
        <w:noBreakHyphen/>
        <w:t>application of sections 28D and 28E</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385" w:name="_Toc519996801"/>
      <w:bookmarkStart w:id="386" w:name="_Toc4564373"/>
      <w:bookmarkStart w:id="387" w:name="_Toc6885623"/>
      <w:bookmarkStart w:id="388" w:name="_Toc131327410"/>
      <w:bookmarkStart w:id="389" w:name="_Toc151285232"/>
      <w:bookmarkStart w:id="390" w:name="_Toc151796521"/>
      <w:r>
        <w:rPr>
          <w:rStyle w:val="CharSectno"/>
        </w:rPr>
        <w:t>28G</w:t>
      </w:r>
      <w:r>
        <w:rPr>
          <w:snapToGrid w:val="0"/>
        </w:rPr>
        <w:t>.</w:t>
      </w:r>
      <w:r>
        <w:rPr>
          <w:snapToGrid w:val="0"/>
        </w:rPr>
        <w:tab/>
        <w:t>Penalty for accepting bets after closing time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391" w:name="_Toc519996802"/>
      <w:bookmarkStart w:id="392" w:name="_Toc4564374"/>
      <w:bookmarkStart w:id="393" w:name="_Toc6885624"/>
      <w:bookmarkStart w:id="394" w:name="_Toc131327411"/>
      <w:bookmarkStart w:id="395" w:name="_Toc151285233"/>
      <w:bookmarkStart w:id="396" w:name="_Toc151796522"/>
      <w:r>
        <w:rPr>
          <w:rStyle w:val="CharSectno"/>
        </w:rPr>
        <w:t>29</w:t>
      </w:r>
      <w:r>
        <w:t>.</w:t>
      </w:r>
      <w:r>
        <w:tab/>
        <w:t>Penalty for providing credit</w:t>
      </w:r>
      <w:bookmarkEnd w:id="391"/>
      <w:bookmarkEnd w:id="392"/>
      <w:bookmarkEnd w:id="393"/>
      <w:bookmarkEnd w:id="394"/>
      <w:bookmarkEnd w:id="395"/>
      <w:bookmarkEnd w:id="396"/>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397" w:name="_Toc519996803"/>
      <w:bookmarkStart w:id="398" w:name="_Toc4564375"/>
      <w:bookmarkStart w:id="399" w:name="_Toc6885625"/>
      <w:bookmarkStart w:id="400" w:name="_Toc131327412"/>
      <w:bookmarkStart w:id="401" w:name="_Toc151285234"/>
      <w:bookmarkStart w:id="402" w:name="_Toc151796523"/>
      <w:r>
        <w:rPr>
          <w:rStyle w:val="CharSectno"/>
        </w:rPr>
        <w:t>30</w:t>
      </w:r>
      <w:r>
        <w:rPr>
          <w:snapToGrid w:val="0"/>
        </w:rPr>
        <w:t>.</w:t>
      </w:r>
      <w:r>
        <w:rPr>
          <w:snapToGrid w:val="0"/>
        </w:rPr>
        <w:tab/>
        <w:t>General penalty</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03" w:name="_Toc131327413"/>
      <w:bookmarkStart w:id="404" w:name="_Toc151285235"/>
      <w:bookmarkStart w:id="405" w:name="_Toc151796524"/>
      <w:bookmarkStart w:id="406" w:name="_Toc519996805"/>
      <w:bookmarkStart w:id="407" w:name="_Toc4564377"/>
      <w:bookmarkStart w:id="408" w:name="_Toc6885627"/>
      <w:r>
        <w:rPr>
          <w:rStyle w:val="CharSectno"/>
        </w:rPr>
        <w:t>30A</w:t>
      </w:r>
      <w:r>
        <w:rPr>
          <w:bCs/>
        </w:rPr>
        <w:t>.</w:t>
      </w:r>
      <w:r>
        <w:rPr>
          <w:b w:val="0"/>
        </w:rPr>
        <w:tab/>
      </w:r>
      <w:r>
        <w:rPr>
          <w:snapToGrid w:val="0"/>
        </w:rPr>
        <w:t>Offences to be dealt with by a magistrate</w:t>
      </w:r>
      <w:bookmarkEnd w:id="403"/>
      <w:bookmarkEnd w:id="404"/>
      <w:bookmarkEnd w:id="405"/>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09" w:name="_Toc131327414"/>
      <w:bookmarkStart w:id="410" w:name="_Toc151285236"/>
      <w:bookmarkStart w:id="411" w:name="_Toc151796525"/>
      <w:r>
        <w:rPr>
          <w:rStyle w:val="CharSectno"/>
        </w:rPr>
        <w:t>31</w:t>
      </w:r>
      <w:r>
        <w:rPr>
          <w:snapToGrid w:val="0"/>
        </w:rPr>
        <w:t>.</w:t>
      </w:r>
      <w:r>
        <w:rPr>
          <w:snapToGrid w:val="0"/>
        </w:rPr>
        <w:tab/>
        <w:t>Conduct of betting</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12" w:name="_Toc519996806"/>
      <w:bookmarkStart w:id="413" w:name="_Toc4564378"/>
      <w:bookmarkStart w:id="414" w:name="_Toc6885628"/>
      <w:bookmarkStart w:id="415" w:name="_Toc131327415"/>
      <w:bookmarkStart w:id="416" w:name="_Toc151285237"/>
      <w:bookmarkStart w:id="417" w:name="_Toc151796526"/>
      <w:r>
        <w:rPr>
          <w:rStyle w:val="CharSectno"/>
        </w:rPr>
        <w:t>31A</w:t>
      </w:r>
      <w:r>
        <w:rPr>
          <w:snapToGrid w:val="0"/>
        </w:rPr>
        <w:t>.</w:t>
      </w:r>
      <w:r>
        <w:rPr>
          <w:snapToGrid w:val="0"/>
        </w:rPr>
        <w:tab/>
        <w:t>Evidence</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18" w:name="_Toc519996807"/>
      <w:bookmarkStart w:id="419" w:name="_Toc4564379"/>
      <w:bookmarkStart w:id="420" w:name="_Toc6885629"/>
      <w:bookmarkStart w:id="421" w:name="_Toc131327416"/>
      <w:bookmarkStart w:id="422" w:name="_Toc151285238"/>
      <w:bookmarkStart w:id="423" w:name="_Toc151796527"/>
      <w:r>
        <w:rPr>
          <w:rStyle w:val="CharSectno"/>
        </w:rPr>
        <w:t>32</w:t>
      </w:r>
      <w:r>
        <w:rPr>
          <w:snapToGrid w:val="0"/>
        </w:rPr>
        <w:t>.</w:t>
      </w:r>
      <w:r>
        <w:rPr>
          <w:snapToGrid w:val="0"/>
        </w:rPr>
        <w:tab/>
        <w:t>Disputes as to bets with bookmakers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24" w:name="_Toc519996808"/>
      <w:bookmarkStart w:id="425" w:name="_Toc4564380"/>
      <w:bookmarkStart w:id="426" w:name="_Toc6885630"/>
      <w:bookmarkStart w:id="427" w:name="_Toc131327417"/>
      <w:bookmarkStart w:id="428" w:name="_Toc151285239"/>
      <w:bookmarkStart w:id="429" w:name="_Toc151796528"/>
      <w:r>
        <w:rPr>
          <w:rStyle w:val="CharSectno"/>
        </w:rPr>
        <w:t>32A</w:t>
      </w:r>
      <w:r>
        <w:rPr>
          <w:snapToGrid w:val="0"/>
        </w:rPr>
        <w:t>.</w:t>
      </w:r>
      <w:r>
        <w:rPr>
          <w:snapToGrid w:val="0"/>
        </w:rPr>
        <w:tab/>
        <w:t>Disciplinary powers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30" w:name="_Toc89168196"/>
      <w:bookmarkStart w:id="431" w:name="_Toc96937723"/>
      <w:bookmarkStart w:id="432" w:name="_Toc96937831"/>
      <w:bookmarkStart w:id="433" w:name="_Toc101928010"/>
      <w:bookmarkStart w:id="434" w:name="_Toc101928125"/>
      <w:bookmarkStart w:id="435" w:name="_Toc102796976"/>
      <w:bookmarkStart w:id="436" w:name="_Toc122949271"/>
      <w:bookmarkStart w:id="437" w:name="_Toc131327418"/>
      <w:bookmarkStart w:id="438" w:name="_Toc142803299"/>
      <w:bookmarkStart w:id="439" w:name="_Toc142809275"/>
      <w:bookmarkStart w:id="440" w:name="_Toc146426988"/>
      <w:bookmarkStart w:id="441" w:name="_Toc146440157"/>
      <w:bookmarkStart w:id="442" w:name="_Toc148849420"/>
      <w:bookmarkStart w:id="443" w:name="_Toc148858357"/>
      <w:bookmarkStart w:id="444" w:name="_Toc151285240"/>
      <w:bookmarkStart w:id="445" w:name="_Toc151785496"/>
      <w:bookmarkStart w:id="446" w:name="_Toc151796529"/>
      <w:bookmarkStart w:id="447" w:name="_Toc519996809"/>
      <w:bookmarkStart w:id="448" w:name="_Toc4564381"/>
      <w:bookmarkStart w:id="449" w:name="_Toc6885631"/>
      <w:r>
        <w:rPr>
          <w:rStyle w:val="CharPartNo"/>
        </w:rPr>
        <w:t>Part 5</w:t>
      </w:r>
      <w:r>
        <w:rPr>
          <w:b w:val="0"/>
        </w:rPr>
        <w:t> </w:t>
      </w:r>
      <w:r>
        <w:t>—</w:t>
      </w:r>
      <w:r>
        <w:rPr>
          <w:b w:val="0"/>
        </w:rPr>
        <w:t> </w:t>
      </w:r>
      <w:r>
        <w:rPr>
          <w:rStyle w:val="CharPartText"/>
        </w:rPr>
        <w:t>Miscellaneous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tabs>
          <w:tab w:val="left" w:pos="851"/>
        </w:tabs>
      </w:pPr>
      <w:r>
        <w:tab/>
        <w:t>[Heading inserted by No. 35 of 2003 s. 101(5).]</w:t>
      </w:r>
    </w:p>
    <w:p>
      <w:pPr>
        <w:pStyle w:val="Heading5"/>
        <w:rPr>
          <w:snapToGrid w:val="0"/>
        </w:rPr>
      </w:pPr>
      <w:bookmarkStart w:id="450" w:name="_Toc131327419"/>
      <w:bookmarkStart w:id="451" w:name="_Toc151285241"/>
      <w:bookmarkStart w:id="452" w:name="_Toc151796530"/>
      <w:r>
        <w:rPr>
          <w:rStyle w:val="CharSectno"/>
        </w:rPr>
        <w:t>33</w:t>
      </w:r>
      <w:r>
        <w:rPr>
          <w:snapToGrid w:val="0"/>
        </w:rPr>
        <w:t>.</w:t>
      </w:r>
      <w:r>
        <w:rPr>
          <w:snapToGrid w:val="0"/>
        </w:rPr>
        <w:tab/>
        <w:t>Regulations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453" w:name="_Toc131327420"/>
      <w:bookmarkStart w:id="454" w:name="_Toc142803301"/>
      <w:bookmarkStart w:id="455" w:name="_Toc142809277"/>
      <w:bookmarkStart w:id="456" w:name="_Toc146426990"/>
      <w:bookmarkStart w:id="457" w:name="_Toc146440159"/>
      <w:bookmarkStart w:id="458" w:name="_Toc148849422"/>
      <w:bookmarkStart w:id="459" w:name="_Toc148858359"/>
      <w:bookmarkStart w:id="460" w:name="_Toc151285242"/>
      <w:bookmarkStart w:id="461" w:name="_Toc151785498"/>
      <w:bookmarkStart w:id="462" w:name="_Toc151796531"/>
      <w:r>
        <w:rPr>
          <w:rStyle w:val="CharSchNo"/>
        </w:rPr>
        <w:t>Schedule 3</w:t>
      </w:r>
      <w:r>
        <w:t xml:space="preserve"> — </w:t>
      </w:r>
      <w:r>
        <w:rPr>
          <w:rStyle w:val="CharSchText"/>
        </w:rPr>
        <w:t>Requirements for licensing of a body corporate and continuation of the licence of a body corporate</w:t>
      </w:r>
      <w:bookmarkEnd w:id="453"/>
      <w:bookmarkEnd w:id="454"/>
      <w:bookmarkEnd w:id="455"/>
      <w:bookmarkEnd w:id="456"/>
      <w:bookmarkEnd w:id="457"/>
      <w:bookmarkEnd w:id="458"/>
      <w:bookmarkEnd w:id="459"/>
      <w:bookmarkEnd w:id="460"/>
      <w:bookmarkEnd w:id="461"/>
      <w:bookmarkEnd w:id="462"/>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463" w:name="_Toc89168199"/>
      <w:bookmarkStart w:id="464" w:name="_Toc96937726"/>
      <w:bookmarkStart w:id="465" w:name="_Toc96937834"/>
      <w:bookmarkStart w:id="466" w:name="_Toc101928013"/>
      <w:bookmarkStart w:id="467" w:name="_Toc101928128"/>
      <w:bookmarkStart w:id="468" w:name="_Toc102796979"/>
      <w:bookmarkStart w:id="469" w:name="_Toc122949274"/>
      <w:bookmarkStart w:id="470" w:name="_Toc131327421"/>
      <w:bookmarkStart w:id="471" w:name="_Toc142803302"/>
      <w:bookmarkStart w:id="472" w:name="_Toc142809278"/>
      <w:bookmarkStart w:id="473" w:name="_Toc146426991"/>
      <w:bookmarkStart w:id="474" w:name="_Toc146440160"/>
      <w:bookmarkStart w:id="475" w:name="_Toc148849423"/>
      <w:bookmarkStart w:id="476" w:name="_Toc148858360"/>
      <w:bookmarkStart w:id="477" w:name="_Toc151285243"/>
      <w:bookmarkStart w:id="478" w:name="_Toc151785499"/>
      <w:bookmarkStart w:id="479" w:name="_Toc151796532"/>
      <w:r>
        <w:t>Notes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nSubsection"/>
        <w:rPr>
          <w:snapToGrid w:val="0"/>
        </w:rPr>
      </w:pPr>
      <w:r>
        <w:rPr>
          <w:snapToGrid w:val="0"/>
          <w:vertAlign w:val="superscript"/>
        </w:rPr>
        <w:t>1</w:t>
      </w:r>
      <w:r>
        <w:rPr>
          <w:snapToGrid w:val="0"/>
        </w:rPr>
        <w:tab/>
        <w:t>This</w:t>
      </w:r>
      <w:del w:id="480" w:author="svcMRProcess" w:date="2020-02-13T23:36:00Z">
        <w:r>
          <w:rPr>
            <w:snapToGrid w:val="0"/>
          </w:rPr>
          <w:delText xml:space="preserve"> reprint </w:delText>
        </w:r>
      </w:del>
      <w:ins w:id="481" w:author="svcMRProcess" w:date="2020-02-13T23:36:00Z">
        <w:r>
          <w:rPr>
            <w:snapToGrid w:val="0"/>
          </w:rPr>
          <w:t> </w:t>
        </w:r>
      </w:ins>
      <w:r>
        <w:rPr>
          <w:snapToGrid w:val="0"/>
        </w:rPr>
        <w:t>is a compilation</w:t>
      </w:r>
      <w:del w:id="482" w:author="svcMRProcess" w:date="2020-02-13T23:36:00Z">
        <w:r>
          <w:rPr>
            <w:snapToGrid w:val="0"/>
          </w:rPr>
          <w:delText xml:space="preserve"> as at 20 October 2006</w:delText>
        </w:r>
      </w:del>
      <w:r>
        <w:rPr>
          <w:snapToGrid w:val="0"/>
        </w:rPr>
        <w:t xml:space="preserve"> of the </w:t>
      </w:r>
      <w:r>
        <w:rPr>
          <w:i/>
          <w:noProof/>
          <w:snapToGrid w:val="0"/>
        </w:rPr>
        <w:t>Betting Control Act 1954</w:t>
      </w:r>
      <w:r>
        <w:rPr>
          <w:snapToGrid w:val="0"/>
        </w:rPr>
        <w:t xml:space="preserve"> and includes the amendments made by the other written laws referred to in the following table.</w:t>
      </w:r>
      <w:ins w:id="483" w:author="svcMRProcess" w:date="2020-02-13T23:36:00Z">
        <w:r>
          <w:rPr>
            <w:snapToGrid w:val="0"/>
            <w:vertAlign w:val="superscript"/>
          </w:rPr>
          <w:t> 1a</w:t>
        </w:r>
      </w:ins>
      <w:r>
        <w:rPr>
          <w:snapToGrid w:val="0"/>
        </w:rPr>
        <w:t xml:space="preserve">  The table also contains information about any reprint.</w:t>
      </w:r>
    </w:p>
    <w:p>
      <w:pPr>
        <w:pStyle w:val="nHeading3"/>
        <w:rPr>
          <w:snapToGrid w:val="0"/>
        </w:rPr>
      </w:pPr>
      <w:bookmarkStart w:id="484" w:name="_Toc151285244"/>
      <w:bookmarkStart w:id="485" w:name="_Toc151796533"/>
      <w:r>
        <w:rPr>
          <w:snapToGrid w:val="0"/>
        </w:rPr>
        <w:t>Compilation table</w:t>
      </w:r>
      <w:bookmarkEnd w:id="484"/>
      <w:bookmarkEnd w:id="4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w:t>
            </w:r>
            <w:del w:id="486" w:author="svcMRProcess" w:date="2020-02-13T23:36:00Z">
              <w:r>
                <w:rPr>
                  <w:i/>
                  <w:sz w:val="19"/>
                </w:rPr>
                <w:delText>Related Provisions</w:delText>
              </w:r>
            </w:del>
            <w:ins w:id="487" w:author="svcMRProcess" w:date="2020-02-13T23:36:00Z">
              <w:r>
                <w:rPr>
                  <w:i/>
                  <w:sz w:val="19"/>
                </w:rPr>
                <w:t>related provisions</w:t>
              </w:r>
            </w:ins>
            <w:r>
              <w:rPr>
                <w:i/>
                <w:sz w:val="19"/>
              </w:rPr>
              <w:t xml:space="preserve">)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bl>
    <w:p>
      <w:pPr>
        <w:pStyle w:val="nSubsection"/>
        <w:rPr>
          <w:ins w:id="488" w:author="svcMRProcess" w:date="2020-02-13T23:36:00Z"/>
          <w:snapToGrid w:val="0"/>
        </w:rPr>
      </w:pPr>
      <w:ins w:id="489" w:author="svcMRProcess" w:date="2020-02-13T23: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0" w:author="svcMRProcess" w:date="2020-02-13T23:36:00Z"/>
          <w:snapToGrid w:val="0"/>
        </w:rPr>
      </w:pPr>
      <w:bookmarkStart w:id="491" w:name="_Toc534778309"/>
      <w:bookmarkStart w:id="492" w:name="_Toc7405063"/>
      <w:bookmarkStart w:id="493" w:name="_Toc151796534"/>
      <w:ins w:id="494" w:author="svcMRProcess" w:date="2020-02-13T23:36:00Z">
        <w:r>
          <w:rPr>
            <w:snapToGrid w:val="0"/>
          </w:rPr>
          <w:t>Provisions that have not come into operation</w:t>
        </w:r>
        <w:bookmarkEnd w:id="491"/>
        <w:bookmarkEnd w:id="492"/>
        <w:bookmarkEnd w:id="493"/>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495" w:author="svcMRProcess" w:date="2020-02-13T23:36:00Z"/>
        </w:trPr>
        <w:tc>
          <w:tcPr>
            <w:tcW w:w="2223" w:type="dxa"/>
          </w:tcPr>
          <w:p>
            <w:pPr>
              <w:pStyle w:val="nTable"/>
              <w:rPr>
                <w:ins w:id="496" w:author="svcMRProcess" w:date="2020-02-13T23:36:00Z"/>
                <w:b/>
                <w:snapToGrid w:val="0"/>
                <w:sz w:val="19"/>
                <w:lang w:val="en-US"/>
              </w:rPr>
            </w:pPr>
            <w:ins w:id="497" w:author="svcMRProcess" w:date="2020-02-13T23:36:00Z">
              <w:r>
                <w:rPr>
                  <w:b/>
                  <w:snapToGrid w:val="0"/>
                  <w:sz w:val="19"/>
                  <w:lang w:val="en-US"/>
                </w:rPr>
                <w:t>Short title</w:t>
              </w:r>
            </w:ins>
          </w:p>
        </w:tc>
        <w:tc>
          <w:tcPr>
            <w:tcW w:w="1118" w:type="dxa"/>
            <w:gridSpan w:val="2"/>
          </w:tcPr>
          <w:p>
            <w:pPr>
              <w:pStyle w:val="nTable"/>
              <w:rPr>
                <w:ins w:id="498" w:author="svcMRProcess" w:date="2020-02-13T23:36:00Z"/>
                <w:b/>
                <w:snapToGrid w:val="0"/>
                <w:sz w:val="19"/>
                <w:lang w:val="en-US"/>
              </w:rPr>
            </w:pPr>
            <w:ins w:id="499" w:author="svcMRProcess" w:date="2020-02-13T23:36:00Z">
              <w:r>
                <w:rPr>
                  <w:b/>
                  <w:snapToGrid w:val="0"/>
                  <w:sz w:val="19"/>
                  <w:lang w:val="en-US"/>
                </w:rPr>
                <w:t>Number and Year</w:t>
              </w:r>
            </w:ins>
          </w:p>
        </w:tc>
        <w:tc>
          <w:tcPr>
            <w:tcW w:w="1195" w:type="dxa"/>
            <w:gridSpan w:val="2"/>
          </w:tcPr>
          <w:p>
            <w:pPr>
              <w:pStyle w:val="nTable"/>
              <w:rPr>
                <w:ins w:id="500" w:author="svcMRProcess" w:date="2020-02-13T23:36:00Z"/>
                <w:b/>
                <w:snapToGrid w:val="0"/>
                <w:sz w:val="19"/>
                <w:lang w:val="en-US"/>
              </w:rPr>
            </w:pPr>
            <w:ins w:id="501" w:author="svcMRProcess" w:date="2020-02-13T23:36:00Z">
              <w:r>
                <w:rPr>
                  <w:b/>
                  <w:snapToGrid w:val="0"/>
                  <w:sz w:val="19"/>
                  <w:lang w:val="en-US"/>
                </w:rPr>
                <w:t>Assent</w:t>
              </w:r>
            </w:ins>
          </w:p>
        </w:tc>
        <w:tc>
          <w:tcPr>
            <w:tcW w:w="2552" w:type="dxa"/>
          </w:tcPr>
          <w:p>
            <w:pPr>
              <w:pStyle w:val="nTable"/>
              <w:rPr>
                <w:ins w:id="502" w:author="svcMRProcess" w:date="2020-02-13T23:36:00Z"/>
                <w:b/>
                <w:snapToGrid w:val="0"/>
                <w:sz w:val="19"/>
                <w:lang w:val="en-US"/>
              </w:rPr>
            </w:pPr>
            <w:ins w:id="503" w:author="svcMRProcess" w:date="2020-02-13T23:36: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504" w:author="svcMRProcess" w:date="2020-02-13T23:36:00Z"/>
        </w:trPr>
        <w:tc>
          <w:tcPr>
            <w:tcW w:w="2268" w:type="dxa"/>
            <w:gridSpan w:val="2"/>
            <w:tcBorders>
              <w:bottom w:val="single" w:sz="4" w:space="0" w:color="auto"/>
            </w:tcBorders>
          </w:tcPr>
          <w:p>
            <w:pPr>
              <w:pStyle w:val="nTable"/>
              <w:spacing w:after="40"/>
              <w:rPr>
                <w:ins w:id="505" w:author="svcMRProcess" w:date="2020-02-13T23:36:00Z"/>
                <w:i/>
                <w:iCs/>
                <w:snapToGrid w:val="0"/>
                <w:sz w:val="19"/>
                <w:lang w:val="en-US"/>
              </w:rPr>
            </w:pPr>
            <w:ins w:id="506" w:author="svcMRProcess" w:date="2020-02-13T23:36: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ins>
          </w:p>
        </w:tc>
        <w:tc>
          <w:tcPr>
            <w:tcW w:w="1134" w:type="dxa"/>
            <w:gridSpan w:val="2"/>
            <w:tcBorders>
              <w:bottom w:val="single" w:sz="4" w:space="0" w:color="auto"/>
            </w:tcBorders>
          </w:tcPr>
          <w:p>
            <w:pPr>
              <w:pStyle w:val="nTable"/>
              <w:spacing w:after="40"/>
              <w:rPr>
                <w:ins w:id="507" w:author="svcMRProcess" w:date="2020-02-13T23:36:00Z"/>
                <w:snapToGrid w:val="0"/>
                <w:sz w:val="19"/>
                <w:lang w:val="en-US"/>
              </w:rPr>
            </w:pPr>
            <w:ins w:id="508" w:author="svcMRProcess" w:date="2020-02-13T23:36:00Z">
              <w:r>
                <w:rPr>
                  <w:snapToGrid w:val="0"/>
                  <w:sz w:val="19"/>
                  <w:lang w:val="en-US"/>
                </w:rPr>
                <w:t>59 of 2006</w:t>
              </w:r>
            </w:ins>
          </w:p>
        </w:tc>
        <w:tc>
          <w:tcPr>
            <w:tcW w:w="1134" w:type="dxa"/>
            <w:tcBorders>
              <w:bottom w:val="single" w:sz="4" w:space="0" w:color="auto"/>
            </w:tcBorders>
          </w:tcPr>
          <w:p>
            <w:pPr>
              <w:pStyle w:val="nTable"/>
              <w:spacing w:after="40"/>
              <w:rPr>
                <w:ins w:id="509" w:author="svcMRProcess" w:date="2020-02-13T23:36:00Z"/>
                <w:snapToGrid w:val="0"/>
                <w:sz w:val="19"/>
                <w:lang w:val="en-US"/>
              </w:rPr>
            </w:pPr>
            <w:ins w:id="510" w:author="svcMRProcess" w:date="2020-02-13T23:36:00Z">
              <w:r>
                <w:rPr>
                  <w:snapToGrid w:val="0"/>
                  <w:sz w:val="19"/>
                  <w:lang w:val="en-US"/>
                </w:rPr>
                <w:t>16 Nov 2006</w:t>
              </w:r>
            </w:ins>
          </w:p>
        </w:tc>
        <w:tc>
          <w:tcPr>
            <w:tcW w:w="2552" w:type="dxa"/>
            <w:tcBorders>
              <w:bottom w:val="single" w:sz="4" w:space="0" w:color="auto"/>
            </w:tcBorders>
          </w:tcPr>
          <w:p>
            <w:pPr>
              <w:pStyle w:val="nTable"/>
              <w:spacing w:after="40"/>
              <w:rPr>
                <w:ins w:id="511" w:author="svcMRProcess" w:date="2020-02-13T23:36:00Z"/>
                <w:snapToGrid w:val="0"/>
                <w:sz w:val="19"/>
                <w:lang w:val="en-US"/>
              </w:rPr>
            </w:pPr>
            <w:ins w:id="512" w:author="svcMRProcess" w:date="2020-02-13T23:36:00Z">
              <w:r>
                <w:rPr>
                  <w:snapToGrid w:val="0"/>
                  <w:sz w:val="19"/>
                  <w:lang w:val="en-US"/>
                </w:rPr>
                <w:t>To be proclaimed (see s. 2)</w:t>
              </w:r>
            </w:ins>
          </w:p>
        </w:tc>
      </w:tr>
    </w:tbl>
    <w:p>
      <w:pPr>
        <w:pStyle w:val="nSubsection"/>
        <w:rPr>
          <w:ins w:id="513" w:author="svcMRProcess" w:date="2020-02-13T23:36: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14" w:name="_Toc20219085"/>
      <w:bookmarkStart w:id="515" w:name="_Toc20710666"/>
      <w:bookmarkStart w:id="516" w:name="_Toc22632825"/>
      <w:bookmarkStart w:id="517" w:name="_Toc44146574"/>
      <w:r>
        <w:rPr>
          <w:rStyle w:val="CharSectno"/>
        </w:rPr>
        <w:t>19</w:t>
      </w:r>
      <w:r>
        <w:t>.</w:t>
      </w:r>
      <w:r>
        <w:tab/>
        <w:t>Power to amend regulations</w:t>
      </w:r>
      <w:bookmarkEnd w:id="514"/>
      <w:bookmarkEnd w:id="515"/>
      <w:bookmarkEnd w:id="516"/>
      <w:bookmarkEnd w:id="51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18" w:name="_Toc44146659"/>
      <w:r>
        <w:t>104.</w:t>
      </w:r>
      <w:r>
        <w:tab/>
        <w:t>Intention</w:t>
      </w:r>
      <w:bookmarkEnd w:id="518"/>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19" w:name="_Toc44146660"/>
      <w:r>
        <w:t>105.</w:t>
      </w:r>
      <w:r>
        <w:tab/>
        <w:t>Definitions</w:t>
      </w:r>
      <w:bookmarkEnd w:id="519"/>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b/>
          <w:bCs/>
        </w:rPr>
        <w:t>BCB</w:t>
      </w:r>
      <w:r>
        <w:rPr>
          <w:b/>
        </w:rPr>
        <w:t>”</w:t>
      </w:r>
      <w:r>
        <w:t xml:space="preserve"> means the Betting Control Board established under the BC Act;</w:t>
      </w:r>
    </w:p>
    <w:p>
      <w:pPr>
        <w:pStyle w:val="nzDefstart"/>
      </w:pPr>
      <w:r>
        <w:rPr>
          <w:b/>
        </w:rPr>
        <w:tab/>
        <w:t>“</w:t>
      </w:r>
      <w:r>
        <w:rPr>
          <w:b/>
          <w:bCs/>
        </w:rPr>
        <w:t>BC Act</w:t>
      </w:r>
      <w:r>
        <w:rPr>
          <w:b/>
        </w:rPr>
        <w:t>”</w:t>
      </w:r>
      <w:r>
        <w:t xml:space="preserve"> means the </w:t>
      </w:r>
      <w:r>
        <w:rPr>
          <w:i/>
        </w:rPr>
        <w:t>Betting Control Act 1954</w:t>
      </w:r>
      <w:r>
        <w:t>;</w:t>
      </w:r>
    </w:p>
    <w:p>
      <w:pPr>
        <w:pStyle w:val="nzDefstart"/>
      </w:pPr>
      <w:r>
        <w:rPr>
          <w:b/>
        </w:rPr>
        <w:tab/>
        <w:t>“</w:t>
      </w:r>
      <w:r>
        <w:rPr>
          <w:b/>
          <w:bCs/>
        </w:rPr>
        <w:t>Commission</w:t>
      </w:r>
      <w:r>
        <w:rPr>
          <w:b/>
        </w:rPr>
        <w:t>”</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20" w:name="_Toc44146661"/>
      <w:r>
        <w:t>106.</w:t>
      </w:r>
      <w:r>
        <w:tab/>
        <w:t>Transfer of assets and liabilities to Commission</w:t>
      </w:r>
      <w:bookmarkEnd w:id="520"/>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21" w:name="_Toc44146662"/>
      <w:r>
        <w:t>107.</w:t>
      </w:r>
      <w:r>
        <w:tab/>
        <w:t>Western Australian Betting Control Board Fund</w:t>
      </w:r>
      <w:bookmarkEnd w:id="521"/>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22" w:name="_Toc44146663"/>
      <w:r>
        <w:t>108.</w:t>
      </w:r>
      <w:r>
        <w:tab/>
        <w:t>Exemption from State taxation</w:t>
      </w:r>
      <w:bookmarkEnd w:id="522"/>
    </w:p>
    <w:p>
      <w:pPr>
        <w:pStyle w:val="nzMiscellaneousBody"/>
        <w:tabs>
          <w:tab w:val="left" w:pos="851"/>
          <w:tab w:val="left" w:pos="1454"/>
        </w:tabs>
        <w:ind w:left="1468" w:hanging="901"/>
      </w:pPr>
      <w:r>
        <w:tab/>
        <w:t>(1)</w:t>
      </w:r>
      <w:r>
        <w:tab/>
        <w:t xml:space="preserve">In this section — </w:t>
      </w:r>
    </w:p>
    <w:p>
      <w:pPr>
        <w:pStyle w:val="nzDefstart"/>
      </w:pPr>
      <w:r>
        <w:rPr>
          <w:b/>
        </w:rPr>
        <w:tab/>
        <w:t>“</w:t>
      </w:r>
      <w:r>
        <w:rPr>
          <w:b/>
          <w:bCs/>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23" w:name="_Toc44146664"/>
      <w:r>
        <w:t>109.</w:t>
      </w:r>
      <w:r>
        <w:tab/>
        <w:t>Saving</w:t>
      </w:r>
      <w:bookmarkEnd w:id="523"/>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24" w:name="_Toc44146665"/>
      <w:r>
        <w:t>110.</w:t>
      </w:r>
      <w:r>
        <w:tab/>
        <w:t>Annual report for part of a year</w:t>
      </w:r>
      <w:bookmarkEnd w:id="524"/>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25" w:name="_Toc44146666"/>
      <w:r>
        <w:t>111.</w:t>
      </w:r>
      <w:r>
        <w:tab/>
        <w:t>Completion of things commenced</w:t>
      </w:r>
      <w:bookmarkEnd w:id="525"/>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26" w:name="_Toc44146667"/>
      <w:r>
        <w:t>112.</w:t>
      </w:r>
      <w:r>
        <w:tab/>
        <w:t>Continuing effect of things done</w:t>
      </w:r>
      <w:bookmarkEnd w:id="526"/>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27" w:name="_Toc44146668"/>
      <w:r>
        <w:t>113.</w:t>
      </w:r>
      <w:r>
        <w:tab/>
        <w:t>Immunity to continue</w:t>
      </w:r>
      <w:bookmarkEnd w:id="527"/>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28" w:name="_Toc44146669"/>
      <w:r>
        <w:t>114.</w:t>
      </w:r>
      <w:r>
        <w:tab/>
        <w:t>Agreements and instruments generally</w:t>
      </w:r>
      <w:bookmarkEnd w:id="528"/>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29" w:name="_Toc44146670"/>
      <w:r>
        <w:t>115.</w:t>
      </w:r>
      <w:r>
        <w:tab/>
        <w:t>BCB to perform necessary transitional functions</w:t>
      </w:r>
      <w:bookmarkEnd w:id="529"/>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ins w:id="530" w:author="svcMRProcess" w:date="2020-02-13T23:36:00Z"/>
          <w:snapToGrid w:val="0"/>
        </w:rPr>
      </w:pPr>
      <w:ins w:id="531" w:author="svcMRProcess" w:date="2020-02-13T23:36:00Z">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 </w:t>
        </w:r>
        <w:r>
          <w:rPr>
            <w:snapToGrid w:val="0"/>
          </w:rPr>
          <w:t>had not come into operation.  They read as follows:</w:t>
        </w:r>
      </w:ins>
    </w:p>
    <w:p>
      <w:pPr>
        <w:pStyle w:val="MiscOpen"/>
        <w:rPr>
          <w:ins w:id="532" w:author="svcMRProcess" w:date="2020-02-13T23:36:00Z"/>
          <w:snapToGrid w:val="0"/>
        </w:rPr>
      </w:pPr>
      <w:ins w:id="533" w:author="svcMRProcess" w:date="2020-02-13T23:36:00Z">
        <w:r>
          <w:rPr>
            <w:snapToGrid w:val="0"/>
          </w:rPr>
          <w:t>“</w:t>
        </w:r>
      </w:ins>
    </w:p>
    <w:p>
      <w:pPr>
        <w:pStyle w:val="nzHeading5"/>
        <w:rPr>
          <w:ins w:id="534" w:author="svcMRProcess" w:date="2020-02-13T23:36:00Z"/>
        </w:rPr>
      </w:pPr>
      <w:bookmarkStart w:id="535" w:name="_Toc479499719"/>
      <w:bookmarkStart w:id="536" w:name="_Toc69117580"/>
      <w:bookmarkStart w:id="537" w:name="_Toc81374662"/>
      <w:bookmarkStart w:id="538" w:name="_Toc116106850"/>
      <w:bookmarkStart w:id="539" w:name="_Toc150762081"/>
      <w:ins w:id="540" w:author="svcMRProcess" w:date="2020-02-13T23:36:00Z">
        <w:r>
          <w:rPr>
            <w:rStyle w:val="CharSectno"/>
          </w:rPr>
          <w:t>73</w:t>
        </w:r>
        <w:r>
          <w:t>.</w:t>
        </w:r>
        <w:r>
          <w:tab/>
          <w:t>Various Acts amended</w:t>
        </w:r>
        <w:bookmarkEnd w:id="535"/>
        <w:bookmarkEnd w:id="536"/>
        <w:r>
          <w:t xml:space="preserve"> (Sch. 1)</w:t>
        </w:r>
        <w:bookmarkEnd w:id="537"/>
        <w:bookmarkEnd w:id="538"/>
        <w:bookmarkEnd w:id="539"/>
      </w:ins>
    </w:p>
    <w:p>
      <w:pPr>
        <w:pStyle w:val="nzSubsection"/>
        <w:rPr>
          <w:ins w:id="541" w:author="svcMRProcess" w:date="2020-02-13T23:36:00Z"/>
        </w:rPr>
      </w:pPr>
      <w:ins w:id="542" w:author="svcMRProcess" w:date="2020-02-13T23:36:00Z">
        <w:r>
          <w:tab/>
        </w:r>
        <w:r>
          <w:tab/>
          <w:t>Each Act listed in Schedule 1 is amended as set out in that Schedule immediately below the short title of the Act.</w:t>
        </w:r>
      </w:ins>
    </w:p>
    <w:p>
      <w:pPr>
        <w:pStyle w:val="MiscClose"/>
        <w:rPr>
          <w:ins w:id="543" w:author="svcMRProcess" w:date="2020-02-13T23:36:00Z"/>
        </w:rPr>
      </w:pPr>
      <w:ins w:id="544" w:author="svcMRProcess" w:date="2020-02-13T23:36:00Z">
        <w:r>
          <w:t>”.</w:t>
        </w:r>
      </w:ins>
    </w:p>
    <w:p>
      <w:pPr>
        <w:pStyle w:val="nzSubsection"/>
        <w:rPr>
          <w:ins w:id="545" w:author="svcMRProcess" w:date="2020-02-13T23:36:00Z"/>
        </w:rPr>
      </w:pPr>
      <w:ins w:id="546" w:author="svcMRProcess" w:date="2020-02-13T23:36:00Z">
        <w:r>
          <w:t>Schedule 1 item 1 reads as follows:</w:t>
        </w:r>
      </w:ins>
    </w:p>
    <w:p>
      <w:pPr>
        <w:pStyle w:val="MiscOpen"/>
        <w:rPr>
          <w:ins w:id="547" w:author="svcMRProcess" w:date="2020-02-13T23:36:00Z"/>
          <w:snapToGrid w:val="0"/>
        </w:rPr>
      </w:pPr>
      <w:ins w:id="548" w:author="svcMRProcess" w:date="2020-02-13T23:36:00Z">
        <w:r>
          <w:rPr>
            <w:snapToGrid w:val="0"/>
          </w:rPr>
          <w:t>“</w:t>
        </w:r>
      </w:ins>
    </w:p>
    <w:p>
      <w:pPr>
        <w:pStyle w:val="nzHeading2"/>
        <w:rPr>
          <w:ins w:id="549" w:author="svcMRProcess" w:date="2020-02-13T23:36:00Z"/>
        </w:rPr>
      </w:pPr>
      <w:bookmarkStart w:id="550" w:name="_Toc116126352"/>
      <w:bookmarkStart w:id="551" w:name="_Toc116181883"/>
      <w:bookmarkStart w:id="552" w:name="_Toc116182399"/>
      <w:bookmarkStart w:id="553" w:name="_Toc116186493"/>
      <w:bookmarkStart w:id="554" w:name="_Toc116188388"/>
      <w:bookmarkStart w:id="555" w:name="_Toc116296007"/>
      <w:bookmarkStart w:id="556" w:name="_Toc116358516"/>
      <w:bookmarkStart w:id="557" w:name="_Toc116449709"/>
      <w:bookmarkStart w:id="558" w:name="_Toc116718964"/>
      <w:bookmarkStart w:id="559" w:name="_Toc117677216"/>
      <w:bookmarkStart w:id="560" w:name="_Toc117677351"/>
      <w:bookmarkStart w:id="561" w:name="_Toc117677471"/>
      <w:bookmarkStart w:id="562" w:name="_Toc118266132"/>
      <w:bookmarkStart w:id="563" w:name="_Toc118266252"/>
      <w:bookmarkStart w:id="564" w:name="_Toc118266372"/>
      <w:bookmarkStart w:id="565" w:name="_Toc118271706"/>
      <w:bookmarkStart w:id="566" w:name="_Toc118278468"/>
      <w:bookmarkStart w:id="567" w:name="_Toc118279005"/>
      <w:bookmarkStart w:id="568" w:name="_Toc118279118"/>
      <w:bookmarkStart w:id="569" w:name="_Toc118280789"/>
      <w:bookmarkStart w:id="570" w:name="_Toc118282630"/>
      <w:bookmarkStart w:id="571" w:name="_Toc119125731"/>
      <w:bookmarkStart w:id="572" w:name="_Toc119126774"/>
      <w:bookmarkStart w:id="573" w:name="_Toc119126891"/>
      <w:bookmarkStart w:id="574" w:name="_Toc119127572"/>
      <w:bookmarkStart w:id="575" w:name="_Toc119916293"/>
      <w:bookmarkStart w:id="576" w:name="_Toc120069419"/>
      <w:bookmarkStart w:id="577" w:name="_Toc120069799"/>
      <w:bookmarkStart w:id="578" w:name="_Toc120069953"/>
      <w:bookmarkStart w:id="579" w:name="_Toc120074554"/>
      <w:bookmarkStart w:id="580" w:name="_Toc120075014"/>
      <w:bookmarkStart w:id="581" w:name="_Toc120347185"/>
      <w:bookmarkStart w:id="582" w:name="_Toc120347357"/>
      <w:bookmarkStart w:id="583" w:name="_Toc120348971"/>
      <w:bookmarkStart w:id="584" w:name="_Toc120354514"/>
      <w:bookmarkStart w:id="585" w:name="_Toc120421707"/>
      <w:bookmarkStart w:id="586" w:name="_Toc120443181"/>
      <w:bookmarkStart w:id="587" w:name="_Toc131970206"/>
      <w:bookmarkStart w:id="588" w:name="_Toc149981120"/>
      <w:bookmarkStart w:id="589" w:name="_Toc149981253"/>
      <w:bookmarkStart w:id="590" w:name="_Toc149981386"/>
      <w:bookmarkStart w:id="591" w:name="_Toc149981519"/>
      <w:bookmarkStart w:id="592" w:name="_Toc150762082"/>
      <w:ins w:id="593" w:author="svcMRProcess" w:date="2020-02-13T23:36:00Z">
        <w:r>
          <w:rPr>
            <w:rStyle w:val="CharSchNo"/>
          </w:rPr>
          <w:t>Schedule 1</w:t>
        </w:r>
        <w:r>
          <w:rPr>
            <w:rStyle w:val="CharSDivNo"/>
          </w:rPr>
          <w:t> </w:t>
        </w:r>
        <w:r>
          <w:t>—</w:t>
        </w:r>
        <w:bookmarkStart w:id="594" w:name="AutoSch"/>
        <w:bookmarkEnd w:id="594"/>
        <w:r>
          <w:rPr>
            <w:rStyle w:val="CharSDivText"/>
          </w:rPr>
          <w:t> </w:t>
        </w:r>
        <w:r>
          <w:rPr>
            <w:rStyle w:val="CharSchText"/>
          </w:rPr>
          <w:t>Various Acts amended</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ins>
    </w:p>
    <w:p>
      <w:pPr>
        <w:pStyle w:val="nzMiscellaneousBody"/>
        <w:jc w:val="right"/>
        <w:rPr>
          <w:ins w:id="595" w:author="svcMRProcess" w:date="2020-02-13T23:36:00Z"/>
        </w:rPr>
      </w:pPr>
      <w:ins w:id="596" w:author="svcMRProcess" w:date="2020-02-13T23:36:00Z">
        <w:r>
          <w:t>[s. 73]</w:t>
        </w:r>
      </w:ins>
    </w:p>
    <w:p>
      <w:pPr>
        <w:pStyle w:val="nzHeading5"/>
        <w:rPr>
          <w:ins w:id="597" w:author="svcMRProcess" w:date="2020-02-13T23:36:00Z"/>
        </w:rPr>
      </w:pPr>
      <w:bookmarkStart w:id="598" w:name="_Toc150762083"/>
      <w:ins w:id="599" w:author="svcMRProcess" w:date="2020-02-13T23:36:00Z">
        <w:r>
          <w:rPr>
            <w:rStyle w:val="CharSClsNo"/>
          </w:rPr>
          <w:t>1</w:t>
        </w:r>
        <w:r>
          <w:t>.</w:t>
        </w:r>
        <w:r>
          <w:tab/>
        </w:r>
        <w:bookmarkStart w:id="600" w:name="_Toc116106854"/>
        <w:r>
          <w:rPr>
            <w:i/>
          </w:rPr>
          <w:t>Betting Control Act 1954</w:t>
        </w:r>
        <w:bookmarkEnd w:id="598"/>
        <w:bookmarkEnd w:id="600"/>
      </w:ins>
    </w:p>
    <w:tbl>
      <w:tblPr>
        <w:tblW w:w="576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ins w:id="601" w:author="svcMRProcess" w:date="2020-02-13T23:36:00Z"/>
        </w:trPr>
        <w:tc>
          <w:tcPr>
            <w:tcW w:w="1320" w:type="dxa"/>
          </w:tcPr>
          <w:p>
            <w:pPr>
              <w:pStyle w:val="nzTable"/>
              <w:rPr>
                <w:ins w:id="602" w:author="svcMRProcess" w:date="2020-02-13T23:36:00Z"/>
              </w:rPr>
            </w:pPr>
            <w:ins w:id="603" w:author="svcMRProcess" w:date="2020-02-13T23:36:00Z">
              <w:r>
                <w:t>s. 31A(3)</w:t>
              </w:r>
            </w:ins>
          </w:p>
        </w:tc>
        <w:tc>
          <w:tcPr>
            <w:tcW w:w="4440" w:type="dxa"/>
          </w:tcPr>
          <w:p>
            <w:pPr>
              <w:pStyle w:val="nzTable"/>
              <w:rPr>
                <w:ins w:id="604" w:author="svcMRProcess" w:date="2020-02-13T23:36:00Z"/>
              </w:rPr>
            </w:pPr>
            <w:ins w:id="605" w:author="svcMRProcess" w:date="2020-02-13T23:36:00Z">
              <w:r>
                <w:t>Delete “and take before a justice”.</w:t>
              </w:r>
            </w:ins>
          </w:p>
        </w:tc>
      </w:tr>
    </w:tbl>
    <w:p>
      <w:pPr>
        <w:pStyle w:val="MiscClose"/>
        <w:rPr>
          <w:ins w:id="606" w:author="svcMRProcess" w:date="2020-02-13T23:36:00Z"/>
        </w:rPr>
      </w:pPr>
      <w:ins w:id="607" w:author="svcMRProcess" w:date="2020-02-13T23:36:00Z">
        <w:r>
          <w:t>”.</w:t>
        </w:r>
      </w:ins>
    </w:p>
    <w:p/>
    <w:p>
      <w:pPr>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pPr>
    </w:p>
    <w:p/>
    <w:sectPr>
      <w:headerReference w:type="even" r:id="rId29"/>
      <w:headerReference w:type="default" r:id="rId30"/>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29100</Words>
  <Characters>133864</Characters>
  <Application>Microsoft Office Word</Application>
  <DocSecurity>0</DocSecurity>
  <Lines>3617</Lines>
  <Paragraphs>1752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08-a0-02 - 08-b0-03</dc:title>
  <dc:subject/>
  <dc:creator/>
  <cp:keywords/>
  <dc:description/>
  <cp:lastModifiedBy>svcMRProcess</cp:lastModifiedBy>
  <cp:revision>2</cp:revision>
  <cp:lastPrinted>2006-11-01T04:54:00Z</cp:lastPrinted>
  <dcterms:created xsi:type="dcterms:W3CDTF">2020-02-13T15:36:00Z</dcterms:created>
  <dcterms:modified xsi:type="dcterms:W3CDTF">2020-02-13T15:36:00Z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2006-10-19T16:00:00Z</vt:filetime>
  </property>
  <property fmtid="{D5CDD505-2E9C-101B-9397-08002B2CF9AE}" pid="7" name="ReprintNo">
    <vt:lpwstr>8</vt:lpwstr>
  </property>
  <property fmtid="{D5CDD505-2E9C-101B-9397-08002B2CF9AE}" pid="8" name="FromSuffix">
    <vt:lpwstr>08-a0-02</vt:lpwstr>
  </property>
  <property fmtid="{D5CDD505-2E9C-101B-9397-08002B2CF9AE}" pid="9" name="FromAsAtDate">
    <vt:lpwstr>20 Oct 2006</vt:lpwstr>
  </property>
  <property fmtid="{D5CDD505-2E9C-101B-9397-08002B2CF9AE}" pid="10" name="ToSuffix">
    <vt:lpwstr>08-b0-03</vt:lpwstr>
  </property>
  <property fmtid="{D5CDD505-2E9C-101B-9397-08002B2CF9AE}" pid="11" name="ToAsAtDate">
    <vt:lpwstr>16 Nov 2006</vt:lpwstr>
  </property>
</Properties>
</file>