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16 Jun 2009</w:t>
      </w:r>
      <w:r>
        <w:fldChar w:fldCharType="end"/>
      </w:r>
      <w:r>
        <w:t xml:space="preserve">, </w:t>
      </w:r>
      <w:r>
        <w:fldChar w:fldCharType="begin"/>
      </w:r>
      <w:r>
        <w:instrText xml:space="preserve"> DocProperty FromSuffix </w:instrText>
      </w:r>
      <w:r>
        <w:fldChar w:fldCharType="separate"/>
      </w:r>
      <w:r>
        <w:t>00-e0-02</w:t>
      </w:r>
      <w:r>
        <w:fldChar w:fldCharType="end"/>
      </w:r>
      <w:r>
        <w:t>] and [</w:t>
      </w:r>
      <w:r>
        <w:fldChar w:fldCharType="begin"/>
      </w:r>
      <w:r>
        <w:instrText xml:space="preserve"> DocProperty ToAsAtDate</w:instrText>
      </w:r>
      <w:r>
        <w:fldChar w:fldCharType="separate"/>
      </w:r>
      <w:r>
        <w:t>01 Jul 2009</w:t>
      </w:r>
      <w:r>
        <w:fldChar w:fldCharType="end"/>
      </w:r>
      <w:r>
        <w:t xml:space="preserve">, </w:t>
      </w:r>
      <w:r>
        <w:fldChar w:fldCharType="begin"/>
      </w:r>
      <w:r>
        <w:instrText xml:space="preserve"> DocProperty ToSuffix</w:instrText>
      </w:r>
      <w:r>
        <w:fldChar w:fldCharType="separate"/>
      </w:r>
      <w:r>
        <w:t>00-f0-02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0" w:name="_Toc185141089"/>
      <w:bookmarkStart w:id="1" w:name="_Toc185171677"/>
      <w:bookmarkStart w:id="2" w:name="_Toc185174280"/>
      <w:bookmarkStart w:id="3" w:name="_Toc185176434"/>
      <w:bookmarkStart w:id="4" w:name="_Toc185179859"/>
      <w:bookmarkStart w:id="5" w:name="_Toc185182293"/>
      <w:bookmarkStart w:id="6" w:name="_Toc185183151"/>
      <w:bookmarkStart w:id="7" w:name="_Toc185186090"/>
      <w:bookmarkStart w:id="8" w:name="_Toc185186953"/>
      <w:bookmarkStart w:id="9" w:name="_Toc185216404"/>
      <w:bookmarkStart w:id="10" w:name="_Toc185217017"/>
      <w:bookmarkStart w:id="11" w:name="_Toc185217959"/>
      <w:bookmarkStart w:id="12" w:name="_Toc185218841"/>
      <w:bookmarkStart w:id="13" w:name="_Toc185219353"/>
      <w:bookmarkStart w:id="14" w:name="_Toc185219711"/>
      <w:bookmarkStart w:id="15" w:name="_Toc185222649"/>
      <w:bookmarkStart w:id="16" w:name="_Toc185223720"/>
      <w:bookmarkStart w:id="17" w:name="_Toc185224078"/>
      <w:bookmarkStart w:id="18" w:name="_Toc185224436"/>
      <w:bookmarkStart w:id="19" w:name="_Toc185224794"/>
      <w:bookmarkStart w:id="20" w:name="_Toc185225154"/>
      <w:bookmarkStart w:id="21" w:name="_Toc185225536"/>
      <w:bookmarkStart w:id="22" w:name="_Toc185232193"/>
      <w:bookmarkStart w:id="23" w:name="_Toc185232551"/>
      <w:bookmarkStart w:id="24" w:name="_Toc185936121"/>
      <w:bookmarkStart w:id="25" w:name="_Toc186862545"/>
      <w:bookmarkStart w:id="26" w:name="_Toc186864433"/>
      <w:bookmarkStart w:id="27" w:name="_Toc186875447"/>
      <w:bookmarkStart w:id="28" w:name="_Toc186875519"/>
      <w:bookmarkStart w:id="29" w:name="_Toc191959431"/>
      <w:bookmarkStart w:id="30" w:name="_Toc191983342"/>
      <w:bookmarkStart w:id="31" w:name="_Toc202345769"/>
      <w:bookmarkStart w:id="32" w:name="_Toc220466617"/>
      <w:bookmarkStart w:id="33" w:name="_Toc233693696"/>
      <w:r>
        <w:rPr>
          <w:rStyle w:val="CharPartNo"/>
        </w:rPr>
        <w:t>P</w:t>
      </w:r>
      <w:bookmarkStart w:id="34" w:name="_GoBack"/>
      <w:bookmarkEnd w:id="34"/>
      <w:r>
        <w:rPr>
          <w:rStyle w:val="CharPartNo"/>
        </w:rPr>
        <w:t>art 1</w:t>
      </w:r>
      <w:r>
        <w:t> —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pStyle w:val="Heading3"/>
      </w:pPr>
      <w:bookmarkStart w:id="35" w:name="_Toc185141090"/>
      <w:bookmarkStart w:id="36" w:name="_Toc185171678"/>
      <w:bookmarkStart w:id="37" w:name="_Toc185174281"/>
      <w:bookmarkStart w:id="38" w:name="_Toc185176435"/>
      <w:bookmarkStart w:id="39" w:name="_Toc185179860"/>
      <w:bookmarkStart w:id="40" w:name="_Toc185182294"/>
      <w:bookmarkStart w:id="41" w:name="_Toc185183152"/>
      <w:bookmarkStart w:id="42" w:name="_Toc185186091"/>
      <w:bookmarkStart w:id="43" w:name="_Toc185186954"/>
      <w:bookmarkStart w:id="44" w:name="_Toc185216405"/>
      <w:bookmarkStart w:id="45" w:name="_Toc185217018"/>
      <w:bookmarkStart w:id="46" w:name="_Toc185217960"/>
      <w:bookmarkStart w:id="47" w:name="_Toc185218842"/>
      <w:bookmarkStart w:id="48" w:name="_Toc185219354"/>
      <w:bookmarkStart w:id="49" w:name="_Toc185219712"/>
      <w:bookmarkStart w:id="50" w:name="_Toc185222650"/>
      <w:bookmarkStart w:id="51" w:name="_Toc185223721"/>
      <w:bookmarkStart w:id="52" w:name="_Toc185224079"/>
      <w:bookmarkStart w:id="53" w:name="_Toc185224437"/>
      <w:bookmarkStart w:id="54" w:name="_Toc185224795"/>
      <w:bookmarkStart w:id="55" w:name="_Toc185225155"/>
      <w:bookmarkStart w:id="56" w:name="_Toc185225537"/>
      <w:bookmarkStart w:id="57" w:name="_Toc185232194"/>
      <w:bookmarkStart w:id="58" w:name="_Toc185232552"/>
      <w:bookmarkStart w:id="59" w:name="_Toc185936122"/>
      <w:bookmarkStart w:id="60" w:name="_Toc186862546"/>
      <w:bookmarkStart w:id="61" w:name="_Toc186864434"/>
      <w:bookmarkStart w:id="62" w:name="_Toc186875448"/>
      <w:bookmarkStart w:id="63" w:name="_Toc186875520"/>
      <w:bookmarkStart w:id="64" w:name="_Toc191959432"/>
      <w:bookmarkStart w:id="65" w:name="_Toc191983343"/>
      <w:bookmarkStart w:id="66" w:name="_Toc202345770"/>
      <w:bookmarkStart w:id="67" w:name="_Toc220466618"/>
      <w:bookmarkStart w:id="68" w:name="_Toc233693697"/>
      <w:r>
        <w:rPr>
          <w:rStyle w:val="CharDivNo"/>
        </w:rPr>
        <w:t>Division 1</w:t>
      </w:r>
      <w:r>
        <w:t> — </w:t>
      </w:r>
      <w:r>
        <w:rPr>
          <w:rStyle w:val="CharDivText"/>
        </w:rPr>
        <w:t>Introductory</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pPr>
        <w:pStyle w:val="Heading5"/>
      </w:pPr>
      <w:bookmarkStart w:id="69" w:name="_Toc185936123"/>
      <w:bookmarkStart w:id="70" w:name="_Toc233693698"/>
      <w:bookmarkStart w:id="71" w:name="_Toc220466619"/>
      <w:r>
        <w:rPr>
          <w:rStyle w:val="CharSectno"/>
        </w:rPr>
        <w:t>1</w:t>
      </w:r>
      <w:r>
        <w:t>.</w:t>
      </w:r>
      <w:r>
        <w:tab/>
        <w:t>Citation</w:t>
      </w:r>
      <w:bookmarkEnd w:id="69"/>
      <w:bookmarkEnd w:id="70"/>
      <w:bookmarkEnd w:id="71"/>
    </w:p>
    <w:p>
      <w:pPr>
        <w:pStyle w:val="Subsection"/>
      </w:pPr>
      <w:r>
        <w:tab/>
      </w:r>
      <w:r>
        <w:tab/>
      </w:r>
      <w:bookmarkStart w:id="72" w:name="Start_Cursor"/>
      <w:bookmarkEnd w:id="72"/>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3" w:name="_Toc185936124"/>
      <w:bookmarkStart w:id="74" w:name="_Toc233693699"/>
      <w:bookmarkStart w:id="75" w:name="_Toc220466620"/>
      <w:r>
        <w:rPr>
          <w:rStyle w:val="CharSectno"/>
        </w:rPr>
        <w:t>2</w:t>
      </w:r>
      <w:r>
        <w:rPr>
          <w:spacing w:val="-2"/>
        </w:rPr>
        <w:t>.</w:t>
      </w:r>
      <w:r>
        <w:rPr>
          <w:spacing w:val="-2"/>
        </w:rPr>
        <w:tab/>
        <w:t>Commencement</w:t>
      </w:r>
      <w:bookmarkEnd w:id="73"/>
      <w:bookmarkEnd w:id="74"/>
      <w:bookmarkEnd w:id="75"/>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6" w:name="_Toc233693700"/>
      <w:bookmarkStart w:id="77" w:name="_Toc220466621"/>
      <w:r>
        <w:rPr>
          <w:rStyle w:val="CharSectno"/>
        </w:rPr>
        <w:t>3</w:t>
      </w:r>
      <w:r>
        <w:t>.</w:t>
      </w:r>
      <w:r>
        <w:tab/>
        <w:t>Main objects</w:t>
      </w:r>
      <w:bookmarkEnd w:id="76"/>
      <w:bookmarkEnd w:id="77"/>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8" w:name="_Toc191959436"/>
      <w:bookmarkStart w:id="79" w:name="_Toc191983347"/>
      <w:bookmarkStart w:id="80" w:name="_Toc202345774"/>
      <w:bookmarkStart w:id="81" w:name="_Toc220466622"/>
      <w:bookmarkStart w:id="82" w:name="_Toc233693701"/>
      <w:r>
        <w:rPr>
          <w:rStyle w:val="CharDivNo"/>
        </w:rPr>
        <w:t>Division 2</w:t>
      </w:r>
      <w:r>
        <w:t> — </w:t>
      </w:r>
      <w:r>
        <w:rPr>
          <w:rStyle w:val="CharDivText"/>
        </w:rPr>
        <w:t>Interpretation</w:t>
      </w:r>
      <w:bookmarkEnd w:id="78"/>
      <w:bookmarkEnd w:id="79"/>
      <w:bookmarkEnd w:id="80"/>
      <w:bookmarkEnd w:id="81"/>
      <w:bookmarkEnd w:id="82"/>
    </w:p>
    <w:p>
      <w:pPr>
        <w:pStyle w:val="Heading5"/>
      </w:pPr>
      <w:bookmarkStart w:id="83" w:name="_Toc233693702"/>
      <w:bookmarkStart w:id="84" w:name="_Toc220466623"/>
      <w:r>
        <w:rPr>
          <w:rStyle w:val="CharSectno"/>
        </w:rPr>
        <w:t>4</w:t>
      </w:r>
      <w:r>
        <w:t>.</w:t>
      </w:r>
      <w:r>
        <w:tab/>
        <w:t>Terms used in these regulations</w:t>
      </w:r>
      <w:bookmarkEnd w:id="83"/>
      <w:bookmarkEnd w:id="84"/>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rPr>
          <w:color w:val="000000"/>
        </w:rPr>
      </w:pPr>
      <w:r>
        <w:rPr>
          <w:b/>
          <w:color w:val="000000"/>
        </w:rPr>
        <w:tab/>
      </w:r>
      <w:r>
        <w:rPr>
          <w:rStyle w:val="CharDefText"/>
          <w:color w:val="000000"/>
        </w:rPr>
        <w:t>ADG Code</w:t>
      </w:r>
      <w:r>
        <w:rPr>
          <w:color w:val="000000"/>
        </w:rPr>
        <w:t xml:space="preserve"> means the </w:t>
      </w:r>
      <w:r>
        <w:rPr>
          <w:i/>
          <w:iCs/>
          <w:color w:val="000000"/>
        </w:rPr>
        <w:t>Australian Code for the Transport of Dangerous Goods by Road and Rail</w:t>
      </w:r>
      <w:r>
        <w:rPr>
          <w:color w:val="000000"/>
        </w:rPr>
        <w:t>, Seventh edition, 2007, published by the Commonwealth of Australia (ISBN 1 921168 57 9);</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rPr>
          <w:b/>
        </w:rPr>
        <w:tab/>
      </w:r>
      <w:r>
        <w:rPr>
          <w:rStyle w:val="CharDefText"/>
        </w:rPr>
        <w:t>combination</w:t>
      </w:r>
      <w:r>
        <w:t xml:space="preserve">, in relation to road vehicles, means a group of road vehicles consisting of — </w:t>
      </w:r>
    </w:p>
    <w:p>
      <w:pPr>
        <w:pStyle w:val="Defpara"/>
      </w:pPr>
      <w:r>
        <w:tab/>
        <w:t>(a)</w:t>
      </w:r>
      <w:r>
        <w:tab/>
        <w:t>a prime mover and 2 or more trailers; or</w:t>
      </w:r>
    </w:p>
    <w:p>
      <w:pPr>
        <w:pStyle w:val="Defpara"/>
      </w:pPr>
      <w:r>
        <w:tab/>
        <w:t>(b)</w:t>
      </w:r>
      <w:r>
        <w:tab/>
        <w:t>a rigid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the competent authority, of a participating jurisdiction, for road transport or for rail transport (or a representative of a competent authority);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kgs;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rPr>
          <w:b/>
        </w:rPr>
        <w:tab/>
      </w:r>
      <w:r>
        <w:rPr>
          <w:rStyle w:val="CharDefText"/>
        </w:rPr>
        <w:t>package</w:t>
      </w:r>
      <w:r>
        <w:t xml:space="preserve"> has the meaning given in regulation 51(1);</w:t>
      </w:r>
    </w:p>
    <w:p>
      <w:pPr>
        <w:pStyle w:val="Defstart"/>
      </w:pPr>
      <w:r>
        <w:rPr>
          <w:b/>
        </w:rPr>
        <w:tab/>
      </w:r>
      <w:r>
        <w:rPr>
          <w:rStyle w:val="CharDefText"/>
        </w:rPr>
        <w:t>packaging</w:t>
      </w:r>
      <w:r>
        <w:t xml:space="preserve"> has the meaning given in regulation 51(2);</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rPr>
          <w:color w:val="000000"/>
        </w:rPr>
      </w:pPr>
      <w:r>
        <w:rPr>
          <w:color w:val="000000"/>
        </w:rPr>
        <w:tab/>
        <w:t>(a)</w:t>
      </w:r>
      <w:r>
        <w:rPr>
          <w:color w:val="000000"/>
        </w:rPr>
        <w:tab/>
        <w:t>a road vehicle, including an articulated vehicle; or</w:t>
      </w:r>
    </w:p>
    <w:p>
      <w:pPr>
        <w:pStyle w:val="Defpara"/>
      </w:pPr>
      <w:r>
        <w:tab/>
        <w:t>(b)</w:t>
      </w:r>
      <w:r>
        <w:tab/>
        <w:t>a unit of rolling stock.</w:t>
      </w:r>
    </w:p>
    <w:p>
      <w:pPr>
        <w:pStyle w:val="Footnotesection"/>
      </w:pPr>
      <w:r>
        <w:tab/>
        <w:t>[Regulation 4 amended in Gazette 30 Jun 2008 p. 3130.]</w:t>
      </w:r>
    </w:p>
    <w:p>
      <w:pPr>
        <w:pStyle w:val="Heading5"/>
      </w:pPr>
      <w:bookmarkStart w:id="85" w:name="_Toc233693703"/>
      <w:bookmarkStart w:id="86" w:name="_Toc220466624"/>
      <w:r>
        <w:rPr>
          <w:rStyle w:val="CharSectno"/>
        </w:rPr>
        <w:t>5</w:t>
      </w:r>
      <w:r>
        <w:t>.</w:t>
      </w:r>
      <w:r>
        <w:tab/>
        <w:t>Examples and notes in these regulations</w:t>
      </w:r>
      <w:bookmarkEnd w:id="85"/>
      <w:bookmarkEnd w:id="8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87" w:name="_Toc233693704"/>
      <w:bookmarkStart w:id="88" w:name="_Toc220466625"/>
      <w:r>
        <w:rPr>
          <w:rStyle w:val="CharSectno"/>
        </w:rPr>
        <w:t>6</w:t>
      </w:r>
      <w:r>
        <w:t>.</w:t>
      </w:r>
      <w:r>
        <w:tab/>
        <w:t>References to determinations, exemptions, approvals and licences</w:t>
      </w:r>
      <w:bookmarkEnd w:id="87"/>
      <w:bookmarkEnd w:id="88"/>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9" w:name="_Toc233693705"/>
      <w:bookmarkStart w:id="90" w:name="_Toc220466626"/>
      <w:r>
        <w:rPr>
          <w:rStyle w:val="CharSectno"/>
        </w:rPr>
        <w:t>7</w:t>
      </w:r>
      <w:r>
        <w:t>.</w:t>
      </w:r>
      <w:r>
        <w:tab/>
        <w:t>References to variation of determinations, exemptions, approvals and licences</w:t>
      </w:r>
      <w:bookmarkEnd w:id="89"/>
      <w:bookmarkEnd w:id="90"/>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91" w:name="_Toc233693706"/>
      <w:bookmarkStart w:id="92" w:name="_Toc220466627"/>
      <w:r>
        <w:rPr>
          <w:rStyle w:val="CharSectno"/>
        </w:rPr>
        <w:t>8</w:t>
      </w:r>
      <w:r>
        <w:t>.</w:t>
      </w:r>
      <w:r>
        <w:tab/>
        <w:t>Inconsistency between these regulations and documents adopted</w:t>
      </w:r>
      <w:bookmarkEnd w:id="91"/>
      <w:bookmarkEnd w:id="92"/>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93" w:name="_Toc233693707"/>
      <w:bookmarkStart w:id="94" w:name="_Toc220466628"/>
      <w:r>
        <w:rPr>
          <w:rStyle w:val="CharSectno"/>
        </w:rPr>
        <w:t>9</w:t>
      </w:r>
      <w:r>
        <w:t>.</w:t>
      </w:r>
      <w:r>
        <w:tab/>
        <w:t>References in the ADG Code</w:t>
      </w:r>
      <w:bookmarkEnd w:id="93"/>
      <w:bookmarkEnd w:id="94"/>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95" w:name="_Toc191959443"/>
      <w:bookmarkStart w:id="96" w:name="_Toc191983354"/>
      <w:bookmarkStart w:id="97" w:name="_Toc202345781"/>
      <w:bookmarkStart w:id="98" w:name="_Toc220466629"/>
      <w:bookmarkStart w:id="99" w:name="_Toc233693708"/>
      <w:r>
        <w:rPr>
          <w:rStyle w:val="CharDivNo"/>
        </w:rPr>
        <w:t>Division 3</w:t>
      </w:r>
      <w:r>
        <w:t> — </w:t>
      </w:r>
      <w:r>
        <w:rPr>
          <w:rStyle w:val="CharDivText"/>
        </w:rPr>
        <w:t>Application</w:t>
      </w:r>
      <w:bookmarkEnd w:id="95"/>
      <w:bookmarkEnd w:id="96"/>
      <w:bookmarkEnd w:id="97"/>
      <w:bookmarkEnd w:id="98"/>
      <w:bookmarkEnd w:id="99"/>
    </w:p>
    <w:p>
      <w:pPr>
        <w:pStyle w:val="Heading5"/>
        <w:rPr>
          <w:color w:val="000000"/>
        </w:rPr>
      </w:pPr>
      <w:bookmarkStart w:id="100" w:name="_Toc233693709"/>
      <w:bookmarkStart w:id="101" w:name="_Toc220466630"/>
      <w:r>
        <w:rPr>
          <w:rStyle w:val="CharSectno"/>
          <w:color w:val="000000"/>
        </w:rPr>
        <w:t>10</w:t>
      </w:r>
      <w:r>
        <w:rPr>
          <w:color w:val="000000"/>
        </w:rPr>
        <w:t>.</w:t>
      </w:r>
      <w:r>
        <w:rPr>
          <w:color w:val="000000"/>
        </w:rPr>
        <w:tab/>
        <w:t>Application to transport by road and rail</w:t>
      </w:r>
      <w:bookmarkEnd w:id="100"/>
      <w:bookmarkEnd w:id="101"/>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02" w:name="_Toc233693710"/>
      <w:bookmarkStart w:id="103" w:name="_Toc220466631"/>
      <w:r>
        <w:rPr>
          <w:rStyle w:val="CharSectno"/>
        </w:rPr>
        <w:t>11</w:t>
      </w:r>
      <w:r>
        <w:t>.</w:t>
      </w:r>
      <w:r>
        <w:tab/>
        <w:t>Dangerous situations</w:t>
      </w:r>
      <w:bookmarkEnd w:id="102"/>
      <w:bookmarkEnd w:id="103"/>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04" w:name="_Toc233693711"/>
      <w:bookmarkStart w:id="105" w:name="_Toc220466632"/>
      <w:r>
        <w:rPr>
          <w:rStyle w:val="CharSectno"/>
          <w:color w:val="000000"/>
        </w:rPr>
        <w:t>12</w:t>
      </w:r>
      <w:r>
        <w:rPr>
          <w:color w:val="000000"/>
        </w:rPr>
        <w:t>.</w:t>
      </w:r>
      <w:r>
        <w:rPr>
          <w:color w:val="000000"/>
        </w:rPr>
        <w:tab/>
        <w:t>Exempt transport</w:t>
      </w:r>
      <w:bookmarkEnd w:id="104"/>
      <w:bookmarkEnd w:id="105"/>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rPr>
          <w:color w:val="000000"/>
        </w:rPr>
      </w:pPr>
      <w:r>
        <w:rPr>
          <w:color w:val="000000"/>
        </w:rPr>
        <w:tab/>
        <w:t>(b)</w:t>
      </w:r>
      <w:r>
        <w:rPr>
          <w:color w:val="000000"/>
        </w:rPr>
        <w:tab/>
        <w:t>the load does not contain dangerous goods in a receptacle with a capacity of more than 500 L or kgs;</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Heading5"/>
      </w:pPr>
      <w:bookmarkStart w:id="106" w:name="_Toc233693712"/>
      <w:bookmarkStart w:id="107" w:name="_Toc220466633"/>
      <w:r>
        <w:rPr>
          <w:rStyle w:val="CharSectno"/>
        </w:rPr>
        <w:t>13</w:t>
      </w:r>
      <w:r>
        <w:t>.</w:t>
      </w:r>
      <w:r>
        <w:tab/>
        <w:t>Further</w:t>
      </w:r>
      <w:r>
        <w:rPr>
          <w:color w:val="000000"/>
        </w:rPr>
        <w:t xml:space="preserve"> exemptions</w:t>
      </w:r>
      <w:bookmarkEnd w:id="106"/>
      <w:bookmarkEnd w:id="10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08" w:name="_Toc191959448"/>
      <w:bookmarkStart w:id="109" w:name="_Toc191983359"/>
      <w:bookmarkStart w:id="110" w:name="_Toc202345786"/>
      <w:bookmarkStart w:id="111" w:name="_Toc220466634"/>
      <w:bookmarkStart w:id="112" w:name="_Toc233693713"/>
      <w:r>
        <w:rPr>
          <w:rStyle w:val="CharDivNo"/>
        </w:rPr>
        <w:t>Division 4</w:t>
      </w:r>
      <w:r>
        <w:t> — </w:t>
      </w:r>
      <w:r>
        <w:rPr>
          <w:rStyle w:val="CharDivText"/>
        </w:rPr>
        <w:t>Instruction and training</w:t>
      </w:r>
      <w:bookmarkEnd w:id="108"/>
      <w:bookmarkEnd w:id="109"/>
      <w:bookmarkEnd w:id="110"/>
      <w:bookmarkEnd w:id="111"/>
      <w:bookmarkEnd w:id="112"/>
    </w:p>
    <w:p>
      <w:pPr>
        <w:pStyle w:val="Heading5"/>
        <w:rPr>
          <w:color w:val="000000"/>
        </w:rPr>
      </w:pPr>
      <w:bookmarkStart w:id="113" w:name="_Toc233693714"/>
      <w:bookmarkStart w:id="114" w:name="_Toc220466635"/>
      <w:r>
        <w:rPr>
          <w:rStyle w:val="CharSectno"/>
          <w:color w:val="000000"/>
        </w:rPr>
        <w:t>14</w:t>
      </w:r>
      <w:r>
        <w:rPr>
          <w:color w:val="000000"/>
        </w:rPr>
        <w:t>.</w:t>
      </w:r>
      <w:r>
        <w:rPr>
          <w:color w:val="000000"/>
        </w:rPr>
        <w:tab/>
        <w:t>Instruction and training</w:t>
      </w:r>
      <w:bookmarkEnd w:id="113"/>
      <w:bookmarkEnd w:id="114"/>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15" w:name="_Toc233693715"/>
      <w:bookmarkStart w:id="116" w:name="_Toc220466636"/>
      <w:r>
        <w:rPr>
          <w:rStyle w:val="CharSectno"/>
          <w:color w:val="000000"/>
        </w:rPr>
        <w:t>15</w:t>
      </w:r>
      <w:r>
        <w:rPr>
          <w:color w:val="000000"/>
        </w:rPr>
        <w:t>.</w:t>
      </w:r>
      <w:r>
        <w:rPr>
          <w:color w:val="000000"/>
        </w:rPr>
        <w:tab/>
        <w:t>Approvals — tests and training courses for drivers</w:t>
      </w:r>
      <w:bookmarkEnd w:id="115"/>
      <w:bookmarkEnd w:id="116"/>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17" w:name="_Toc191959451"/>
      <w:bookmarkStart w:id="118" w:name="_Toc191983362"/>
      <w:bookmarkStart w:id="119" w:name="_Toc202345789"/>
      <w:bookmarkStart w:id="120" w:name="_Toc220466637"/>
      <w:bookmarkStart w:id="121" w:name="_Toc233693716"/>
      <w:r>
        <w:rPr>
          <w:rStyle w:val="CharDivNo"/>
        </w:rPr>
        <w:t>Division 5</w:t>
      </w:r>
      <w:r>
        <w:t> — </w:t>
      </w:r>
      <w:r>
        <w:rPr>
          <w:rStyle w:val="CharDivText"/>
        </w:rPr>
        <w:t>Goods suspected of being dangerous goods</w:t>
      </w:r>
      <w:bookmarkEnd w:id="117"/>
      <w:bookmarkEnd w:id="118"/>
      <w:bookmarkEnd w:id="119"/>
      <w:bookmarkEnd w:id="120"/>
      <w:bookmarkEnd w:id="121"/>
    </w:p>
    <w:p>
      <w:pPr>
        <w:pStyle w:val="Heading5"/>
      </w:pPr>
      <w:bookmarkStart w:id="122" w:name="_Toc233693717"/>
      <w:bookmarkStart w:id="123" w:name="_Toc220466638"/>
      <w:r>
        <w:rPr>
          <w:rStyle w:val="CharSectno"/>
        </w:rPr>
        <w:t>16</w:t>
      </w:r>
      <w:r>
        <w:t>.</w:t>
      </w:r>
      <w:r>
        <w:tab/>
      </w:r>
      <w:r>
        <w:rPr>
          <w:color w:val="000000"/>
        </w:rPr>
        <w:t>Goods suspected of being dangerous goods</w:t>
      </w:r>
      <w:bookmarkEnd w:id="122"/>
      <w:bookmarkEnd w:id="12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w:t>
      </w:r>
    </w:p>
    <w:p>
      <w:pPr>
        <w:pStyle w:val="Penstart"/>
        <w:rPr>
          <w:color w:val="000000"/>
        </w:rPr>
      </w:pPr>
      <w:r>
        <w:rPr>
          <w:color w:val="000000"/>
        </w:rPr>
        <w:tab/>
        <w:t>Penalty: a fine of $10 000.</w:t>
      </w:r>
    </w:p>
    <w:p>
      <w:pPr>
        <w:pStyle w:val="Heading3"/>
      </w:pPr>
      <w:bookmarkStart w:id="124" w:name="_Toc191959453"/>
      <w:bookmarkStart w:id="125" w:name="_Toc191983364"/>
      <w:bookmarkStart w:id="126" w:name="_Toc202345791"/>
      <w:bookmarkStart w:id="127" w:name="_Toc220466639"/>
      <w:bookmarkStart w:id="128" w:name="_Toc233693718"/>
      <w:r>
        <w:rPr>
          <w:rStyle w:val="CharDivNo"/>
        </w:rPr>
        <w:t>Division 6</w:t>
      </w:r>
      <w:r>
        <w:t> — </w:t>
      </w:r>
      <w:r>
        <w:rPr>
          <w:rStyle w:val="CharDivText"/>
        </w:rPr>
        <w:t>Determinations</w:t>
      </w:r>
      <w:bookmarkEnd w:id="124"/>
      <w:bookmarkEnd w:id="125"/>
      <w:bookmarkEnd w:id="126"/>
      <w:bookmarkEnd w:id="127"/>
      <w:bookmarkEnd w:id="128"/>
    </w:p>
    <w:p>
      <w:pPr>
        <w:pStyle w:val="Heading5"/>
        <w:rPr>
          <w:color w:val="000000"/>
        </w:rPr>
      </w:pPr>
      <w:bookmarkStart w:id="129" w:name="_Toc233693719"/>
      <w:bookmarkStart w:id="130" w:name="_Toc220466640"/>
      <w:r>
        <w:rPr>
          <w:rStyle w:val="CharSectno"/>
          <w:color w:val="000000"/>
        </w:rPr>
        <w:t>17</w:t>
      </w:r>
      <w:r>
        <w:rPr>
          <w:color w:val="000000"/>
        </w:rPr>
        <w:t>.</w:t>
      </w:r>
      <w:r>
        <w:rPr>
          <w:color w:val="000000"/>
        </w:rPr>
        <w:tab/>
        <w:t>Determinations — dangerous goods</w:t>
      </w:r>
      <w:bookmarkEnd w:id="129"/>
      <w:bookmarkEnd w:id="13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31" w:name="_Toc233693720"/>
      <w:bookmarkStart w:id="132" w:name="_Toc220466641"/>
      <w:r>
        <w:rPr>
          <w:rStyle w:val="CharSectno"/>
          <w:color w:val="000000"/>
        </w:rPr>
        <w:t>18</w:t>
      </w:r>
      <w:r>
        <w:rPr>
          <w:color w:val="000000"/>
        </w:rPr>
        <w:t>.</w:t>
      </w:r>
      <w:r>
        <w:rPr>
          <w:color w:val="000000"/>
        </w:rPr>
        <w:tab/>
        <w:t>Determinations — packaging</w:t>
      </w:r>
      <w:bookmarkEnd w:id="131"/>
      <w:bookmarkEnd w:id="132"/>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33" w:name="_Toc233693721"/>
      <w:bookmarkStart w:id="134" w:name="_Toc220466642"/>
      <w:r>
        <w:rPr>
          <w:rStyle w:val="CharSectno"/>
        </w:rPr>
        <w:t>19</w:t>
      </w:r>
      <w:r>
        <w:t>.</w:t>
      </w:r>
      <w:r>
        <w:tab/>
        <w:t>Determinations — vehicles, routes, areas, times etc.</w:t>
      </w:r>
      <w:bookmarkEnd w:id="133"/>
      <w:bookmarkEnd w:id="13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35" w:name="_Toc233693722"/>
      <w:bookmarkStart w:id="136" w:name="_Toc220466643"/>
      <w:r>
        <w:rPr>
          <w:rStyle w:val="CharSectno"/>
        </w:rPr>
        <w:t>20</w:t>
      </w:r>
      <w:r>
        <w:t>.</w:t>
      </w:r>
      <w:r>
        <w:tab/>
        <w:t>Determinations may be subject to conditions</w:t>
      </w:r>
      <w:bookmarkEnd w:id="135"/>
      <w:bookmarkEnd w:id="136"/>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37" w:name="_Toc233693723"/>
      <w:bookmarkStart w:id="138" w:name="_Toc220466644"/>
      <w:r>
        <w:rPr>
          <w:rStyle w:val="CharSectno"/>
          <w:color w:val="000000"/>
        </w:rPr>
        <w:t>21</w:t>
      </w:r>
      <w:r>
        <w:rPr>
          <w:color w:val="000000"/>
        </w:rPr>
        <w:t>.</w:t>
      </w:r>
      <w:r>
        <w:rPr>
          <w:color w:val="000000"/>
        </w:rPr>
        <w:tab/>
        <w:t>Effect of determinations on contrary obligations under these regulations</w:t>
      </w:r>
      <w:bookmarkEnd w:id="137"/>
      <w:bookmarkEnd w:id="138"/>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39" w:name="_Toc233693724"/>
      <w:bookmarkStart w:id="140" w:name="_Toc220466645"/>
      <w:r>
        <w:rPr>
          <w:rStyle w:val="CharSectno"/>
          <w:color w:val="000000"/>
        </w:rPr>
        <w:t>22</w:t>
      </w:r>
      <w:r>
        <w:rPr>
          <w:color w:val="000000"/>
        </w:rPr>
        <w:t>.</w:t>
      </w:r>
      <w:r>
        <w:rPr>
          <w:color w:val="000000"/>
        </w:rPr>
        <w:tab/>
        <w:t>Offence to do any thing prohibited by a determination</w:t>
      </w:r>
      <w:bookmarkEnd w:id="139"/>
      <w:bookmarkEnd w:id="140"/>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41" w:name="_Toc233693725"/>
      <w:bookmarkStart w:id="142" w:name="_Toc220466646"/>
      <w:r>
        <w:rPr>
          <w:rStyle w:val="CharSectno"/>
        </w:rPr>
        <w:t>23</w:t>
      </w:r>
      <w:r>
        <w:t>.</w:t>
      </w:r>
      <w:r>
        <w:tab/>
        <w:t>Register of determinations</w:t>
      </w:r>
      <w:bookmarkEnd w:id="141"/>
      <w:bookmarkEnd w:id="14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43" w:name="_Toc233693726"/>
      <w:bookmarkStart w:id="144" w:name="_Toc220466647"/>
      <w:r>
        <w:rPr>
          <w:rStyle w:val="CharSectno"/>
        </w:rPr>
        <w:t>24</w:t>
      </w:r>
      <w:r>
        <w:t>.</w:t>
      </w:r>
      <w:r>
        <w:tab/>
        <w:t>Records of determinations</w:t>
      </w:r>
      <w:bookmarkEnd w:id="143"/>
      <w:bookmarkEnd w:id="144"/>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45" w:name="_Toc191959462"/>
      <w:bookmarkStart w:id="146" w:name="_Toc191983373"/>
      <w:bookmarkStart w:id="147" w:name="_Toc202345800"/>
      <w:bookmarkStart w:id="148" w:name="_Toc220466648"/>
      <w:bookmarkStart w:id="149" w:name="_Toc233693727"/>
      <w:r>
        <w:rPr>
          <w:rStyle w:val="CharDivNo"/>
        </w:rPr>
        <w:t>Division 7</w:t>
      </w:r>
      <w:r>
        <w:t> — </w:t>
      </w:r>
      <w:r>
        <w:rPr>
          <w:rStyle w:val="CharDivText"/>
        </w:rPr>
        <w:t>Registers of determinations, exemptions, approvals and licences</w:t>
      </w:r>
      <w:bookmarkEnd w:id="145"/>
      <w:bookmarkEnd w:id="146"/>
      <w:bookmarkEnd w:id="147"/>
      <w:bookmarkEnd w:id="148"/>
      <w:bookmarkEnd w:id="149"/>
    </w:p>
    <w:p>
      <w:pPr>
        <w:pStyle w:val="Heading5"/>
      </w:pPr>
      <w:bookmarkStart w:id="150" w:name="_Toc233693728"/>
      <w:bookmarkStart w:id="151" w:name="_Toc220466649"/>
      <w:r>
        <w:rPr>
          <w:rStyle w:val="CharSectno"/>
        </w:rPr>
        <w:t>25</w:t>
      </w:r>
      <w:r>
        <w:t>.</w:t>
      </w:r>
      <w:r>
        <w:tab/>
        <w:t>Registers</w:t>
      </w:r>
      <w:bookmarkEnd w:id="150"/>
      <w:bookmarkEnd w:id="15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52" w:name="_Toc233693729"/>
      <w:bookmarkStart w:id="153" w:name="_Toc220466650"/>
      <w:r>
        <w:rPr>
          <w:rStyle w:val="CharSectno"/>
        </w:rPr>
        <w:t>26</w:t>
      </w:r>
      <w:r>
        <w:t>.</w:t>
      </w:r>
      <w:r>
        <w:tab/>
        <w:t>Registers may be kept on computer</w:t>
      </w:r>
      <w:bookmarkEnd w:id="152"/>
      <w:bookmarkEnd w:id="15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54" w:name="_Toc233693730"/>
      <w:bookmarkStart w:id="155" w:name="_Toc220466651"/>
      <w:r>
        <w:rPr>
          <w:rStyle w:val="CharSectno"/>
        </w:rPr>
        <w:t>27</w:t>
      </w:r>
      <w:r>
        <w:t>.</w:t>
      </w:r>
      <w:r>
        <w:tab/>
        <w:t>Inspection of registers</w:t>
      </w:r>
      <w:bookmarkEnd w:id="154"/>
      <w:bookmarkEnd w:id="155"/>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56" w:name="_Toc191959466"/>
      <w:bookmarkStart w:id="157" w:name="_Toc191983377"/>
      <w:bookmarkStart w:id="158" w:name="_Toc202345804"/>
      <w:bookmarkStart w:id="159" w:name="_Toc220466652"/>
      <w:bookmarkStart w:id="160" w:name="_Toc233693731"/>
      <w:r>
        <w:rPr>
          <w:rStyle w:val="CharPartNo"/>
        </w:rPr>
        <w:t>Part 2</w:t>
      </w:r>
      <w:r>
        <w:t> — </w:t>
      </w:r>
      <w:r>
        <w:rPr>
          <w:rStyle w:val="CharPartText"/>
        </w:rPr>
        <w:t>Key concepts</w:t>
      </w:r>
      <w:bookmarkEnd w:id="156"/>
      <w:bookmarkEnd w:id="157"/>
      <w:bookmarkEnd w:id="158"/>
      <w:bookmarkEnd w:id="159"/>
      <w:bookmarkEnd w:id="160"/>
    </w:p>
    <w:p>
      <w:pPr>
        <w:pStyle w:val="Heading3"/>
      </w:pPr>
      <w:bookmarkStart w:id="161" w:name="_Toc191959467"/>
      <w:bookmarkStart w:id="162" w:name="_Toc191983378"/>
      <w:bookmarkStart w:id="163" w:name="_Toc202345805"/>
      <w:bookmarkStart w:id="164" w:name="_Toc220466653"/>
      <w:bookmarkStart w:id="165" w:name="_Toc233693732"/>
      <w:r>
        <w:rPr>
          <w:rStyle w:val="CharDivNo"/>
        </w:rPr>
        <w:t>Division 1</w:t>
      </w:r>
      <w:r>
        <w:t> — </w:t>
      </w:r>
      <w:r>
        <w:rPr>
          <w:rStyle w:val="CharDivText"/>
        </w:rPr>
        <w:t>Kinds of goods</w:t>
      </w:r>
      <w:bookmarkEnd w:id="161"/>
      <w:bookmarkEnd w:id="162"/>
      <w:bookmarkEnd w:id="163"/>
      <w:bookmarkEnd w:id="164"/>
      <w:bookmarkEnd w:id="165"/>
    </w:p>
    <w:p>
      <w:pPr>
        <w:pStyle w:val="Heading5"/>
      </w:pPr>
      <w:bookmarkStart w:id="166" w:name="_Toc233693733"/>
      <w:bookmarkStart w:id="167" w:name="_Toc220466654"/>
      <w:r>
        <w:rPr>
          <w:rStyle w:val="CharSectno"/>
        </w:rPr>
        <w:t>28</w:t>
      </w:r>
      <w:r>
        <w:t>.</w:t>
      </w:r>
      <w:r>
        <w:tab/>
        <w:t>Dangerous goods</w:t>
      </w:r>
      <w:bookmarkEnd w:id="166"/>
      <w:bookmarkEnd w:id="167"/>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criteria set out, or referred to, in the ADG Code Part 2 for determining whether goods are dangerous goods; 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Heading5"/>
      </w:pPr>
      <w:bookmarkStart w:id="168" w:name="_Toc233693734"/>
      <w:bookmarkStart w:id="169" w:name="_Toc220466655"/>
      <w:r>
        <w:rPr>
          <w:rStyle w:val="CharSectno"/>
        </w:rPr>
        <w:t>29</w:t>
      </w:r>
      <w:r>
        <w:t>.</w:t>
      </w:r>
      <w:r>
        <w:tab/>
        <w:t>UN Classes and UN Divisions of dangerous goods</w:t>
      </w:r>
      <w:bookmarkEnd w:id="168"/>
      <w:bookmarkEnd w:id="169"/>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70" w:name="_Toc233693735"/>
      <w:bookmarkStart w:id="171" w:name="_Toc220466656"/>
      <w:r>
        <w:rPr>
          <w:rStyle w:val="CharSectno"/>
        </w:rPr>
        <w:t>30</w:t>
      </w:r>
      <w:r>
        <w:t>.</w:t>
      </w:r>
      <w:r>
        <w:tab/>
        <w:t>Subsidiary Risk</w:t>
      </w:r>
      <w:bookmarkEnd w:id="170"/>
      <w:bookmarkEnd w:id="171"/>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72" w:name="_Toc233693736"/>
      <w:bookmarkStart w:id="173" w:name="_Toc220466657"/>
      <w:r>
        <w:rPr>
          <w:rStyle w:val="CharSectno"/>
          <w:color w:val="000000"/>
        </w:rPr>
        <w:t>31</w:t>
      </w:r>
      <w:r>
        <w:rPr>
          <w:color w:val="000000"/>
        </w:rPr>
        <w:t>.</w:t>
      </w:r>
      <w:r>
        <w:rPr>
          <w:color w:val="000000"/>
        </w:rPr>
        <w:tab/>
        <w:t>Packing Groups</w:t>
      </w:r>
      <w:bookmarkEnd w:id="172"/>
      <w:bookmarkEnd w:id="173"/>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74" w:name="_Toc233693737"/>
      <w:bookmarkStart w:id="175" w:name="_Toc220466658"/>
      <w:r>
        <w:rPr>
          <w:rStyle w:val="CharSectno"/>
        </w:rPr>
        <w:t>32</w:t>
      </w:r>
      <w:r>
        <w:t>.</w:t>
      </w:r>
      <w:r>
        <w:tab/>
        <w:t>Incompatibility</w:t>
      </w:r>
      <w:bookmarkEnd w:id="174"/>
      <w:bookmarkEnd w:id="175"/>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76" w:name="_Toc191959473"/>
      <w:bookmarkStart w:id="177" w:name="_Toc191983384"/>
      <w:bookmarkStart w:id="178" w:name="_Toc202345811"/>
      <w:bookmarkStart w:id="179" w:name="_Toc220466659"/>
      <w:bookmarkStart w:id="180" w:name="_Toc233693738"/>
      <w:r>
        <w:rPr>
          <w:rStyle w:val="CharDivNo"/>
        </w:rPr>
        <w:t>Division 2</w:t>
      </w:r>
      <w:r>
        <w:t> — </w:t>
      </w:r>
      <w:r>
        <w:rPr>
          <w:rStyle w:val="CharDivText"/>
        </w:rPr>
        <w:t>Containers and loads</w:t>
      </w:r>
      <w:bookmarkEnd w:id="176"/>
      <w:bookmarkEnd w:id="177"/>
      <w:bookmarkEnd w:id="178"/>
      <w:bookmarkEnd w:id="179"/>
      <w:bookmarkEnd w:id="180"/>
    </w:p>
    <w:p>
      <w:pPr>
        <w:pStyle w:val="Heading5"/>
      </w:pPr>
      <w:bookmarkStart w:id="181" w:name="_Toc233693739"/>
      <w:bookmarkStart w:id="182" w:name="_Toc220466660"/>
      <w:r>
        <w:rPr>
          <w:rStyle w:val="CharSectno"/>
        </w:rPr>
        <w:t>33</w:t>
      </w:r>
      <w:r>
        <w:t>.</w:t>
      </w:r>
      <w:r>
        <w:tab/>
        <w:t>Bulk containers</w:t>
      </w:r>
      <w:bookmarkEnd w:id="181"/>
      <w:bookmarkEnd w:id="182"/>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83" w:name="_Toc233693740"/>
      <w:bookmarkStart w:id="184" w:name="_Toc220466661"/>
      <w:r>
        <w:rPr>
          <w:rStyle w:val="CharSectno"/>
        </w:rPr>
        <w:t>34</w:t>
      </w:r>
      <w:r>
        <w:t>.</w:t>
      </w:r>
      <w:r>
        <w:tab/>
        <w:t>IBCs</w:t>
      </w:r>
      <w:bookmarkEnd w:id="183"/>
      <w:bookmarkEnd w:id="184"/>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i"/>
      </w:pPr>
      <w:r>
        <w:tab/>
        <w:t>(iv)</w:t>
      </w:r>
      <w:r>
        <w:tab/>
        <w:t>if the packaging is intended for the transport of any other dangerous goods — 3 000 L;</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Heading5"/>
        <w:rPr>
          <w:color w:val="000000"/>
        </w:rPr>
      </w:pPr>
      <w:bookmarkStart w:id="185" w:name="_Toc233693741"/>
      <w:bookmarkStart w:id="186" w:name="_Toc220466662"/>
      <w:r>
        <w:rPr>
          <w:rStyle w:val="CharSectno"/>
          <w:color w:val="000000"/>
        </w:rPr>
        <w:t>35</w:t>
      </w:r>
      <w:r>
        <w:rPr>
          <w:color w:val="000000"/>
        </w:rPr>
        <w:t>.</w:t>
      </w:r>
      <w:r>
        <w:rPr>
          <w:color w:val="000000"/>
        </w:rPr>
        <w:tab/>
        <w:t>MEGCs</w:t>
      </w:r>
      <w:bookmarkEnd w:id="185"/>
      <w:bookmarkEnd w:id="186"/>
    </w:p>
    <w:p>
      <w:pPr>
        <w:pStyle w:val="Subsection"/>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87" w:name="_Toc233693742"/>
      <w:bookmarkStart w:id="188" w:name="_Toc220466663"/>
      <w:r>
        <w:rPr>
          <w:rStyle w:val="CharSectno"/>
          <w:color w:val="000000"/>
        </w:rPr>
        <w:t>36</w:t>
      </w:r>
      <w:r>
        <w:rPr>
          <w:color w:val="000000"/>
        </w:rPr>
        <w:t>.</w:t>
      </w:r>
      <w:r>
        <w:rPr>
          <w:color w:val="000000"/>
        </w:rPr>
        <w:tab/>
        <w:t>Tanks</w:t>
      </w:r>
      <w:bookmarkEnd w:id="187"/>
      <w:bookmarkEnd w:id="188"/>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89" w:name="_Toc233693743"/>
      <w:bookmarkStart w:id="190" w:name="_Toc220466664"/>
      <w:r>
        <w:rPr>
          <w:rStyle w:val="CharSectno"/>
          <w:color w:val="000000"/>
        </w:rPr>
        <w:t>37</w:t>
      </w:r>
      <w:r>
        <w:rPr>
          <w:color w:val="000000"/>
        </w:rPr>
        <w:t>.</w:t>
      </w:r>
      <w:r>
        <w:rPr>
          <w:color w:val="000000"/>
        </w:rPr>
        <w:tab/>
        <w:t>Transport units</w:t>
      </w:r>
      <w:bookmarkEnd w:id="189"/>
      <w:bookmarkEnd w:id="190"/>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91" w:name="_Toc233693744"/>
      <w:bookmarkStart w:id="192" w:name="_Toc220466665"/>
      <w:r>
        <w:rPr>
          <w:rStyle w:val="CharSectno"/>
        </w:rPr>
        <w:t>38</w:t>
      </w:r>
      <w:r>
        <w:t>.</w:t>
      </w:r>
      <w:r>
        <w:tab/>
        <w:t>Loads</w:t>
      </w:r>
      <w:bookmarkEnd w:id="191"/>
      <w:bookmarkEnd w:id="192"/>
    </w:p>
    <w:p>
      <w:pPr>
        <w:pStyle w:val="Subsection"/>
      </w:pPr>
      <w:r>
        <w:rPr>
          <w:color w:val="000000"/>
        </w:rPr>
        <w:tab/>
        <w:t>(1)</w:t>
      </w:r>
      <w:r>
        <w:rPr>
          <w:color w:val="000000"/>
        </w:rPr>
        <w:tab/>
        <w:t>For the purposes of these regulations, all the goods in or on a transport unit are a single load, unless subregulation (2) applies.</w:t>
      </w:r>
    </w:p>
    <w:p>
      <w:pPr>
        <w:pStyle w:val="Subsection"/>
        <w:rPr>
          <w:color w:val="000000"/>
        </w:rPr>
      </w:pPr>
      <w:r>
        <w:rPr>
          <w:color w:val="000000"/>
        </w:rPr>
        <w:tab/>
        <w:t>(2)</w:t>
      </w:r>
      <w:r>
        <w:rPr>
          <w:color w:val="000000"/>
        </w:rPr>
        <w:tab/>
        <w:t>In the case of a vehicle that is transporting more than one transport unit, the contents of each portable tank, bulk container or freight container being transported constitute a separate load.</w:t>
      </w:r>
    </w:p>
    <w:p>
      <w:pPr>
        <w:pStyle w:val="Heading3"/>
      </w:pPr>
      <w:bookmarkStart w:id="193" w:name="_Toc191959480"/>
      <w:bookmarkStart w:id="194" w:name="_Toc191983391"/>
      <w:bookmarkStart w:id="195" w:name="_Toc202345818"/>
      <w:bookmarkStart w:id="196" w:name="_Toc220466666"/>
      <w:bookmarkStart w:id="197" w:name="_Toc233693745"/>
      <w:r>
        <w:rPr>
          <w:rStyle w:val="CharDivNo"/>
        </w:rPr>
        <w:t>Division 3</w:t>
      </w:r>
      <w:r>
        <w:t> — </w:t>
      </w:r>
      <w:r>
        <w:rPr>
          <w:rStyle w:val="CharDivText"/>
        </w:rPr>
        <w:t>Persons with special duties</w:t>
      </w:r>
      <w:bookmarkEnd w:id="193"/>
      <w:bookmarkEnd w:id="194"/>
      <w:bookmarkEnd w:id="195"/>
      <w:bookmarkEnd w:id="196"/>
      <w:bookmarkEnd w:id="197"/>
    </w:p>
    <w:p>
      <w:pPr>
        <w:pStyle w:val="Heading5"/>
      </w:pPr>
      <w:bookmarkStart w:id="198" w:name="_Toc233693746"/>
      <w:bookmarkStart w:id="199" w:name="_Toc220466667"/>
      <w:r>
        <w:rPr>
          <w:rStyle w:val="CharSectno"/>
        </w:rPr>
        <w:t>39</w:t>
      </w:r>
      <w:r>
        <w:t>.</w:t>
      </w:r>
      <w:r>
        <w:tab/>
        <w:t>Vehicle owners</w:t>
      </w:r>
      <w:bookmarkEnd w:id="198"/>
      <w:bookmarkEnd w:id="199"/>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200" w:name="_Toc233693747"/>
      <w:bookmarkStart w:id="201" w:name="_Toc220466668"/>
      <w:r>
        <w:rPr>
          <w:rStyle w:val="CharSectno"/>
        </w:rPr>
        <w:t>40</w:t>
      </w:r>
      <w:r>
        <w:t>.</w:t>
      </w:r>
      <w:r>
        <w:tab/>
        <w:t>Consignors</w:t>
      </w:r>
      <w:bookmarkEnd w:id="200"/>
      <w:bookmarkEnd w:id="201"/>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202" w:name="_Toc233693748"/>
      <w:bookmarkStart w:id="203" w:name="_Toc220466669"/>
      <w:r>
        <w:rPr>
          <w:rStyle w:val="CharSectno"/>
        </w:rPr>
        <w:t>41</w:t>
      </w:r>
      <w:r>
        <w:t>.</w:t>
      </w:r>
      <w:r>
        <w:tab/>
        <w:t>Packers</w:t>
      </w:r>
      <w:bookmarkEnd w:id="202"/>
      <w:bookmarkEnd w:id="203"/>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204" w:name="_Toc233693749"/>
      <w:bookmarkStart w:id="205" w:name="_Toc220466670"/>
      <w:r>
        <w:rPr>
          <w:rStyle w:val="CharSectno"/>
        </w:rPr>
        <w:t>42</w:t>
      </w:r>
      <w:r>
        <w:t>.</w:t>
      </w:r>
      <w:r>
        <w:tab/>
        <w:t>Loaders</w:t>
      </w:r>
      <w:bookmarkEnd w:id="204"/>
      <w:bookmarkEnd w:id="20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206" w:name="_Toc233693750"/>
      <w:bookmarkStart w:id="207" w:name="_Toc220466671"/>
      <w:r>
        <w:rPr>
          <w:rStyle w:val="CharSectno"/>
        </w:rPr>
        <w:t>43</w:t>
      </w:r>
      <w:r>
        <w:t>.</w:t>
      </w:r>
      <w:r>
        <w:tab/>
        <w:t>Prime contractors</w:t>
      </w:r>
      <w:bookmarkEnd w:id="206"/>
      <w:bookmarkEnd w:id="207"/>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208" w:name="_Toc233693751"/>
      <w:bookmarkStart w:id="209" w:name="_Toc220466672"/>
      <w:r>
        <w:rPr>
          <w:rStyle w:val="CharSectno"/>
        </w:rPr>
        <w:t>44</w:t>
      </w:r>
      <w:r>
        <w:t>.</w:t>
      </w:r>
      <w:r>
        <w:tab/>
        <w:t>Rail operators</w:t>
      </w:r>
      <w:bookmarkEnd w:id="208"/>
      <w:bookmarkEnd w:id="209"/>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10" w:name="_Toc191959487"/>
      <w:bookmarkStart w:id="211" w:name="_Toc191983398"/>
      <w:bookmarkStart w:id="212" w:name="_Toc202345825"/>
      <w:bookmarkStart w:id="213" w:name="_Toc220466673"/>
      <w:bookmarkStart w:id="214" w:name="_Toc233693752"/>
      <w:r>
        <w:rPr>
          <w:rStyle w:val="CharDivNo"/>
        </w:rPr>
        <w:t>Division 4</w:t>
      </w:r>
      <w:r>
        <w:t> — </w:t>
      </w:r>
      <w:r>
        <w:rPr>
          <w:rStyle w:val="CharDivText"/>
        </w:rPr>
        <w:t>Miscellaneous</w:t>
      </w:r>
      <w:bookmarkEnd w:id="210"/>
      <w:bookmarkEnd w:id="211"/>
      <w:bookmarkEnd w:id="212"/>
      <w:bookmarkEnd w:id="213"/>
      <w:bookmarkEnd w:id="214"/>
    </w:p>
    <w:p>
      <w:pPr>
        <w:pStyle w:val="Heading5"/>
        <w:rPr>
          <w:color w:val="000000"/>
        </w:rPr>
      </w:pPr>
      <w:bookmarkStart w:id="215" w:name="_Toc233693753"/>
      <w:bookmarkStart w:id="216" w:name="_Toc220466674"/>
      <w:r>
        <w:rPr>
          <w:rStyle w:val="CharSectno"/>
          <w:color w:val="000000"/>
        </w:rPr>
        <w:t>45</w:t>
      </w:r>
      <w:r>
        <w:rPr>
          <w:color w:val="000000"/>
        </w:rPr>
        <w:t>.</w:t>
      </w:r>
      <w:r>
        <w:rPr>
          <w:color w:val="000000"/>
        </w:rPr>
        <w:tab/>
        <w:t>Dangerous goods packed in limited quantities</w:t>
      </w:r>
      <w:bookmarkEnd w:id="215"/>
      <w:bookmarkEnd w:id="216"/>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17" w:name="_Toc191959489"/>
      <w:bookmarkStart w:id="218" w:name="_Toc191983400"/>
      <w:bookmarkStart w:id="219" w:name="_Toc202345827"/>
      <w:bookmarkStart w:id="220" w:name="_Toc220466675"/>
      <w:bookmarkStart w:id="221" w:name="_Toc233693754"/>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17"/>
      <w:bookmarkEnd w:id="218"/>
      <w:bookmarkEnd w:id="219"/>
      <w:bookmarkEnd w:id="220"/>
      <w:bookmarkEnd w:id="221"/>
    </w:p>
    <w:p>
      <w:pPr>
        <w:pStyle w:val="Heading5"/>
        <w:rPr>
          <w:color w:val="000000"/>
        </w:rPr>
      </w:pPr>
      <w:bookmarkStart w:id="222" w:name="_Toc233693755"/>
      <w:bookmarkStart w:id="223" w:name="_Toc220466676"/>
      <w:r>
        <w:rPr>
          <w:rStyle w:val="CharSectno"/>
          <w:color w:val="000000"/>
        </w:rPr>
        <w:t>46</w:t>
      </w:r>
      <w:r>
        <w:rPr>
          <w:color w:val="000000"/>
        </w:rPr>
        <w:t>.</w:t>
      </w:r>
      <w:r>
        <w:rPr>
          <w:color w:val="000000"/>
        </w:rPr>
        <w:tab/>
        <w:t>Application of this Part</w:t>
      </w:r>
      <w:bookmarkEnd w:id="222"/>
      <w:bookmarkEnd w:id="223"/>
    </w:p>
    <w:p>
      <w:pPr>
        <w:pStyle w:val="Subsection"/>
        <w:rPr>
          <w:b/>
          <w:bCs/>
          <w:i/>
          <w:iCs/>
          <w:color w:val="000000"/>
        </w:rPr>
      </w:pPr>
      <w:r>
        <w:rPr>
          <w:color w:val="000000"/>
        </w:rPr>
        <w:tab/>
      </w:r>
      <w:r>
        <w:rPr>
          <w:color w:val="000000"/>
        </w:rPr>
        <w:tab/>
        <w:t>This Part applies in relation to the transport of dangerous goods if column 6 of the Dangerous Goods List specifies that a Special Provision in the ADG Code Chapter 3.3 applies to the dangerous goods and that Special Provision imposes a restriction on the way the goods are to be transported by road or rail.</w:t>
      </w:r>
    </w:p>
    <w:p>
      <w:pPr>
        <w:pStyle w:val="Heading5"/>
        <w:rPr>
          <w:color w:val="000000"/>
        </w:rPr>
      </w:pPr>
      <w:bookmarkStart w:id="224" w:name="_Toc233693756"/>
      <w:bookmarkStart w:id="225" w:name="_Toc220466677"/>
      <w:r>
        <w:rPr>
          <w:rStyle w:val="CharSectno"/>
          <w:color w:val="000000"/>
        </w:rPr>
        <w:t>47</w:t>
      </w:r>
      <w:r>
        <w:rPr>
          <w:color w:val="000000"/>
        </w:rPr>
        <w:t>.</w:t>
      </w:r>
      <w:r>
        <w:rPr>
          <w:color w:val="000000"/>
        </w:rPr>
        <w:tab/>
        <w:t>Duty on consignors</w:t>
      </w:r>
      <w:bookmarkEnd w:id="224"/>
      <w:bookmarkEnd w:id="225"/>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rPr>
          <w:color w:val="000000"/>
        </w:rPr>
      </w:pPr>
      <w:bookmarkStart w:id="226" w:name="_Toc233693757"/>
      <w:bookmarkStart w:id="227" w:name="_Toc220466678"/>
      <w:r>
        <w:rPr>
          <w:rStyle w:val="CharSectno"/>
          <w:color w:val="000000"/>
        </w:rPr>
        <w:t>48</w:t>
      </w:r>
      <w:r>
        <w:rPr>
          <w:color w:val="000000"/>
        </w:rPr>
        <w:t>.</w:t>
      </w:r>
      <w:r>
        <w:rPr>
          <w:color w:val="000000"/>
        </w:rPr>
        <w:tab/>
        <w:t>Duty on prime contractors and rail operators</w:t>
      </w:r>
      <w:bookmarkEnd w:id="226"/>
      <w:bookmarkEnd w:id="227"/>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228" w:name="_Toc233693758"/>
      <w:bookmarkStart w:id="229" w:name="_Toc220466679"/>
      <w:r>
        <w:rPr>
          <w:rStyle w:val="CharSectno"/>
          <w:color w:val="000000"/>
        </w:rPr>
        <w:t>49</w:t>
      </w:r>
      <w:r>
        <w:rPr>
          <w:color w:val="000000"/>
        </w:rPr>
        <w:t>.</w:t>
      </w:r>
      <w:r>
        <w:rPr>
          <w:color w:val="000000"/>
        </w:rPr>
        <w:tab/>
        <w:t>Duty on drivers</w:t>
      </w:r>
      <w:bookmarkEnd w:id="228"/>
      <w:bookmarkEnd w:id="229"/>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230" w:name="_Toc191959494"/>
      <w:bookmarkStart w:id="231" w:name="_Toc191983405"/>
      <w:bookmarkStart w:id="232" w:name="_Toc202345832"/>
      <w:bookmarkStart w:id="233" w:name="_Toc220466680"/>
      <w:bookmarkStart w:id="234" w:name="_Toc233693759"/>
      <w:r>
        <w:rPr>
          <w:rStyle w:val="CharPartNo"/>
        </w:rPr>
        <w:t>Part 4</w:t>
      </w:r>
      <w:r>
        <w:t> — </w:t>
      </w:r>
      <w:r>
        <w:rPr>
          <w:rStyle w:val="CharPartText"/>
        </w:rPr>
        <w:t>Packaging</w:t>
      </w:r>
      <w:bookmarkEnd w:id="230"/>
      <w:bookmarkEnd w:id="231"/>
      <w:bookmarkEnd w:id="232"/>
      <w:bookmarkEnd w:id="233"/>
      <w:bookmarkEnd w:id="234"/>
    </w:p>
    <w:p>
      <w:pPr>
        <w:pStyle w:val="Heading3"/>
      </w:pPr>
      <w:bookmarkStart w:id="235" w:name="_Toc191959495"/>
      <w:bookmarkStart w:id="236" w:name="_Toc191983406"/>
      <w:bookmarkStart w:id="237" w:name="_Toc202345833"/>
      <w:bookmarkStart w:id="238" w:name="_Toc220466681"/>
      <w:bookmarkStart w:id="239" w:name="_Toc233693760"/>
      <w:r>
        <w:rPr>
          <w:rStyle w:val="CharDivNo"/>
        </w:rPr>
        <w:t>Division 1</w:t>
      </w:r>
      <w:r>
        <w:t> — </w:t>
      </w:r>
      <w:r>
        <w:rPr>
          <w:rStyle w:val="CharDivText"/>
        </w:rPr>
        <w:t>General</w:t>
      </w:r>
      <w:bookmarkEnd w:id="235"/>
      <w:bookmarkEnd w:id="236"/>
      <w:bookmarkEnd w:id="237"/>
      <w:bookmarkEnd w:id="238"/>
      <w:bookmarkEnd w:id="239"/>
    </w:p>
    <w:p>
      <w:pPr>
        <w:pStyle w:val="Heading5"/>
        <w:rPr>
          <w:color w:val="000000"/>
        </w:rPr>
      </w:pPr>
      <w:bookmarkStart w:id="240" w:name="_Toc233693761"/>
      <w:bookmarkStart w:id="241" w:name="_Toc220466682"/>
      <w:r>
        <w:rPr>
          <w:rStyle w:val="CharSectno"/>
          <w:color w:val="000000"/>
        </w:rPr>
        <w:t>50</w:t>
      </w:r>
      <w:r>
        <w:rPr>
          <w:color w:val="000000"/>
        </w:rPr>
        <w:t>.</w:t>
      </w:r>
      <w:r>
        <w:rPr>
          <w:color w:val="000000"/>
        </w:rPr>
        <w:tab/>
        <w:t>Packing of dangerous goods in limited quantities</w:t>
      </w:r>
      <w:bookmarkEnd w:id="240"/>
      <w:bookmarkEnd w:id="241"/>
    </w:p>
    <w:p>
      <w:pPr>
        <w:pStyle w:val="Subsection"/>
        <w:rPr>
          <w:color w:val="000000"/>
        </w:rPr>
      </w:pPr>
      <w:r>
        <w:rPr>
          <w:color w:val="000000"/>
        </w:rPr>
        <w:tab/>
      </w:r>
      <w:r>
        <w:rPr>
          <w:color w:val="000000"/>
        </w:rPr>
        <w:tab/>
        <w:t>Dangerous goods packed in limited quantities do not need to be packed as required by this Part.</w:t>
      </w:r>
    </w:p>
    <w:p>
      <w:pPr>
        <w:pStyle w:val="Heading5"/>
      </w:pPr>
      <w:bookmarkStart w:id="242" w:name="_Toc233693762"/>
      <w:bookmarkStart w:id="243" w:name="_Toc220466683"/>
      <w:r>
        <w:rPr>
          <w:rStyle w:val="CharSectno"/>
        </w:rPr>
        <w:t>51</w:t>
      </w:r>
      <w:r>
        <w:t>.</w:t>
      </w:r>
      <w:r>
        <w:tab/>
        <w:t>Packages and packaging</w:t>
      </w:r>
      <w:bookmarkEnd w:id="242"/>
      <w:bookmarkEnd w:id="243"/>
    </w:p>
    <w:p>
      <w:pPr>
        <w:pStyle w:val="Subsection"/>
      </w:pPr>
      <w:r>
        <w:tab/>
        <w:t>(1)</w:t>
      </w:r>
      <w:r>
        <w:tab/>
        <w:t xml:space="preserve">A </w:t>
      </w:r>
      <w:r>
        <w:rPr>
          <w:rStyle w:val="CharDefText"/>
        </w:rPr>
        <w:t>package</w:t>
      </w:r>
      <w:r>
        <w:t xml:space="preserve"> of dangerous goods or other goods is the complete product of the packing of the goods for transport, and consists of the goods and their packaging.</w:t>
      </w:r>
    </w:p>
    <w:p>
      <w:pPr>
        <w:pStyle w:val="Subsection"/>
        <w:rPr>
          <w:color w:val="000000"/>
        </w:rPr>
      </w:pPr>
      <w:r>
        <w:tab/>
      </w:r>
      <w:r>
        <w:rPr>
          <w:color w:val="000000"/>
        </w:rPr>
        <w:t>(2)</w:t>
      </w:r>
      <w:r>
        <w:rPr>
          <w:color w:val="000000"/>
        </w:rPr>
        <w:tab/>
        <w:t xml:space="preserve">The </w:t>
      </w:r>
      <w:r>
        <w:rPr>
          <w:rStyle w:val="CharDefText"/>
        </w:rPr>
        <w:t>packaging</w:t>
      </w:r>
      <w:r>
        <w:rPr>
          <w:color w:val="000000"/>
        </w:rPr>
        <w:t xml:space="preserve"> of dangerous goods or other goods is anything that contains, holds, protects or encloses the goods, whether directly or indirectly, to enable them to be received or held for transport or to be transported.</w:t>
      </w:r>
    </w:p>
    <w:p>
      <w:pPr>
        <w:pStyle w:val="NotesPerm"/>
        <w:tabs>
          <w:tab w:val="clear" w:pos="879"/>
          <w:tab w:val="left" w:pos="851"/>
        </w:tabs>
        <w:ind w:left="1418" w:hanging="1418"/>
      </w:pPr>
      <w:r>
        <w:tab/>
        <w:t>Note:</w:t>
      </w:r>
      <w:r>
        <w:tab/>
      </w:r>
      <w:r>
        <w:rPr>
          <w:color w:val="000000"/>
        </w:rPr>
        <w:t>Packaging includes</w:t>
      </w:r>
      <w:r>
        <w:t xml:space="preserve"> inner packaging, outer packaging and composite packaging, overpacks and large packagings; IBCs; MEGCs; tanks (including the tanks on tank vehicles); bulk containers; freight containers; drums; barrels; jerry cans; boxes and bags.</w:t>
      </w:r>
    </w:p>
    <w:p>
      <w:pPr>
        <w:pStyle w:val="Heading5"/>
        <w:rPr>
          <w:color w:val="000000"/>
        </w:rPr>
      </w:pPr>
      <w:bookmarkStart w:id="244" w:name="_Toc233693763"/>
      <w:bookmarkStart w:id="245" w:name="_Toc220466684"/>
      <w:r>
        <w:rPr>
          <w:rStyle w:val="CharSectno"/>
          <w:color w:val="000000"/>
        </w:rPr>
        <w:t>52</w:t>
      </w:r>
      <w:r>
        <w:rPr>
          <w:color w:val="000000"/>
        </w:rPr>
        <w:t>.</w:t>
      </w:r>
      <w:r>
        <w:rPr>
          <w:color w:val="000000"/>
        </w:rPr>
        <w:tab/>
        <w:t>References to ADG Code Part 4 include Dangerous Goods List requirements</w:t>
      </w:r>
      <w:bookmarkEnd w:id="244"/>
      <w:bookmarkEnd w:id="24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46" w:name="_Toc191959499"/>
      <w:bookmarkStart w:id="247" w:name="_Toc191983410"/>
      <w:bookmarkStart w:id="248" w:name="_Toc202345837"/>
      <w:bookmarkStart w:id="249" w:name="_Toc220466685"/>
      <w:bookmarkStart w:id="250" w:name="_Toc233693764"/>
      <w:r>
        <w:rPr>
          <w:rStyle w:val="CharDivNo"/>
          <w:color w:val="000000"/>
        </w:rPr>
        <w:t>Division 2</w:t>
      </w:r>
      <w:r>
        <w:rPr>
          <w:color w:val="000000"/>
        </w:rPr>
        <w:t> — </w:t>
      </w:r>
      <w:r>
        <w:rPr>
          <w:rStyle w:val="CharDivText"/>
          <w:color w:val="000000"/>
        </w:rPr>
        <w:t>Suitability and design of packaging</w:t>
      </w:r>
      <w:bookmarkEnd w:id="246"/>
      <w:bookmarkEnd w:id="247"/>
      <w:bookmarkEnd w:id="248"/>
      <w:bookmarkEnd w:id="249"/>
      <w:bookmarkEnd w:id="250"/>
    </w:p>
    <w:p>
      <w:pPr>
        <w:pStyle w:val="Heading5"/>
        <w:rPr>
          <w:color w:val="000000"/>
        </w:rPr>
      </w:pPr>
      <w:bookmarkStart w:id="251" w:name="_Toc233693765"/>
      <w:bookmarkStart w:id="252" w:name="_Toc220466686"/>
      <w:r>
        <w:rPr>
          <w:rStyle w:val="CharSectno"/>
          <w:color w:val="000000"/>
        </w:rPr>
        <w:t>53</w:t>
      </w:r>
      <w:r>
        <w:rPr>
          <w:color w:val="000000"/>
        </w:rPr>
        <w:t>.</w:t>
      </w:r>
      <w:r>
        <w:rPr>
          <w:color w:val="000000"/>
        </w:rPr>
        <w:tab/>
        <w:t>Suitability of packaging for transport</w:t>
      </w:r>
      <w:bookmarkEnd w:id="251"/>
      <w:bookmarkEnd w:id="252"/>
    </w:p>
    <w:p>
      <w:pPr>
        <w:pStyle w:val="Subsection"/>
        <w:rPr>
          <w:color w:val="000000"/>
        </w:rPr>
      </w:pPr>
      <w:r>
        <w:rPr>
          <w:color w:val="000000"/>
        </w:rPr>
        <w:tab/>
      </w:r>
      <w:r>
        <w:rPr>
          <w:color w:val="000000"/>
        </w:rPr>
        <w:tab/>
        <w:t xml:space="preserve">Packaging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has not been manufactured as required by the ADG Code Part 6; or</w:t>
      </w:r>
    </w:p>
    <w:p>
      <w:pPr>
        <w:pStyle w:val="Indenta"/>
      </w:pPr>
      <w:r>
        <w:tab/>
        <w:t>(c)</w:t>
      </w:r>
      <w:r>
        <w:tab/>
        <w:t>it has not been maintained as required by the ADG Code Part 4;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Heading5"/>
      </w:pPr>
      <w:bookmarkStart w:id="253" w:name="_Toc233693766"/>
      <w:bookmarkStart w:id="254" w:name="_Toc220466687"/>
      <w:r>
        <w:rPr>
          <w:rStyle w:val="CharSectno"/>
        </w:rPr>
        <w:t>54</w:t>
      </w:r>
      <w:r>
        <w:t>.</w:t>
      </w:r>
      <w:r>
        <w:tab/>
        <w:t>Marking packaging</w:t>
      </w:r>
      <w:bookmarkEnd w:id="253"/>
      <w:bookmarkEnd w:id="254"/>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55" w:name="_Toc233693767"/>
      <w:bookmarkStart w:id="256" w:name="_Toc220466688"/>
      <w:r>
        <w:rPr>
          <w:rStyle w:val="CharSectno"/>
        </w:rPr>
        <w:t>55</w:t>
      </w:r>
      <w:r>
        <w:t>.</w:t>
      </w:r>
      <w:r>
        <w:tab/>
        <w:t>Applications for approval of packaging designs</w:t>
      </w:r>
      <w:bookmarkEnd w:id="255"/>
      <w:bookmarkEnd w:id="256"/>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257" w:name="_Toc233693768"/>
      <w:bookmarkStart w:id="258" w:name="_Toc220466689"/>
      <w:r>
        <w:rPr>
          <w:rStyle w:val="CharSectno"/>
        </w:rPr>
        <w:t>56</w:t>
      </w:r>
      <w:r>
        <w:t>.</w:t>
      </w:r>
      <w:r>
        <w:tab/>
        <w:t>Approvals — packaging designs</w:t>
      </w:r>
      <w:bookmarkEnd w:id="257"/>
      <w:bookmarkEnd w:id="258"/>
    </w:p>
    <w:p>
      <w:pPr>
        <w:pStyle w:val="Subsection"/>
      </w:pPr>
      <w:r>
        <w:tab/>
        <w:t>(1)</w:t>
      </w:r>
      <w:r>
        <w:tab/>
        <w:t xml:space="preserve">The Chief Officer may, on an application made in accordance with regulations 55 and 194, approve a design for a packaging for use in the transport of dangerous goods if — </w:t>
      </w:r>
    </w:p>
    <w:p>
      <w:pPr>
        <w:pStyle w:val="Indenta"/>
      </w:pPr>
      <w:r>
        <w:tab/>
        <w:t>(a)</w:t>
      </w:r>
      <w:r>
        <w:tab/>
        <w:t>the design complies with, or is permitted by, the ADG Code Part 6; and</w:t>
      </w:r>
    </w:p>
    <w:p>
      <w:pPr>
        <w:pStyle w:val="Indenta"/>
      </w:pPr>
      <w:r>
        <w:tab/>
        <w:t>(b)</w:t>
      </w:r>
      <w:r>
        <w:tab/>
        <w:t>the Chief Officer is satisfied that packaging of that design satisfies all the relevant testing and inspection requirements set out in that Part.</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b/>
          <w:bCs/>
          <w:i/>
          <w:iCs/>
        </w:rPr>
      </w:pPr>
      <w:r>
        <w:tab/>
        <w:t xml:space="preserve">Penalty: a fine of </w:t>
      </w:r>
      <w:r>
        <w:rPr>
          <w:color w:val="000000"/>
        </w:rPr>
        <w:t>$10 000.</w:t>
      </w:r>
    </w:p>
    <w:p>
      <w:pPr>
        <w:pStyle w:val="Heading5"/>
      </w:pPr>
      <w:bookmarkStart w:id="259" w:name="_Toc233693769"/>
      <w:bookmarkStart w:id="260" w:name="_Toc220466690"/>
      <w:r>
        <w:rPr>
          <w:rStyle w:val="CharSectno"/>
        </w:rPr>
        <w:t>57</w:t>
      </w:r>
      <w:r>
        <w:t>.</w:t>
      </w:r>
      <w:r>
        <w:tab/>
        <w:t>Recognised testing facilities</w:t>
      </w:r>
      <w:bookmarkEnd w:id="259"/>
      <w:bookmarkEnd w:id="260"/>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61" w:name="_Toc233693770"/>
      <w:bookmarkStart w:id="262" w:name="_Toc220466691"/>
      <w:r>
        <w:rPr>
          <w:rStyle w:val="CharSectno"/>
        </w:rPr>
        <w:t>58</w:t>
      </w:r>
      <w:r>
        <w:t>.</w:t>
      </w:r>
      <w:r>
        <w:tab/>
        <w:t>Test certificates</w:t>
      </w:r>
      <w:bookmarkEnd w:id="261"/>
      <w:bookmarkEnd w:id="262"/>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263" w:name="_Toc233693771"/>
      <w:bookmarkStart w:id="264" w:name="_Toc220466692"/>
      <w:r>
        <w:rPr>
          <w:rStyle w:val="CharSectno"/>
        </w:rPr>
        <w:t>59</w:t>
      </w:r>
      <w:r>
        <w:t>.</w:t>
      </w:r>
      <w:r>
        <w:tab/>
        <w:t>Approvals — overpacks</w:t>
      </w:r>
      <w:bookmarkEnd w:id="263"/>
      <w:bookmarkEnd w:id="26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265" w:name="_Toc233693772"/>
      <w:bookmarkStart w:id="266" w:name="_Toc220466693"/>
      <w:r>
        <w:rPr>
          <w:rStyle w:val="CharSectno"/>
        </w:rPr>
        <w:t>60</w:t>
      </w:r>
      <w:r>
        <w:t>.</w:t>
      </w:r>
      <w:r>
        <w:tab/>
        <w:t>Authorised bodies may give approvals</w:t>
      </w:r>
      <w:bookmarkEnd w:id="265"/>
      <w:bookmarkEnd w:id="26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67" w:name="_Toc191959508"/>
      <w:bookmarkStart w:id="268" w:name="_Toc191983419"/>
      <w:bookmarkStart w:id="269" w:name="_Toc202345846"/>
      <w:bookmarkStart w:id="270" w:name="_Toc220466694"/>
      <w:bookmarkStart w:id="271" w:name="_Toc233693773"/>
      <w:r>
        <w:rPr>
          <w:rStyle w:val="CharDivNo"/>
        </w:rPr>
        <w:t>Division 3</w:t>
      </w:r>
      <w:r>
        <w:t> — </w:t>
      </w:r>
      <w:r>
        <w:rPr>
          <w:rStyle w:val="CharDivText"/>
        </w:rPr>
        <w:t>Prohibition on the sale or supply of non</w:t>
      </w:r>
      <w:r>
        <w:rPr>
          <w:rStyle w:val="CharDivText"/>
        </w:rPr>
        <w:noBreakHyphen/>
        <w:t>compliant packaging</w:t>
      </w:r>
      <w:bookmarkEnd w:id="267"/>
      <w:bookmarkEnd w:id="268"/>
      <w:bookmarkEnd w:id="269"/>
      <w:bookmarkEnd w:id="270"/>
      <w:bookmarkEnd w:id="271"/>
    </w:p>
    <w:p>
      <w:pPr>
        <w:pStyle w:val="Heading5"/>
        <w:rPr>
          <w:color w:val="000000"/>
        </w:rPr>
      </w:pPr>
      <w:bookmarkStart w:id="272" w:name="_Toc233693774"/>
      <w:bookmarkStart w:id="273" w:name="_Toc220466695"/>
      <w:r>
        <w:rPr>
          <w:rStyle w:val="CharSectno"/>
          <w:color w:val="000000"/>
        </w:rPr>
        <w:t>61</w:t>
      </w:r>
      <w:r>
        <w:rPr>
          <w:color w:val="000000"/>
        </w:rPr>
        <w:t>.</w:t>
      </w:r>
      <w:r>
        <w:rPr>
          <w:color w:val="000000"/>
        </w:rPr>
        <w:tab/>
        <w:t>Offence to sell or supply non</w:t>
      </w:r>
      <w:r>
        <w:rPr>
          <w:color w:val="000000"/>
        </w:rPr>
        <w:noBreakHyphen/>
        <w:t>compliant packaging</w:t>
      </w:r>
      <w:bookmarkEnd w:id="272"/>
      <w:bookmarkEnd w:id="273"/>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74" w:name="_Toc191959510"/>
      <w:bookmarkStart w:id="275" w:name="_Toc191983421"/>
      <w:bookmarkStart w:id="276" w:name="_Toc202345848"/>
      <w:bookmarkStart w:id="277" w:name="_Toc220466696"/>
      <w:bookmarkStart w:id="278" w:name="_Toc233693775"/>
      <w:r>
        <w:rPr>
          <w:rStyle w:val="CharDivNo"/>
        </w:rPr>
        <w:t>Division 4</w:t>
      </w:r>
      <w:r>
        <w:t> — </w:t>
      </w:r>
      <w:r>
        <w:rPr>
          <w:rStyle w:val="CharDivText"/>
        </w:rPr>
        <w:t>Offences relating to IBCs and certain other</w:t>
      </w:r>
      <w:r>
        <w:rPr>
          <w:rStyle w:val="CharDivText"/>
          <w:i/>
          <w:iCs/>
        </w:rPr>
        <w:t> </w:t>
      </w:r>
      <w:r>
        <w:rPr>
          <w:rStyle w:val="CharDivText"/>
        </w:rPr>
        <w:t>packaging</w:t>
      </w:r>
      <w:bookmarkEnd w:id="274"/>
      <w:bookmarkEnd w:id="275"/>
      <w:bookmarkEnd w:id="276"/>
      <w:bookmarkEnd w:id="277"/>
      <w:bookmarkEnd w:id="278"/>
    </w:p>
    <w:p>
      <w:pPr>
        <w:pStyle w:val="Heading4"/>
      </w:pPr>
      <w:bookmarkStart w:id="279" w:name="_Toc191959511"/>
      <w:bookmarkStart w:id="280" w:name="_Toc191983422"/>
      <w:bookmarkStart w:id="281" w:name="_Toc202345849"/>
      <w:bookmarkStart w:id="282" w:name="_Toc220466697"/>
      <w:bookmarkStart w:id="283" w:name="_Toc233693776"/>
      <w:r>
        <w:t>Subdivision 1 — Offences relating to IBCs</w:t>
      </w:r>
      <w:bookmarkEnd w:id="279"/>
      <w:bookmarkEnd w:id="280"/>
      <w:bookmarkEnd w:id="281"/>
      <w:bookmarkEnd w:id="282"/>
      <w:bookmarkEnd w:id="283"/>
    </w:p>
    <w:p>
      <w:pPr>
        <w:pStyle w:val="Heading5"/>
        <w:rPr>
          <w:color w:val="000000"/>
        </w:rPr>
      </w:pPr>
      <w:bookmarkStart w:id="284" w:name="_Toc233693777"/>
      <w:bookmarkStart w:id="285" w:name="_Toc220466698"/>
      <w:r>
        <w:rPr>
          <w:rStyle w:val="CharSectno"/>
          <w:color w:val="000000"/>
        </w:rPr>
        <w:t>62</w:t>
      </w:r>
      <w:r>
        <w:rPr>
          <w:color w:val="000000"/>
        </w:rPr>
        <w:t>.</w:t>
      </w:r>
      <w:r>
        <w:rPr>
          <w:color w:val="000000"/>
        </w:rPr>
        <w:tab/>
        <w:t>Duty on consignors</w:t>
      </w:r>
      <w:bookmarkEnd w:id="284"/>
      <w:bookmarkEnd w:id="285"/>
    </w:p>
    <w:p>
      <w:pPr>
        <w:pStyle w:val="Subsection"/>
        <w:rPr>
          <w:color w:val="000000"/>
        </w:rPr>
      </w:pPr>
      <w:r>
        <w:rPr>
          <w:color w:val="000000"/>
        </w:rPr>
        <w:tab/>
        <w:t>(1)</w:t>
      </w:r>
      <w:r>
        <w:rPr>
          <w:color w:val="000000"/>
        </w:rPr>
        <w:tab/>
        <w:t xml:space="preserve">A person must not consign dangerous goods for transport in an IBC provided by the person if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an IBC provided by someone else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pPr>
      <w:r>
        <w:rPr>
          <w:color w:val="000000"/>
        </w:rPr>
        <w:tab/>
      </w:r>
      <w:r>
        <w:rPr>
          <w:color w:val="000000"/>
        </w:rPr>
        <w:tab/>
        <w:t>Penalty: a fine of $ 10 000.</w:t>
      </w:r>
    </w:p>
    <w:p>
      <w:pPr>
        <w:pStyle w:val="Heading5"/>
        <w:rPr>
          <w:color w:val="000000"/>
        </w:rPr>
      </w:pPr>
      <w:bookmarkStart w:id="286" w:name="_Toc233693778"/>
      <w:bookmarkStart w:id="287" w:name="_Toc220466699"/>
      <w:r>
        <w:rPr>
          <w:rStyle w:val="CharSectno"/>
          <w:color w:val="000000"/>
        </w:rPr>
        <w:t>63</w:t>
      </w:r>
      <w:r>
        <w:rPr>
          <w:color w:val="000000"/>
        </w:rPr>
        <w:t>.</w:t>
      </w:r>
      <w:r>
        <w:rPr>
          <w:color w:val="000000"/>
        </w:rPr>
        <w:tab/>
        <w:t>Duty on loaders</w:t>
      </w:r>
      <w:bookmarkEnd w:id="286"/>
      <w:bookmarkEnd w:id="287"/>
    </w:p>
    <w:p>
      <w:pPr>
        <w:pStyle w:val="Subsection"/>
        <w:rPr>
          <w:bCs/>
          <w:color w:val="000000"/>
        </w:rPr>
      </w:pPr>
      <w:r>
        <w:rPr>
          <w:bCs/>
          <w:color w:val="000000"/>
        </w:rPr>
        <w:tab/>
      </w:r>
      <w:r>
        <w:rPr>
          <w:bCs/>
          <w:color w:val="000000"/>
        </w:rPr>
        <w:tab/>
        <w:t xml:space="preserve">A person must not load dangerous goods in an IBC for transport if the person knows, or ought reasonably to know, that the IBC — </w:t>
      </w:r>
    </w:p>
    <w:p>
      <w:pPr>
        <w:pStyle w:val="Indenta"/>
        <w:rPr>
          <w:bCs/>
          <w:color w:val="000000"/>
        </w:rPr>
      </w:pPr>
      <w:r>
        <w:rPr>
          <w:bCs/>
          <w:color w:val="000000"/>
        </w:rPr>
        <w:tab/>
        <w:t>(a)</w:t>
      </w:r>
      <w:r>
        <w:rPr>
          <w:bCs/>
          <w:color w:val="000000"/>
        </w:rPr>
        <w:tab/>
        <w:t>is unsuitable for the transport of the goods; or</w:t>
      </w:r>
    </w:p>
    <w:p>
      <w:pPr>
        <w:pStyle w:val="Indenta"/>
        <w:rPr>
          <w:bCs/>
          <w:color w:val="000000"/>
        </w:rPr>
      </w:pPr>
      <w:r>
        <w:rPr>
          <w:bCs/>
          <w:color w:val="000000"/>
        </w:rPr>
        <w:tab/>
        <w:t>(b)</w:t>
      </w:r>
      <w:r>
        <w:rPr>
          <w:bCs/>
          <w:color w:val="000000"/>
        </w:rPr>
        <w:tab/>
        <w:t>has not been packed in accordance with any relevant provision in the ADG Code Part 4.</w:t>
      </w:r>
    </w:p>
    <w:p>
      <w:pPr>
        <w:pStyle w:val="Penstart"/>
        <w:rPr>
          <w:bCs/>
          <w:color w:val="000000"/>
        </w:rPr>
      </w:pPr>
      <w:r>
        <w:rPr>
          <w:bCs/>
          <w:color w:val="000000"/>
        </w:rPr>
        <w:tab/>
        <w:t>Penalty: a fine of $5 000.</w:t>
      </w:r>
    </w:p>
    <w:p>
      <w:pPr>
        <w:pStyle w:val="Heading5"/>
        <w:rPr>
          <w:color w:val="000000"/>
        </w:rPr>
      </w:pPr>
      <w:bookmarkStart w:id="288" w:name="_Toc233693779"/>
      <w:bookmarkStart w:id="289" w:name="_Toc220466700"/>
      <w:r>
        <w:rPr>
          <w:rStyle w:val="CharSectno"/>
          <w:color w:val="000000"/>
        </w:rPr>
        <w:t>64</w:t>
      </w:r>
      <w:r>
        <w:rPr>
          <w:color w:val="000000"/>
        </w:rPr>
        <w:t>.</w:t>
      </w:r>
      <w:r>
        <w:rPr>
          <w:color w:val="000000"/>
        </w:rPr>
        <w:tab/>
        <w:t>Duty on prime contractors and rail operators</w:t>
      </w:r>
      <w:bookmarkEnd w:id="288"/>
      <w:bookmarkEnd w:id="289"/>
    </w:p>
    <w:p>
      <w:pPr>
        <w:pStyle w:val="Subsection"/>
        <w:rPr>
          <w:color w:val="000000"/>
        </w:rPr>
      </w:pPr>
      <w:r>
        <w:rPr>
          <w:color w:val="000000"/>
        </w:rPr>
        <w:tab/>
      </w:r>
      <w:r>
        <w:rPr>
          <w:color w:val="000000"/>
        </w:rPr>
        <w:tab/>
        <w:t xml:space="preserve">A prime contractor or rail operator must not transport dangerous goods in an IBC if the prime contractor or rail operator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90" w:name="_Toc233693780"/>
      <w:bookmarkStart w:id="291" w:name="_Toc220466701"/>
      <w:r>
        <w:rPr>
          <w:rStyle w:val="CharSectno"/>
          <w:color w:val="000000"/>
        </w:rPr>
        <w:t>65</w:t>
      </w:r>
      <w:r>
        <w:rPr>
          <w:color w:val="000000"/>
        </w:rPr>
        <w:t>.</w:t>
      </w:r>
      <w:r>
        <w:rPr>
          <w:color w:val="000000"/>
        </w:rPr>
        <w:tab/>
        <w:t>Duty on drivers</w:t>
      </w:r>
      <w:bookmarkEnd w:id="290"/>
      <w:bookmarkEnd w:id="291"/>
    </w:p>
    <w:p>
      <w:pPr>
        <w:pStyle w:val="Subsection"/>
        <w:rPr>
          <w:color w:val="000000"/>
        </w:rPr>
      </w:pPr>
      <w:r>
        <w:rPr>
          <w:color w:val="000000"/>
        </w:rPr>
        <w:tab/>
      </w:r>
      <w:r>
        <w:rPr>
          <w:color w:val="000000"/>
        </w:rPr>
        <w:tab/>
        <w:t xml:space="preserve">A person must not drive a road vehicle transporting dangerous goods in an IBC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4"/>
      </w:pPr>
      <w:bookmarkStart w:id="292" w:name="_Toc191959516"/>
      <w:bookmarkStart w:id="293" w:name="_Toc191983427"/>
      <w:bookmarkStart w:id="294" w:name="_Toc202345854"/>
      <w:bookmarkStart w:id="295" w:name="_Toc220466702"/>
      <w:bookmarkStart w:id="296" w:name="_Toc233693781"/>
      <w:r>
        <w:t>Subdivision 2 — Offences relating to other packaging</w:t>
      </w:r>
      <w:bookmarkEnd w:id="292"/>
      <w:bookmarkEnd w:id="293"/>
      <w:bookmarkEnd w:id="294"/>
      <w:bookmarkEnd w:id="295"/>
      <w:bookmarkEnd w:id="296"/>
    </w:p>
    <w:p>
      <w:pPr>
        <w:pStyle w:val="Heading5"/>
        <w:rPr>
          <w:color w:val="000000"/>
        </w:rPr>
      </w:pPr>
      <w:bookmarkStart w:id="297" w:name="_Toc233693782"/>
      <w:bookmarkStart w:id="298" w:name="_Toc220466703"/>
      <w:r>
        <w:rPr>
          <w:rStyle w:val="CharSectno"/>
          <w:color w:val="000000"/>
        </w:rPr>
        <w:t>66</w:t>
      </w:r>
      <w:r>
        <w:rPr>
          <w:color w:val="000000"/>
        </w:rPr>
        <w:t>.</w:t>
      </w:r>
      <w:r>
        <w:rPr>
          <w:color w:val="000000"/>
        </w:rPr>
        <w:tab/>
        <w:t>Meaning of “</w:t>
      </w:r>
      <w:r>
        <w:t>other packaging</w:t>
      </w:r>
      <w:r>
        <w:rPr>
          <w:color w:val="000000"/>
        </w:rPr>
        <w:t>” in this Subdivision</w:t>
      </w:r>
      <w:bookmarkEnd w:id="297"/>
      <w:bookmarkEnd w:id="298"/>
    </w:p>
    <w:p>
      <w:pPr>
        <w:pStyle w:val="Subsection"/>
        <w:rPr>
          <w:color w:val="000000"/>
        </w:rPr>
      </w:pPr>
      <w:r>
        <w:rPr>
          <w:color w:val="000000"/>
        </w:rPr>
        <w:tab/>
      </w:r>
      <w:r>
        <w:rPr>
          <w:color w:val="000000"/>
        </w:rPr>
        <w:tab/>
        <w:t xml:space="preserve">In this Subdivision — </w:t>
      </w:r>
    </w:p>
    <w:p>
      <w:pPr>
        <w:pStyle w:val="Defstart"/>
        <w:rPr>
          <w:color w:val="000000"/>
        </w:rPr>
      </w:pPr>
      <w:r>
        <w:rPr>
          <w:b/>
          <w:color w:val="000000"/>
        </w:rPr>
        <w:tab/>
      </w:r>
      <w:r>
        <w:rPr>
          <w:rStyle w:val="CharDefText"/>
          <w:color w:val="000000"/>
        </w:rPr>
        <w:t>other packaging</w:t>
      </w:r>
      <w:r>
        <w:rPr>
          <w:color w:val="000000"/>
        </w:rPr>
        <w:t xml:space="preserve"> means all packaging other than IBCs, MEGCs, portable tanks, bulk containers, freight containers, tanks on tank vehicles and overpacks.</w:t>
      </w:r>
    </w:p>
    <w:p>
      <w:pPr>
        <w:pStyle w:val="Heading5"/>
        <w:rPr>
          <w:color w:val="000000"/>
        </w:rPr>
      </w:pPr>
      <w:bookmarkStart w:id="299" w:name="_Toc233693783"/>
      <w:bookmarkStart w:id="300" w:name="_Toc220466704"/>
      <w:r>
        <w:rPr>
          <w:rStyle w:val="CharSectno"/>
          <w:color w:val="000000"/>
        </w:rPr>
        <w:t>67</w:t>
      </w:r>
      <w:r>
        <w:rPr>
          <w:color w:val="000000"/>
        </w:rPr>
        <w:t>.</w:t>
      </w:r>
      <w:r>
        <w:rPr>
          <w:color w:val="000000"/>
        </w:rPr>
        <w:tab/>
        <w:t>Duty on consignors</w:t>
      </w:r>
      <w:bookmarkEnd w:id="299"/>
      <w:bookmarkEnd w:id="300"/>
    </w:p>
    <w:p>
      <w:pPr>
        <w:pStyle w:val="Subsection"/>
        <w:rPr>
          <w:color w:val="000000"/>
        </w:rPr>
      </w:pPr>
      <w:r>
        <w:rPr>
          <w:color w:val="000000"/>
        </w:rPr>
        <w:tab/>
      </w:r>
      <w:r>
        <w:rPr>
          <w:color w:val="000000"/>
        </w:rPr>
        <w:tab/>
        <w:t xml:space="preserve">A person must not consign dangerous goods for transport in any other packaging if the person knows, or ought reasonably to know, that the packaging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301" w:name="_Toc233693784"/>
      <w:bookmarkStart w:id="302" w:name="_Toc220466705"/>
      <w:r>
        <w:rPr>
          <w:rStyle w:val="CharSectno"/>
          <w:color w:val="000000"/>
        </w:rPr>
        <w:t>68</w:t>
      </w:r>
      <w:r>
        <w:rPr>
          <w:color w:val="000000"/>
        </w:rPr>
        <w:t>.</w:t>
      </w:r>
      <w:r>
        <w:rPr>
          <w:color w:val="000000"/>
        </w:rPr>
        <w:tab/>
        <w:t>Duty on packers</w:t>
      </w:r>
      <w:bookmarkEnd w:id="301"/>
      <w:bookmarkEnd w:id="302"/>
    </w:p>
    <w:p>
      <w:pPr>
        <w:pStyle w:val="Subsection"/>
        <w:rPr>
          <w:color w:val="000000"/>
        </w:rPr>
      </w:pPr>
      <w:r>
        <w:rPr>
          <w:color w:val="000000"/>
        </w:rPr>
        <w:tab/>
        <w:t>(1)</w:t>
      </w:r>
      <w:r>
        <w:rPr>
          <w:color w:val="000000"/>
        </w:rPr>
        <w:tab/>
        <w:t>A person must not pack dangerous goods for transport in any other packaging if the person knows, or ought reasonably to know, that the packaging is unsuitable for the transport of the goods.</w:t>
      </w:r>
    </w:p>
    <w:p>
      <w:pPr>
        <w:pStyle w:val="Subsection"/>
        <w:rPr>
          <w:color w:val="000000"/>
        </w:rPr>
      </w:pPr>
      <w:r>
        <w:rPr>
          <w:color w:val="3366FF"/>
        </w:rPr>
        <w:tab/>
      </w:r>
      <w:r>
        <w:rPr>
          <w:color w:val="000000"/>
        </w:rPr>
        <w:t>(2)</w:t>
      </w:r>
      <w:r>
        <w:rPr>
          <w:color w:val="000000"/>
        </w:rPr>
        <w:tab/>
        <w:t>A person must not pack dangerous goods for transport in any other packaging in a way that the person knows, or ought reasonably to know, does not comply with any relevant provision of the ADG Code Part 4.</w:t>
      </w:r>
    </w:p>
    <w:p>
      <w:pPr>
        <w:pStyle w:val="Penstart"/>
      </w:pPr>
      <w:r>
        <w:tab/>
        <w:t>Penalty: a fine of $5 000.</w:t>
      </w:r>
    </w:p>
    <w:p>
      <w:pPr>
        <w:pStyle w:val="Heading5"/>
        <w:rPr>
          <w:color w:val="000000"/>
        </w:rPr>
      </w:pPr>
      <w:bookmarkStart w:id="303" w:name="_Toc233693785"/>
      <w:bookmarkStart w:id="304" w:name="_Toc220466706"/>
      <w:r>
        <w:rPr>
          <w:rStyle w:val="CharSectno"/>
          <w:color w:val="000000"/>
        </w:rPr>
        <w:t>69</w:t>
      </w:r>
      <w:r>
        <w:rPr>
          <w:color w:val="000000"/>
        </w:rPr>
        <w:t>.</w:t>
      </w:r>
      <w:r>
        <w:rPr>
          <w:color w:val="000000"/>
        </w:rPr>
        <w:tab/>
        <w:t>Duty on loaders</w:t>
      </w:r>
      <w:bookmarkEnd w:id="303"/>
      <w:bookmarkEnd w:id="304"/>
    </w:p>
    <w:p>
      <w:pPr>
        <w:pStyle w:val="Subsection"/>
        <w:rPr>
          <w:color w:val="000000"/>
        </w:rPr>
      </w:pPr>
      <w:r>
        <w:rPr>
          <w:color w:val="000000"/>
        </w:rPr>
        <w:tab/>
      </w:r>
      <w:r>
        <w:rPr>
          <w:color w:val="000000"/>
        </w:rPr>
        <w:tab/>
        <w:t>A person must not load dangerous goods in any other packaging for transport if the person knows, or ought reasonably to know, that the packaging is damaged or defective to the extent that it is not safe to use to transport the goods.</w:t>
      </w:r>
    </w:p>
    <w:p>
      <w:pPr>
        <w:pStyle w:val="Penstart"/>
        <w:rPr>
          <w:color w:val="000000"/>
        </w:rPr>
      </w:pPr>
      <w:r>
        <w:rPr>
          <w:color w:val="000000"/>
        </w:rPr>
        <w:tab/>
        <w:t>Penalty: a fine of $5 000.</w:t>
      </w:r>
    </w:p>
    <w:p>
      <w:pPr>
        <w:pStyle w:val="Heading5"/>
        <w:rPr>
          <w:color w:val="000000"/>
        </w:rPr>
      </w:pPr>
      <w:bookmarkStart w:id="305" w:name="_Toc233693786"/>
      <w:bookmarkStart w:id="306" w:name="_Toc220466707"/>
      <w:r>
        <w:rPr>
          <w:rStyle w:val="CharSectno"/>
          <w:color w:val="000000"/>
        </w:rPr>
        <w:t>70</w:t>
      </w:r>
      <w:r>
        <w:rPr>
          <w:color w:val="000000"/>
        </w:rPr>
        <w:t>.</w:t>
      </w:r>
      <w:r>
        <w:rPr>
          <w:color w:val="000000"/>
        </w:rPr>
        <w:tab/>
        <w:t>Duty on prime contractors and rail operators</w:t>
      </w:r>
      <w:bookmarkEnd w:id="305"/>
      <w:bookmarkEnd w:id="306"/>
    </w:p>
    <w:p>
      <w:pPr>
        <w:pStyle w:val="Subsection"/>
        <w:rPr>
          <w:color w:val="000000"/>
        </w:rPr>
      </w:pPr>
      <w:r>
        <w:rPr>
          <w:color w:val="000000"/>
        </w:rPr>
        <w:tab/>
      </w:r>
      <w:r>
        <w:rPr>
          <w:color w:val="000000"/>
        </w:rPr>
        <w:tab/>
        <w:t>A prime contractor or rail operator must not transport dangerous goods in any other packaging if the prime contractor or rail operator knows, or ought reasonably to know, that the packaging is damaged or defective to the extent that it is not safe to use to transport the goods.</w:t>
      </w:r>
    </w:p>
    <w:p>
      <w:pPr>
        <w:pStyle w:val="Penstart"/>
        <w:rPr>
          <w:color w:val="000000"/>
        </w:rPr>
      </w:pPr>
      <w:r>
        <w:rPr>
          <w:color w:val="000000"/>
        </w:rPr>
        <w:tab/>
        <w:t>Penalty: a fine of $3 000.</w:t>
      </w:r>
    </w:p>
    <w:p>
      <w:pPr>
        <w:pStyle w:val="Heading5"/>
        <w:rPr>
          <w:color w:val="000000"/>
        </w:rPr>
      </w:pPr>
      <w:bookmarkStart w:id="307" w:name="_Toc233693787"/>
      <w:bookmarkStart w:id="308" w:name="_Toc220466708"/>
      <w:r>
        <w:rPr>
          <w:rStyle w:val="CharSectno"/>
          <w:color w:val="000000"/>
        </w:rPr>
        <w:t>71</w:t>
      </w:r>
      <w:r>
        <w:rPr>
          <w:color w:val="000000"/>
        </w:rPr>
        <w:t>.</w:t>
      </w:r>
      <w:r>
        <w:rPr>
          <w:color w:val="000000"/>
        </w:rPr>
        <w:tab/>
        <w:t>Duty on drivers</w:t>
      </w:r>
      <w:bookmarkEnd w:id="307"/>
      <w:bookmarkEnd w:id="308"/>
    </w:p>
    <w:p>
      <w:pPr>
        <w:pStyle w:val="Subsection"/>
        <w:rPr>
          <w:color w:val="000000"/>
        </w:rPr>
      </w:pPr>
      <w:r>
        <w:rPr>
          <w:color w:val="000000"/>
        </w:rPr>
        <w:tab/>
      </w:r>
      <w:r>
        <w:rPr>
          <w:color w:val="000000"/>
        </w:rPr>
        <w:tab/>
        <w:t>A person must not drive a road vehicle transporting dangerous goods in any other packaging if the person knows, or ought reasonably to know, that the packaging is damaged or defective to the extent that it is not safe to use to transport the goods by road.</w:t>
      </w:r>
    </w:p>
    <w:p>
      <w:pPr>
        <w:pStyle w:val="Penstart"/>
        <w:rPr>
          <w:color w:val="000000"/>
        </w:rPr>
      </w:pPr>
      <w:r>
        <w:rPr>
          <w:color w:val="000000"/>
        </w:rPr>
        <w:tab/>
        <w:t>Penalty: a fine of $3 000.</w:t>
      </w:r>
    </w:p>
    <w:p>
      <w:pPr>
        <w:pStyle w:val="Heading3"/>
      </w:pPr>
      <w:bookmarkStart w:id="309" w:name="_Toc191959523"/>
      <w:bookmarkStart w:id="310" w:name="_Toc191983434"/>
      <w:bookmarkStart w:id="311" w:name="_Toc202345861"/>
      <w:bookmarkStart w:id="312" w:name="_Toc220466709"/>
      <w:bookmarkStart w:id="313" w:name="_Toc233693788"/>
      <w:r>
        <w:rPr>
          <w:rStyle w:val="CharDivNo"/>
        </w:rPr>
        <w:t>Division 5</w:t>
      </w:r>
      <w:r>
        <w:t> — </w:t>
      </w:r>
      <w:r>
        <w:rPr>
          <w:rStyle w:val="CharDivText"/>
        </w:rPr>
        <w:t>Offences relating to MEGCs and portable tanks</w:t>
      </w:r>
      <w:bookmarkEnd w:id="309"/>
      <w:bookmarkEnd w:id="310"/>
      <w:bookmarkEnd w:id="311"/>
      <w:bookmarkEnd w:id="312"/>
      <w:bookmarkEnd w:id="313"/>
    </w:p>
    <w:p>
      <w:pPr>
        <w:pStyle w:val="Heading4"/>
        <w:rPr>
          <w:color w:val="000000"/>
        </w:rPr>
      </w:pPr>
      <w:bookmarkStart w:id="314" w:name="_Toc191959524"/>
      <w:bookmarkStart w:id="315" w:name="_Toc191983435"/>
      <w:bookmarkStart w:id="316" w:name="_Toc202345862"/>
      <w:bookmarkStart w:id="317" w:name="_Toc220466710"/>
      <w:bookmarkStart w:id="318" w:name="_Toc233693789"/>
      <w:r>
        <w:rPr>
          <w:color w:val="000000"/>
        </w:rPr>
        <w:t>Subdivision 1 — Manufacturers and owners</w:t>
      </w:r>
      <w:bookmarkEnd w:id="314"/>
      <w:bookmarkEnd w:id="315"/>
      <w:bookmarkEnd w:id="316"/>
      <w:bookmarkEnd w:id="317"/>
      <w:bookmarkEnd w:id="318"/>
    </w:p>
    <w:p>
      <w:pPr>
        <w:pStyle w:val="Heading5"/>
        <w:rPr>
          <w:color w:val="000000"/>
        </w:rPr>
      </w:pPr>
      <w:bookmarkStart w:id="319" w:name="_Toc233693790"/>
      <w:bookmarkStart w:id="320" w:name="_Toc220466711"/>
      <w:r>
        <w:rPr>
          <w:rStyle w:val="CharSectno"/>
          <w:color w:val="000000"/>
        </w:rPr>
        <w:t>72</w:t>
      </w:r>
      <w:r>
        <w:rPr>
          <w:color w:val="000000"/>
        </w:rPr>
        <w:t>.</w:t>
      </w:r>
      <w:r>
        <w:rPr>
          <w:color w:val="000000"/>
        </w:rPr>
        <w:tab/>
        <w:t>Duty on manufacturers — compliance plates</w:t>
      </w:r>
      <w:bookmarkEnd w:id="319"/>
      <w:bookmarkEnd w:id="320"/>
    </w:p>
    <w:p>
      <w:pPr>
        <w:pStyle w:val="Subsection"/>
        <w:rPr>
          <w:color w:val="000000"/>
        </w:rPr>
      </w:pPr>
      <w:r>
        <w:rPr>
          <w:color w:val="000000"/>
        </w:rPr>
        <w:tab/>
      </w:r>
      <w:r>
        <w:rPr>
          <w:color w:val="000000"/>
        </w:rPr>
        <w:tab/>
        <w:t>A person who manufactures an MEGC or a portable tank for use in the transport of dangerous goods must attach a compliance plate to the MEGC or the tank in accordance with the ADG Code Chapter 6.7.</w:t>
      </w:r>
    </w:p>
    <w:p>
      <w:pPr>
        <w:pStyle w:val="Penstart"/>
        <w:rPr>
          <w:color w:val="000000"/>
        </w:rPr>
      </w:pPr>
      <w:r>
        <w:rPr>
          <w:color w:val="000000"/>
        </w:rPr>
        <w:tab/>
        <w:t>Penalty: a fine of $10 000.</w:t>
      </w:r>
    </w:p>
    <w:p>
      <w:pPr>
        <w:pStyle w:val="Heading5"/>
        <w:rPr>
          <w:color w:val="000000"/>
        </w:rPr>
      </w:pPr>
      <w:bookmarkStart w:id="321" w:name="_Toc233693791"/>
      <w:bookmarkStart w:id="322" w:name="_Toc220466712"/>
      <w:r>
        <w:rPr>
          <w:rStyle w:val="CharSectno"/>
          <w:color w:val="000000"/>
        </w:rPr>
        <w:t>73</w:t>
      </w:r>
      <w:r>
        <w:rPr>
          <w:color w:val="000000"/>
        </w:rPr>
        <w:t>.</w:t>
      </w:r>
      <w:r>
        <w:rPr>
          <w:color w:val="000000"/>
        </w:rPr>
        <w:tab/>
        <w:t>Duty on owners</w:t>
      </w:r>
      <w:bookmarkEnd w:id="321"/>
      <w:bookmarkEnd w:id="322"/>
    </w:p>
    <w:p>
      <w:pPr>
        <w:pStyle w:val="Subsection"/>
        <w:rPr>
          <w:color w:val="000000"/>
        </w:rPr>
      </w:pPr>
      <w:r>
        <w:rPr>
          <w:color w:val="000000"/>
        </w:rPr>
        <w:tab/>
      </w:r>
      <w:r>
        <w:rPr>
          <w:color w:val="000000"/>
        </w:rPr>
        <w:tab/>
        <w:t xml:space="preserve">The owner of an MEGC or a portable tank must not use the MEGC or the portable tank, or permit the MEGC or the portable tank to be used, to transport dangerous goods if the MEGC or the portable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4"/>
        <w:rPr>
          <w:color w:val="000000"/>
        </w:rPr>
      </w:pPr>
      <w:bookmarkStart w:id="323" w:name="_Toc191959527"/>
      <w:bookmarkStart w:id="324" w:name="_Toc191983438"/>
      <w:bookmarkStart w:id="325" w:name="_Toc202345865"/>
      <w:bookmarkStart w:id="326" w:name="_Toc220466713"/>
      <w:bookmarkStart w:id="327" w:name="_Toc233693792"/>
      <w:r>
        <w:rPr>
          <w:color w:val="000000"/>
        </w:rPr>
        <w:t>Subdivision 2 — Other offences relating to MEGCs</w:t>
      </w:r>
      <w:bookmarkEnd w:id="323"/>
      <w:bookmarkEnd w:id="324"/>
      <w:bookmarkEnd w:id="325"/>
      <w:bookmarkEnd w:id="326"/>
      <w:bookmarkEnd w:id="327"/>
    </w:p>
    <w:p>
      <w:pPr>
        <w:pStyle w:val="Heading5"/>
        <w:rPr>
          <w:color w:val="000000"/>
        </w:rPr>
      </w:pPr>
      <w:bookmarkStart w:id="328" w:name="_Toc233693793"/>
      <w:bookmarkStart w:id="329" w:name="_Toc220466714"/>
      <w:r>
        <w:rPr>
          <w:rStyle w:val="CharSectno"/>
          <w:color w:val="000000"/>
        </w:rPr>
        <w:t>74</w:t>
      </w:r>
      <w:r>
        <w:rPr>
          <w:color w:val="000000"/>
        </w:rPr>
        <w:t>.</w:t>
      </w:r>
      <w:r>
        <w:rPr>
          <w:color w:val="000000"/>
        </w:rPr>
        <w:tab/>
        <w:t>Duty on consignors</w:t>
      </w:r>
      <w:bookmarkEnd w:id="328"/>
      <w:bookmarkEnd w:id="329"/>
    </w:p>
    <w:p>
      <w:pPr>
        <w:pStyle w:val="Subsection"/>
        <w:rPr>
          <w:color w:val="000000"/>
        </w:rPr>
      </w:pPr>
      <w:r>
        <w:rPr>
          <w:color w:val="000000"/>
        </w:rPr>
        <w:tab/>
      </w:r>
      <w:r>
        <w:rPr>
          <w:color w:val="000000"/>
        </w:rPr>
        <w:tab/>
        <w:t xml:space="preserve">A person must not consign dangerous goods for transport in an MEGC if the MEGC — </w:t>
      </w:r>
    </w:p>
    <w:p>
      <w:pPr>
        <w:pStyle w:val="Indenta"/>
        <w:rPr>
          <w:color w:val="000000"/>
        </w:rPr>
      </w:pPr>
      <w:r>
        <w:rPr>
          <w:color w:val="000000"/>
        </w:rPr>
        <w:tab/>
        <w:t>(a)</w:t>
      </w:r>
      <w:r>
        <w:rPr>
          <w:color w:val="000000"/>
        </w:rPr>
        <w:tab/>
        <w:t>is unsuitable for the transport of the goods; or</w:t>
      </w:r>
    </w:p>
    <w:p>
      <w:pPr>
        <w:pStyle w:val="Indenta"/>
      </w:pPr>
      <w:r>
        <w:tab/>
        <w:t>(b)</w:t>
      </w:r>
      <w: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330" w:name="_Toc233693794"/>
      <w:bookmarkStart w:id="331" w:name="_Toc220466715"/>
      <w:r>
        <w:rPr>
          <w:rStyle w:val="CharSectno"/>
          <w:color w:val="000000"/>
        </w:rPr>
        <w:t>75</w:t>
      </w:r>
      <w:r>
        <w:rPr>
          <w:color w:val="000000"/>
        </w:rPr>
        <w:t>.</w:t>
      </w:r>
      <w:r>
        <w:rPr>
          <w:color w:val="000000"/>
        </w:rPr>
        <w:tab/>
        <w:t>Duty on loaders</w:t>
      </w:r>
      <w:bookmarkEnd w:id="330"/>
      <w:bookmarkEnd w:id="331"/>
    </w:p>
    <w:p>
      <w:pPr>
        <w:pStyle w:val="Subsection"/>
        <w:rPr>
          <w:color w:val="000000"/>
        </w:rPr>
      </w:pPr>
      <w:r>
        <w:rPr>
          <w:color w:val="000000"/>
        </w:rPr>
        <w:tab/>
      </w:r>
      <w:r>
        <w:rPr>
          <w:color w:val="000000"/>
        </w:rPr>
        <w:tab/>
        <w:t>A person must not load dangerous goods in an MEGC for transport if the person knows, or ought reasonably to know, that the MEGC is unsuitable for the transport of the goods.</w:t>
      </w:r>
    </w:p>
    <w:p>
      <w:pPr>
        <w:pStyle w:val="Penstart"/>
        <w:rPr>
          <w:color w:val="000000"/>
        </w:rPr>
      </w:pPr>
      <w:r>
        <w:rPr>
          <w:color w:val="000000"/>
        </w:rPr>
        <w:tab/>
        <w:t>Penalty: a fine of $5 000.</w:t>
      </w:r>
    </w:p>
    <w:p>
      <w:pPr>
        <w:pStyle w:val="Heading5"/>
        <w:rPr>
          <w:color w:val="000000"/>
        </w:rPr>
      </w:pPr>
      <w:bookmarkStart w:id="332" w:name="_Toc233693795"/>
      <w:bookmarkStart w:id="333" w:name="_Toc220466716"/>
      <w:r>
        <w:rPr>
          <w:rStyle w:val="CharSectno"/>
          <w:color w:val="000000"/>
        </w:rPr>
        <w:t>76</w:t>
      </w:r>
      <w:r>
        <w:rPr>
          <w:color w:val="000000"/>
        </w:rPr>
        <w:t>.</w:t>
      </w:r>
      <w:r>
        <w:rPr>
          <w:color w:val="000000"/>
        </w:rPr>
        <w:tab/>
        <w:t>Duty on prime contractors and rail operators</w:t>
      </w:r>
      <w:bookmarkEnd w:id="332"/>
      <w:bookmarkEnd w:id="333"/>
    </w:p>
    <w:p>
      <w:pPr>
        <w:pStyle w:val="Subsection"/>
        <w:rPr>
          <w:color w:val="000000"/>
        </w:rPr>
      </w:pPr>
      <w:r>
        <w:rPr>
          <w:color w:val="000000"/>
        </w:rPr>
        <w:tab/>
      </w:r>
      <w:r>
        <w:rPr>
          <w:color w:val="000000"/>
        </w:rPr>
        <w:tab/>
        <w:t>A prime contractor or rail operator must not transport dangerous goods in an MEGC if the prime contractor or rail operator knows, or ought reasonably to know, that the MEGC is damaged or defective to the extent that it is not safe to use to transport the goods.</w:t>
      </w:r>
    </w:p>
    <w:p>
      <w:pPr>
        <w:pStyle w:val="Penstart"/>
        <w:rPr>
          <w:b/>
          <w:bCs/>
          <w:i/>
          <w:iCs/>
          <w:color w:val="000000"/>
        </w:rPr>
      </w:pPr>
      <w:r>
        <w:rPr>
          <w:color w:val="000000"/>
        </w:rPr>
        <w:tab/>
        <w:t>Penalty: a fine of $10 000.</w:t>
      </w:r>
    </w:p>
    <w:p>
      <w:pPr>
        <w:pStyle w:val="Heading5"/>
        <w:rPr>
          <w:color w:val="000000"/>
        </w:rPr>
      </w:pPr>
      <w:bookmarkStart w:id="334" w:name="_Toc233693796"/>
      <w:bookmarkStart w:id="335" w:name="_Toc220466717"/>
      <w:r>
        <w:rPr>
          <w:rStyle w:val="CharSectno"/>
          <w:color w:val="000000"/>
        </w:rPr>
        <w:t>77</w:t>
      </w:r>
      <w:r>
        <w:rPr>
          <w:color w:val="000000"/>
        </w:rPr>
        <w:t>.</w:t>
      </w:r>
      <w:r>
        <w:rPr>
          <w:color w:val="000000"/>
        </w:rPr>
        <w:tab/>
        <w:t>Duty on drivers</w:t>
      </w:r>
      <w:bookmarkEnd w:id="334"/>
      <w:bookmarkEnd w:id="335"/>
    </w:p>
    <w:p>
      <w:pPr>
        <w:pStyle w:val="Subsection"/>
        <w:rPr>
          <w:color w:val="000000"/>
        </w:rPr>
      </w:pPr>
      <w:r>
        <w:rPr>
          <w:color w:val="000000"/>
        </w:rPr>
        <w:tab/>
      </w:r>
      <w:r>
        <w:rPr>
          <w:color w:val="000000"/>
        </w:rPr>
        <w:tab/>
        <w:t>A person must not drive a road vehicle transporting dangerous goods in an MEGC if the person knows, or ought reasonably to know, that the MEGC is damaged or defective to the extent that it is not safe to use to transport the goods by road.</w:t>
      </w:r>
    </w:p>
    <w:p>
      <w:pPr>
        <w:pStyle w:val="Penstart"/>
      </w:pPr>
      <w:r>
        <w:rPr>
          <w:color w:val="000000"/>
        </w:rPr>
        <w:tab/>
        <w:t>Penalty: a fine of $5 000.</w:t>
      </w:r>
    </w:p>
    <w:p>
      <w:pPr>
        <w:pStyle w:val="Heading4"/>
        <w:rPr>
          <w:color w:val="000000"/>
        </w:rPr>
      </w:pPr>
      <w:bookmarkStart w:id="336" w:name="_Toc191959532"/>
      <w:bookmarkStart w:id="337" w:name="_Toc191983443"/>
      <w:bookmarkStart w:id="338" w:name="_Toc202345870"/>
      <w:bookmarkStart w:id="339" w:name="_Toc220466718"/>
      <w:bookmarkStart w:id="340" w:name="_Toc233693797"/>
      <w:r>
        <w:rPr>
          <w:color w:val="000000"/>
        </w:rPr>
        <w:t>Subdivision 3 — Other offences relating to portable tanks</w:t>
      </w:r>
      <w:bookmarkEnd w:id="336"/>
      <w:bookmarkEnd w:id="337"/>
      <w:bookmarkEnd w:id="338"/>
      <w:bookmarkEnd w:id="339"/>
      <w:bookmarkEnd w:id="340"/>
    </w:p>
    <w:p>
      <w:pPr>
        <w:pStyle w:val="Heading5"/>
        <w:rPr>
          <w:color w:val="000000"/>
        </w:rPr>
      </w:pPr>
      <w:bookmarkStart w:id="341" w:name="_Toc233693798"/>
      <w:bookmarkStart w:id="342" w:name="_Toc220466719"/>
      <w:r>
        <w:rPr>
          <w:rStyle w:val="CharSectno"/>
          <w:color w:val="000000"/>
        </w:rPr>
        <w:t>78</w:t>
      </w:r>
      <w:r>
        <w:rPr>
          <w:color w:val="000000"/>
        </w:rPr>
        <w:t>.</w:t>
      </w:r>
      <w:r>
        <w:rPr>
          <w:color w:val="000000"/>
        </w:rPr>
        <w:tab/>
        <w:t>Duty on consignors</w:t>
      </w:r>
      <w:bookmarkEnd w:id="341"/>
      <w:bookmarkEnd w:id="342"/>
    </w:p>
    <w:p>
      <w:pPr>
        <w:pStyle w:val="Subsection"/>
        <w:rPr>
          <w:color w:val="000000"/>
        </w:rPr>
      </w:pPr>
      <w:r>
        <w:rPr>
          <w:color w:val="000000"/>
        </w:rPr>
        <w:tab/>
      </w:r>
      <w:r>
        <w:rPr>
          <w:color w:val="000000"/>
        </w:rPr>
        <w:tab/>
        <w:t xml:space="preserve">A person must not consign dangerous goods for transport in a portable tank if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343" w:name="_Toc233693799"/>
      <w:bookmarkStart w:id="344" w:name="_Toc220466720"/>
      <w:r>
        <w:rPr>
          <w:rStyle w:val="CharSectno"/>
          <w:color w:val="000000"/>
        </w:rPr>
        <w:t>79</w:t>
      </w:r>
      <w:r>
        <w:rPr>
          <w:color w:val="000000"/>
        </w:rPr>
        <w:t>.</w:t>
      </w:r>
      <w:r>
        <w:rPr>
          <w:color w:val="000000"/>
        </w:rPr>
        <w:tab/>
        <w:t>Duty on packers</w:t>
      </w:r>
      <w:bookmarkEnd w:id="343"/>
      <w:bookmarkEnd w:id="344"/>
    </w:p>
    <w:p>
      <w:pPr>
        <w:pStyle w:val="Subsection"/>
        <w:rPr>
          <w:color w:val="000000"/>
        </w:rPr>
      </w:pPr>
      <w:r>
        <w:rPr>
          <w:color w:val="000000"/>
        </w:rPr>
        <w:tab/>
        <w:t>(1)</w:t>
      </w:r>
      <w:r>
        <w:rPr>
          <w:color w:val="000000"/>
        </w:rPr>
        <w:tab/>
        <w:t>A person must not pack dangerous goods for transport in a portable tank if the tank is unsuitable for the transport of the goods.</w:t>
      </w:r>
    </w:p>
    <w:p>
      <w:pPr>
        <w:pStyle w:val="Subsection"/>
        <w:rPr>
          <w:color w:val="000000"/>
        </w:rPr>
      </w:pPr>
      <w:r>
        <w:rPr>
          <w:color w:val="000000"/>
        </w:rPr>
        <w:tab/>
        <w:t>(2)</w:t>
      </w:r>
      <w:r>
        <w:rPr>
          <w:color w:val="000000"/>
        </w:rPr>
        <w:tab/>
        <w:t>A person must not pack dangerous goods for transport in a portable tank in a way that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345" w:name="_Toc233693800"/>
      <w:bookmarkStart w:id="346" w:name="_Toc220466721"/>
      <w:r>
        <w:rPr>
          <w:rStyle w:val="CharSectno"/>
          <w:color w:val="000000"/>
        </w:rPr>
        <w:t>80</w:t>
      </w:r>
      <w:r>
        <w:rPr>
          <w:color w:val="000000"/>
        </w:rPr>
        <w:t>.</w:t>
      </w:r>
      <w:r>
        <w:rPr>
          <w:color w:val="000000"/>
        </w:rPr>
        <w:tab/>
        <w:t>Duty on loaders</w:t>
      </w:r>
      <w:bookmarkEnd w:id="345"/>
      <w:bookmarkEnd w:id="346"/>
    </w:p>
    <w:p>
      <w:pPr>
        <w:pStyle w:val="Subsection"/>
        <w:rPr>
          <w:color w:val="000000"/>
        </w:rPr>
      </w:pPr>
      <w:r>
        <w:rPr>
          <w:color w:val="000000"/>
        </w:rPr>
        <w:tab/>
      </w:r>
      <w:r>
        <w:rPr>
          <w:color w:val="000000"/>
        </w:rPr>
        <w:tab/>
        <w:t xml:space="preserve">A person must not load dangerous goods in a portable tank for transport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347" w:name="_Toc233693801"/>
      <w:bookmarkStart w:id="348" w:name="_Toc220466722"/>
      <w:r>
        <w:rPr>
          <w:rStyle w:val="CharSectno"/>
          <w:color w:val="000000"/>
        </w:rPr>
        <w:t>81</w:t>
      </w:r>
      <w:r>
        <w:rPr>
          <w:color w:val="000000"/>
        </w:rPr>
        <w:t>.</w:t>
      </w:r>
      <w:r>
        <w:rPr>
          <w:color w:val="000000"/>
        </w:rPr>
        <w:tab/>
        <w:t>Duty on prime contractors and rail operators</w:t>
      </w:r>
      <w:bookmarkEnd w:id="347"/>
      <w:bookmarkEnd w:id="348"/>
    </w:p>
    <w:p>
      <w:pPr>
        <w:pStyle w:val="Subsection"/>
        <w:rPr>
          <w:color w:val="000000"/>
        </w:rPr>
      </w:pPr>
      <w:r>
        <w:rPr>
          <w:color w:val="000000"/>
        </w:rPr>
        <w:tab/>
        <w:t>(1)</w:t>
      </w:r>
      <w:r>
        <w:rPr>
          <w:color w:val="000000"/>
        </w:rPr>
        <w:tab/>
        <w:t xml:space="preserve">A prime contractor or rail operator must not transport dangerous goods in a portable tank provided by the prime contractor or rail operator if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portable tank provided by someone else if the prime contractor or rail operator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349" w:name="_Toc233693802"/>
      <w:bookmarkStart w:id="350" w:name="_Toc220466723"/>
      <w:r>
        <w:rPr>
          <w:rStyle w:val="CharSectno"/>
          <w:color w:val="000000"/>
        </w:rPr>
        <w:t>82</w:t>
      </w:r>
      <w:r>
        <w:rPr>
          <w:color w:val="000000"/>
        </w:rPr>
        <w:t>.</w:t>
      </w:r>
      <w:r>
        <w:rPr>
          <w:color w:val="000000"/>
        </w:rPr>
        <w:tab/>
        <w:t>Duty on drivers</w:t>
      </w:r>
      <w:bookmarkEnd w:id="349"/>
      <w:bookmarkEnd w:id="350"/>
    </w:p>
    <w:p>
      <w:pPr>
        <w:pStyle w:val="Subsection"/>
        <w:rPr>
          <w:color w:val="000000"/>
        </w:rPr>
      </w:pPr>
      <w:r>
        <w:rPr>
          <w:color w:val="000000"/>
        </w:rPr>
        <w:tab/>
      </w:r>
      <w:r>
        <w:rPr>
          <w:color w:val="000000"/>
        </w:rPr>
        <w:tab/>
        <w:t xml:space="preserve">A person must not drive a road vehicle transporting dangerous goods in a portable tank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3"/>
      </w:pPr>
      <w:bookmarkStart w:id="351" w:name="_Toc191959538"/>
      <w:bookmarkStart w:id="352" w:name="_Toc191983449"/>
      <w:bookmarkStart w:id="353" w:name="_Toc202345876"/>
      <w:bookmarkStart w:id="354" w:name="_Toc220466724"/>
      <w:bookmarkStart w:id="355" w:name="_Toc233693803"/>
      <w:r>
        <w:rPr>
          <w:rStyle w:val="CharDivNo"/>
        </w:rPr>
        <w:t>Division 6</w:t>
      </w:r>
      <w:r>
        <w:t> — </w:t>
      </w:r>
      <w:r>
        <w:rPr>
          <w:rStyle w:val="CharDivText"/>
        </w:rPr>
        <w:t>Offences relating to bulk containers</w:t>
      </w:r>
      <w:bookmarkEnd w:id="351"/>
      <w:bookmarkEnd w:id="352"/>
      <w:bookmarkEnd w:id="353"/>
      <w:bookmarkEnd w:id="354"/>
      <w:bookmarkEnd w:id="355"/>
    </w:p>
    <w:p>
      <w:pPr>
        <w:pStyle w:val="Heading5"/>
      </w:pPr>
      <w:bookmarkStart w:id="356" w:name="_Toc233693804"/>
      <w:bookmarkStart w:id="357" w:name="_Toc220466725"/>
      <w:r>
        <w:rPr>
          <w:rStyle w:val="CharSectno"/>
        </w:rPr>
        <w:t>83</w:t>
      </w:r>
      <w:r>
        <w:t>.</w:t>
      </w:r>
      <w:r>
        <w:tab/>
        <w:t>Application of this Division to certain freight containers</w:t>
      </w:r>
      <w:bookmarkEnd w:id="356"/>
      <w:bookmarkEnd w:id="357"/>
    </w:p>
    <w:p>
      <w:pPr>
        <w:pStyle w:val="Subsection"/>
        <w:rPr>
          <w:b/>
          <w:bCs/>
          <w:i/>
          <w:iCs/>
          <w:color w:val="000000"/>
        </w:rPr>
      </w:pPr>
      <w:r>
        <w:tab/>
      </w:r>
      <w:r>
        <w:rPr>
          <w:color w:val="3366FF"/>
        </w:rPr>
        <w:tab/>
      </w:r>
      <w:r>
        <w:rPr>
          <w:color w:val="000000"/>
        </w:rPr>
        <w:t>With respect to freight containers, this Division only applies to a freight container that is used as a bulk container.</w:t>
      </w:r>
    </w:p>
    <w:p>
      <w:pPr>
        <w:pStyle w:val="Heading5"/>
      </w:pPr>
      <w:bookmarkStart w:id="358" w:name="_Toc233693805"/>
      <w:bookmarkStart w:id="359" w:name="_Toc220466726"/>
      <w:r>
        <w:rPr>
          <w:rStyle w:val="CharSectno"/>
        </w:rPr>
        <w:t>84</w:t>
      </w:r>
      <w:r>
        <w:t>.</w:t>
      </w:r>
      <w:r>
        <w:tab/>
        <w:t>Suitability of freight containers as bulk containers</w:t>
      </w:r>
      <w:bookmarkEnd w:id="358"/>
      <w:bookmarkEnd w:id="359"/>
    </w:p>
    <w:p>
      <w:pPr>
        <w:pStyle w:val="Subsection"/>
        <w:rPr>
          <w:color w:val="000000"/>
        </w:rPr>
      </w:pPr>
      <w:r>
        <w:rPr>
          <w:color w:val="000000"/>
        </w:rPr>
        <w:tab/>
      </w:r>
      <w:r>
        <w:rPr>
          <w:color w:val="000000"/>
        </w:rPr>
        <w:tab/>
        <w:t xml:space="preserve">A freight container is unsuitable for use as a bulk container for the transport of dangerous goods if — </w:t>
      </w:r>
    </w:p>
    <w:p>
      <w:pPr>
        <w:pStyle w:val="Indenta"/>
        <w:rPr>
          <w:color w:val="000000"/>
        </w:rPr>
      </w:pPr>
      <w:r>
        <w:rPr>
          <w:color w:val="000000"/>
        </w:rPr>
        <w:tab/>
        <w:t>(a)</w:t>
      </w:r>
      <w:r>
        <w:rPr>
          <w:color w:val="000000"/>
        </w:rPr>
        <w:tab/>
        <w:t>it is unsuitable as packaging for the transport of the dangerous goods (as determined under regulation 53); or</w:t>
      </w:r>
    </w:p>
    <w:p>
      <w:pPr>
        <w:pStyle w:val="Indenta"/>
        <w:rPr>
          <w:color w:val="000000"/>
        </w:rPr>
      </w:pPr>
      <w:r>
        <w:rPr>
          <w:color w:val="000000"/>
        </w:rPr>
        <w:tab/>
        <w:t>(b)</w:t>
      </w:r>
      <w:r>
        <w:rPr>
          <w:color w:val="000000"/>
        </w:rPr>
        <w:tab/>
        <w:t xml:space="preserve">it does not have affixed to it a Safety Approval Plate as required under the </w:t>
      </w:r>
      <w:r>
        <w:rPr>
          <w:i/>
          <w:iCs/>
          <w:color w:val="000000"/>
        </w:rPr>
        <w:t xml:space="preserve">International Convention for Safe Containers 1972 </w:t>
      </w:r>
      <w:r>
        <w:t>published by the International Maritime Organisation</w:t>
      </w:r>
      <w:r>
        <w:rPr>
          <w:color w:val="000000"/>
        </w:rPr>
        <w:t>; or</w:t>
      </w:r>
    </w:p>
    <w:p>
      <w:pPr>
        <w:pStyle w:val="Indenta"/>
        <w:rPr>
          <w:color w:val="000000"/>
        </w:rPr>
      </w:pPr>
      <w:r>
        <w:rPr>
          <w:color w:val="000000"/>
        </w:rPr>
        <w:tab/>
        <w:t>(c)</w:t>
      </w:r>
      <w:r>
        <w:rPr>
          <w:color w:val="000000"/>
        </w:rPr>
        <w:tab/>
        <w:t>it does not comply with any relevant standard imposed under the ADG Code Part 4.</w:t>
      </w:r>
    </w:p>
    <w:p>
      <w:pPr>
        <w:pStyle w:val="Heading5"/>
        <w:rPr>
          <w:color w:val="000000"/>
        </w:rPr>
      </w:pPr>
      <w:bookmarkStart w:id="360" w:name="_Toc233693806"/>
      <w:bookmarkStart w:id="361" w:name="_Toc220466727"/>
      <w:r>
        <w:rPr>
          <w:rStyle w:val="CharSectno"/>
          <w:color w:val="000000"/>
        </w:rPr>
        <w:t>85</w:t>
      </w:r>
      <w:r>
        <w:rPr>
          <w:color w:val="000000"/>
        </w:rPr>
        <w:t>.</w:t>
      </w:r>
      <w:r>
        <w:rPr>
          <w:color w:val="000000"/>
        </w:rPr>
        <w:tab/>
        <w:t>Duty on consignors</w:t>
      </w:r>
      <w:bookmarkEnd w:id="360"/>
      <w:bookmarkEnd w:id="361"/>
    </w:p>
    <w:p>
      <w:pPr>
        <w:pStyle w:val="Subsection"/>
        <w:rPr>
          <w:color w:val="000000"/>
        </w:rPr>
      </w:pPr>
      <w:r>
        <w:rPr>
          <w:color w:val="000000"/>
        </w:rPr>
        <w:tab/>
      </w:r>
      <w:r>
        <w:rPr>
          <w:color w:val="000000"/>
        </w:rPr>
        <w:tab/>
        <w:t xml:space="preserve">A person must not consign dangerous goods for transport in a bulk container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362" w:name="_Toc233693807"/>
      <w:bookmarkStart w:id="363" w:name="_Toc220466728"/>
      <w:r>
        <w:rPr>
          <w:rStyle w:val="CharSectno"/>
          <w:color w:val="000000"/>
        </w:rPr>
        <w:t>86</w:t>
      </w:r>
      <w:r>
        <w:rPr>
          <w:color w:val="000000"/>
        </w:rPr>
        <w:t>.</w:t>
      </w:r>
      <w:r>
        <w:rPr>
          <w:color w:val="000000"/>
        </w:rPr>
        <w:tab/>
        <w:t>Duty on packers</w:t>
      </w:r>
      <w:bookmarkEnd w:id="362"/>
      <w:bookmarkEnd w:id="363"/>
    </w:p>
    <w:p>
      <w:pPr>
        <w:pStyle w:val="Subsection"/>
        <w:rPr>
          <w:color w:val="000000"/>
        </w:rPr>
      </w:pPr>
      <w:r>
        <w:rPr>
          <w:color w:val="000000"/>
        </w:rPr>
        <w:tab/>
        <w:t>(1)</w:t>
      </w:r>
      <w:r>
        <w:rPr>
          <w:color w:val="000000"/>
        </w:rPr>
        <w:tab/>
        <w:t>A person must not pack dangerous goods for transport in a bulk container if the person knows, or ought reasonably to know, that the container is unsuitable for the transport of the goods.</w:t>
      </w:r>
    </w:p>
    <w:p>
      <w:pPr>
        <w:pStyle w:val="Subsection"/>
        <w:rPr>
          <w:color w:val="000000"/>
        </w:rPr>
      </w:pPr>
      <w:r>
        <w:rPr>
          <w:color w:val="000000"/>
        </w:rPr>
        <w:tab/>
        <w:t>(2)</w:t>
      </w:r>
      <w:r>
        <w:rPr>
          <w:color w:val="000000"/>
        </w:rPr>
        <w:tab/>
        <w:t>A person must not pack dangerous goods for transport in a bulk container in a way that does not comply with any relevant provision in the ADG Code Part 4.</w:t>
      </w:r>
    </w:p>
    <w:p>
      <w:pPr>
        <w:pStyle w:val="Penstart"/>
        <w:rPr>
          <w:color w:val="000000"/>
        </w:rPr>
      </w:pPr>
      <w:r>
        <w:rPr>
          <w:color w:val="000000"/>
        </w:rPr>
        <w:tab/>
        <w:t>Penalty: a fine of $5 000.</w:t>
      </w:r>
    </w:p>
    <w:p>
      <w:pPr>
        <w:pStyle w:val="Heading5"/>
      </w:pPr>
      <w:bookmarkStart w:id="364" w:name="_Toc233693808"/>
      <w:bookmarkStart w:id="365" w:name="_Toc220466729"/>
      <w:r>
        <w:rPr>
          <w:rStyle w:val="CharSectno"/>
        </w:rPr>
        <w:t>87</w:t>
      </w:r>
      <w:r>
        <w:t>.</w:t>
      </w:r>
      <w:r>
        <w:tab/>
        <w:t>Duty on loaders</w:t>
      </w:r>
      <w:bookmarkEnd w:id="364"/>
      <w:bookmarkEnd w:id="365"/>
    </w:p>
    <w:p>
      <w:pPr>
        <w:pStyle w:val="Subsection"/>
        <w:rPr>
          <w:color w:val="000000"/>
        </w:rPr>
      </w:pPr>
      <w:r>
        <w:tab/>
      </w:r>
      <w:r>
        <w:rPr>
          <w:color w:val="000000"/>
        </w:rPr>
        <w:tab/>
        <w:t xml:space="preserve">A person must not load dangerous goods in a bulk container for transport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tab/>
        <w:t>Penalty: a fine of $5 000.</w:t>
      </w:r>
    </w:p>
    <w:p>
      <w:pPr>
        <w:pStyle w:val="Heading5"/>
        <w:rPr>
          <w:color w:val="000000"/>
        </w:rPr>
      </w:pPr>
      <w:bookmarkStart w:id="366" w:name="_Toc233693809"/>
      <w:bookmarkStart w:id="367" w:name="_Toc220466730"/>
      <w:r>
        <w:rPr>
          <w:rStyle w:val="CharSectno"/>
          <w:color w:val="000000"/>
        </w:rPr>
        <w:t>88</w:t>
      </w:r>
      <w:r>
        <w:rPr>
          <w:color w:val="000000"/>
        </w:rPr>
        <w:t>.</w:t>
      </w:r>
      <w:r>
        <w:rPr>
          <w:color w:val="000000"/>
        </w:rPr>
        <w:tab/>
        <w:t>Duty on prime contractors and rail operators</w:t>
      </w:r>
      <w:bookmarkEnd w:id="366"/>
      <w:bookmarkEnd w:id="367"/>
    </w:p>
    <w:p>
      <w:pPr>
        <w:pStyle w:val="Subsection"/>
        <w:rPr>
          <w:color w:val="000000"/>
        </w:rPr>
      </w:pPr>
      <w:r>
        <w:rPr>
          <w:color w:val="000000"/>
        </w:rPr>
        <w:tab/>
        <w:t>(1)</w:t>
      </w:r>
      <w:r>
        <w:rPr>
          <w:color w:val="000000"/>
        </w:rPr>
        <w:tab/>
        <w:t xml:space="preserve">A prime contractor or rail operator must not transport dangerous goods in a bulk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3366FF"/>
        </w:rPr>
        <w:tab/>
      </w:r>
      <w:r>
        <w:rPr>
          <w:color w:val="000000"/>
        </w:rPr>
        <w:t>(2)</w:t>
      </w:r>
      <w:r>
        <w:rPr>
          <w:color w:val="000000"/>
        </w:rPr>
        <w:tab/>
        <w:t xml:space="preserve">A prime contractor or rail operator must not transport dangerous goods in a bulk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pPr>
      <w:r>
        <w:tab/>
        <w:t>Penalty: a fine of $10 000.</w:t>
      </w:r>
    </w:p>
    <w:p>
      <w:pPr>
        <w:pStyle w:val="Heading5"/>
        <w:rPr>
          <w:color w:val="000000"/>
        </w:rPr>
      </w:pPr>
      <w:bookmarkStart w:id="368" w:name="_Toc233693810"/>
      <w:bookmarkStart w:id="369" w:name="_Toc220466731"/>
      <w:r>
        <w:rPr>
          <w:rStyle w:val="CharSectno"/>
          <w:color w:val="000000"/>
        </w:rPr>
        <w:t>89</w:t>
      </w:r>
      <w:r>
        <w:rPr>
          <w:color w:val="000000"/>
        </w:rPr>
        <w:t>.</w:t>
      </w:r>
      <w:r>
        <w:rPr>
          <w:color w:val="000000"/>
        </w:rPr>
        <w:tab/>
        <w:t>Duty on drivers</w:t>
      </w:r>
      <w:bookmarkEnd w:id="368"/>
      <w:bookmarkEnd w:id="369"/>
    </w:p>
    <w:p>
      <w:pPr>
        <w:pStyle w:val="Subsection"/>
        <w:rPr>
          <w:color w:val="000000"/>
        </w:rPr>
      </w:pPr>
      <w:r>
        <w:rPr>
          <w:color w:val="3366FF"/>
        </w:rPr>
        <w:tab/>
      </w:r>
      <w:r>
        <w:rPr>
          <w:color w:val="3366FF"/>
        </w:rPr>
        <w:tab/>
      </w:r>
      <w:r>
        <w:rPr>
          <w:color w:val="000000"/>
        </w:rPr>
        <w:t xml:space="preserve">A person must not drive a road vehicle transporting dangerous goods in a bulk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3"/>
      </w:pPr>
      <w:bookmarkStart w:id="370" w:name="_Toc191959546"/>
      <w:bookmarkStart w:id="371" w:name="_Toc191983457"/>
      <w:bookmarkStart w:id="372" w:name="_Toc202345884"/>
      <w:bookmarkStart w:id="373" w:name="_Toc220466732"/>
      <w:bookmarkStart w:id="374" w:name="_Toc233693811"/>
      <w:r>
        <w:rPr>
          <w:rStyle w:val="CharDivNo"/>
        </w:rPr>
        <w:t>Division 7</w:t>
      </w:r>
      <w:r>
        <w:t> — </w:t>
      </w:r>
      <w:r>
        <w:rPr>
          <w:rStyle w:val="CharDivText"/>
        </w:rPr>
        <w:t>Offences relating to freight containers</w:t>
      </w:r>
      <w:bookmarkEnd w:id="370"/>
      <w:bookmarkEnd w:id="371"/>
      <w:bookmarkEnd w:id="372"/>
      <w:bookmarkEnd w:id="373"/>
      <w:bookmarkEnd w:id="374"/>
    </w:p>
    <w:p>
      <w:pPr>
        <w:pStyle w:val="Heading5"/>
      </w:pPr>
      <w:bookmarkStart w:id="375" w:name="_Toc233693812"/>
      <w:bookmarkStart w:id="376" w:name="_Toc220466733"/>
      <w:r>
        <w:rPr>
          <w:rStyle w:val="CharSectno"/>
        </w:rPr>
        <w:t>90</w:t>
      </w:r>
      <w:r>
        <w:t>.</w:t>
      </w:r>
      <w:r>
        <w:tab/>
        <w:t>Application of this Division</w:t>
      </w:r>
      <w:bookmarkEnd w:id="375"/>
      <w:bookmarkEnd w:id="376"/>
    </w:p>
    <w:p>
      <w:pPr>
        <w:pStyle w:val="Subsection"/>
        <w:rPr>
          <w:color w:val="000000"/>
        </w:rPr>
      </w:pPr>
      <w:r>
        <w:tab/>
      </w:r>
      <w:r>
        <w:rPr>
          <w:color w:val="3366FF"/>
        </w:rPr>
        <w:tab/>
      </w:r>
      <w:r>
        <w:rPr>
          <w:color w:val="000000"/>
        </w:rPr>
        <w:t>This Division does not apply to a freight container that is being used as a bulk container.</w:t>
      </w:r>
    </w:p>
    <w:p>
      <w:pPr>
        <w:pStyle w:val="Heading5"/>
      </w:pPr>
      <w:bookmarkStart w:id="377" w:name="_Toc233693813"/>
      <w:bookmarkStart w:id="378" w:name="_Toc220466734"/>
      <w:r>
        <w:rPr>
          <w:rStyle w:val="CharSectno"/>
        </w:rPr>
        <w:t>91</w:t>
      </w:r>
      <w:r>
        <w:t>.</w:t>
      </w:r>
      <w:r>
        <w:tab/>
        <w:t>Suitability of freight containers</w:t>
      </w:r>
      <w:bookmarkEnd w:id="377"/>
      <w:bookmarkEnd w:id="378"/>
    </w:p>
    <w:p>
      <w:pPr>
        <w:pStyle w:val="Subsection"/>
        <w:rPr>
          <w:color w:val="000000"/>
        </w:rPr>
      </w:pPr>
      <w:r>
        <w:tab/>
      </w:r>
      <w:r>
        <w:rPr>
          <w:color w:val="000000"/>
        </w:rPr>
        <w:tab/>
        <w:t xml:space="preserve">For the purposes of this Division, a freight container is unsuitable for the transport of dangerous goods if — </w:t>
      </w:r>
    </w:p>
    <w:p>
      <w:pPr>
        <w:pStyle w:val="Indenta"/>
        <w:rPr>
          <w:color w:val="000000"/>
        </w:rPr>
      </w:pPr>
      <w:r>
        <w:rPr>
          <w:color w:val="000000"/>
        </w:rPr>
        <w:tab/>
        <w:t>(a)</w:t>
      </w:r>
      <w:r>
        <w:rPr>
          <w:color w:val="000000"/>
        </w:rPr>
        <w:tab/>
        <w:t>it is damaged or defective to the extent that it is not safe to use to transport the goods; or</w:t>
      </w:r>
    </w:p>
    <w:p>
      <w:pPr>
        <w:pStyle w:val="Indenta"/>
        <w:rPr>
          <w:color w:val="000000"/>
        </w:rPr>
      </w:pPr>
      <w:r>
        <w:rPr>
          <w:color w:val="000000"/>
        </w:rPr>
        <w:tab/>
        <w:t>(b)</w:t>
      </w:r>
      <w:r>
        <w:rPr>
          <w:color w:val="000000"/>
        </w:rPr>
        <w:tab/>
        <w:t>it does not comply with any relevant standard imposed under the ADG Code Part 4.</w:t>
      </w:r>
    </w:p>
    <w:p>
      <w:pPr>
        <w:pStyle w:val="Heading5"/>
      </w:pPr>
      <w:bookmarkStart w:id="379" w:name="_Toc233693814"/>
      <w:bookmarkStart w:id="380" w:name="_Toc220466735"/>
      <w:r>
        <w:rPr>
          <w:rStyle w:val="CharSectno"/>
        </w:rPr>
        <w:t>92</w:t>
      </w:r>
      <w:r>
        <w:t>.</w:t>
      </w:r>
      <w:r>
        <w:tab/>
        <w:t>Duty on consignors</w:t>
      </w:r>
      <w:bookmarkEnd w:id="379"/>
      <w:bookmarkEnd w:id="380"/>
    </w:p>
    <w:p>
      <w:pPr>
        <w:pStyle w:val="Subsection"/>
        <w:rPr>
          <w:color w:val="000000"/>
        </w:rPr>
      </w:pPr>
      <w:r>
        <w:rPr>
          <w:color w:val="000000"/>
        </w:rPr>
        <w:tab/>
        <w:t>(1)</w:t>
      </w:r>
      <w:r>
        <w:rPr>
          <w:color w:val="000000"/>
        </w:rPr>
        <w:tab/>
        <w:t xml:space="preserve">A person must not consign dangerous goods for transport in a freight container provided by the person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Subsection"/>
        <w:rPr>
          <w:color w:val="000000"/>
        </w:rPr>
      </w:pPr>
      <w:r>
        <w:rPr>
          <w:color w:val="000000"/>
        </w:rPr>
        <w:tab/>
        <w:t>(2)</w:t>
      </w:r>
      <w:r>
        <w:rPr>
          <w:color w:val="000000"/>
        </w:rPr>
        <w:tab/>
        <w:t xml:space="preserve">A person must not consign dangerous goods for transport in a freight container provided by someone else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Penstart"/>
      </w:pPr>
      <w:r>
        <w:rPr>
          <w:color w:val="000000"/>
        </w:rPr>
        <w:tab/>
        <w:t>Penalty: a fine of $10 000.</w:t>
      </w:r>
    </w:p>
    <w:p>
      <w:pPr>
        <w:pStyle w:val="Heading5"/>
      </w:pPr>
      <w:bookmarkStart w:id="381" w:name="_Toc233693815"/>
      <w:bookmarkStart w:id="382" w:name="_Toc220466736"/>
      <w:r>
        <w:rPr>
          <w:rStyle w:val="CharSectno"/>
        </w:rPr>
        <w:t>93</w:t>
      </w:r>
      <w:r>
        <w:t>.</w:t>
      </w:r>
      <w:r>
        <w:tab/>
        <w:t>Duty on loaders</w:t>
      </w:r>
      <w:bookmarkEnd w:id="381"/>
      <w:bookmarkEnd w:id="382"/>
    </w:p>
    <w:p>
      <w:pPr>
        <w:pStyle w:val="Subsection"/>
      </w:pPr>
      <w:r>
        <w:rPr>
          <w:color w:val="000000"/>
        </w:rPr>
        <w:tab/>
      </w:r>
      <w:r>
        <w:rPr>
          <w:color w:val="000000"/>
        </w:rPr>
        <w:tab/>
        <w:t>A person must not load dangerous goods in a freight container for transport if the person knows, or ought reasonably to know, that the container is unsuitable for the transport of the goods.</w:t>
      </w:r>
    </w:p>
    <w:p>
      <w:pPr>
        <w:pStyle w:val="Penstart"/>
        <w:rPr>
          <w:color w:val="000000"/>
        </w:rPr>
      </w:pPr>
      <w:r>
        <w:rPr>
          <w:color w:val="000000"/>
        </w:rPr>
        <w:tab/>
        <w:t>Penalty: a fine of $5 000.</w:t>
      </w:r>
    </w:p>
    <w:p>
      <w:pPr>
        <w:pStyle w:val="Heading5"/>
      </w:pPr>
      <w:bookmarkStart w:id="383" w:name="_Toc233693816"/>
      <w:bookmarkStart w:id="384" w:name="_Toc220466737"/>
      <w:r>
        <w:rPr>
          <w:rStyle w:val="CharSectno"/>
        </w:rPr>
        <w:t>94</w:t>
      </w:r>
      <w:r>
        <w:t>.</w:t>
      </w:r>
      <w:r>
        <w:tab/>
        <w:t>Duty on prime contractors and rail operators</w:t>
      </w:r>
      <w:bookmarkEnd w:id="383"/>
      <w:bookmarkEnd w:id="384"/>
    </w:p>
    <w:p>
      <w:pPr>
        <w:pStyle w:val="Subsection"/>
        <w:rPr>
          <w:color w:val="000000"/>
        </w:rPr>
      </w:pPr>
      <w:r>
        <w:rPr>
          <w:color w:val="3366FF"/>
        </w:rPr>
        <w:tab/>
      </w:r>
      <w:r>
        <w:rPr>
          <w:color w:val="000000"/>
        </w:rPr>
        <w:t>(1)</w:t>
      </w:r>
      <w:r>
        <w:rPr>
          <w:color w:val="000000"/>
        </w:rPr>
        <w:tab/>
        <w:t xml:space="preserve">A prime contractor or rail operator must not transport dangerous goods in a freight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Subsection"/>
        <w:rPr>
          <w:color w:val="000000"/>
        </w:rPr>
      </w:pPr>
      <w:r>
        <w:rPr>
          <w:color w:val="000000"/>
        </w:rPr>
        <w:tab/>
        <w:t>(2)</w:t>
      </w:r>
      <w:r>
        <w:rPr>
          <w:color w:val="000000"/>
        </w:rPr>
        <w:tab/>
        <w:t xml:space="preserve">A prime contractor or rail operator must not transport dangerous goods in a freight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5"/>
        <w:rPr>
          <w:color w:val="000000"/>
        </w:rPr>
      </w:pPr>
      <w:bookmarkStart w:id="385" w:name="_Toc233693817"/>
      <w:bookmarkStart w:id="386" w:name="_Toc220466738"/>
      <w:r>
        <w:rPr>
          <w:rStyle w:val="CharSectno"/>
          <w:color w:val="000000"/>
        </w:rPr>
        <w:t>95</w:t>
      </w:r>
      <w:r>
        <w:rPr>
          <w:color w:val="000000"/>
        </w:rPr>
        <w:t>.</w:t>
      </w:r>
      <w:r>
        <w:rPr>
          <w:color w:val="000000"/>
        </w:rPr>
        <w:tab/>
        <w:t>Duty on drivers</w:t>
      </w:r>
      <w:bookmarkEnd w:id="385"/>
      <w:bookmarkEnd w:id="386"/>
    </w:p>
    <w:p>
      <w:pPr>
        <w:pStyle w:val="Subsection"/>
        <w:rPr>
          <w:color w:val="000000"/>
        </w:rPr>
      </w:pPr>
      <w:r>
        <w:rPr>
          <w:color w:val="000000"/>
        </w:rPr>
        <w:tab/>
      </w:r>
      <w:r>
        <w:rPr>
          <w:color w:val="000000"/>
        </w:rPr>
        <w:tab/>
        <w:t xml:space="preserve">A person must not drive a road vehicle transporting dangerous goods in a freight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$5 000.</w:t>
      </w:r>
    </w:p>
    <w:p>
      <w:pPr>
        <w:pStyle w:val="Heading3"/>
      </w:pPr>
      <w:bookmarkStart w:id="387" w:name="_Toc191959553"/>
      <w:bookmarkStart w:id="388" w:name="_Toc191983464"/>
      <w:bookmarkStart w:id="389" w:name="_Toc202345891"/>
      <w:bookmarkStart w:id="390" w:name="_Toc220466739"/>
      <w:bookmarkStart w:id="391" w:name="_Toc233693818"/>
      <w:r>
        <w:rPr>
          <w:rStyle w:val="CharDivNo"/>
        </w:rPr>
        <w:t>Division 8</w:t>
      </w:r>
      <w:r>
        <w:t> — </w:t>
      </w:r>
      <w:r>
        <w:rPr>
          <w:rStyle w:val="CharDivText"/>
        </w:rPr>
        <w:t>Offences relating to tank vehicles and tanks on such vehicles</w:t>
      </w:r>
      <w:bookmarkEnd w:id="387"/>
      <w:bookmarkEnd w:id="388"/>
      <w:bookmarkEnd w:id="389"/>
      <w:bookmarkEnd w:id="390"/>
      <w:bookmarkEnd w:id="391"/>
    </w:p>
    <w:p>
      <w:pPr>
        <w:pStyle w:val="Heading5"/>
      </w:pPr>
      <w:bookmarkStart w:id="392" w:name="_Toc233693819"/>
      <w:bookmarkStart w:id="393" w:name="_Toc220466740"/>
      <w:r>
        <w:rPr>
          <w:rStyle w:val="CharSectno"/>
        </w:rPr>
        <w:t>96</w:t>
      </w:r>
      <w:r>
        <w:t>.</w:t>
      </w:r>
      <w:r>
        <w:tab/>
        <w:t>Duty on m</w:t>
      </w:r>
      <w:r>
        <w:rPr>
          <w:color w:val="000000"/>
        </w:rPr>
        <w:t>anufacturers — compliance plates</w:t>
      </w:r>
      <w:bookmarkEnd w:id="392"/>
      <w:bookmarkEnd w:id="393"/>
    </w:p>
    <w:p>
      <w:pPr>
        <w:pStyle w:val="Subsection"/>
        <w:rPr>
          <w:color w:val="000000"/>
        </w:rPr>
      </w:pPr>
      <w:r>
        <w:rPr>
          <w:color w:val="000000"/>
        </w:rPr>
        <w:tab/>
      </w:r>
      <w:r>
        <w:rPr>
          <w:color w:val="000000"/>
        </w:rP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Heading5"/>
        <w:rPr>
          <w:color w:val="000000"/>
        </w:rPr>
      </w:pPr>
      <w:bookmarkStart w:id="394" w:name="_Toc233693820"/>
      <w:bookmarkStart w:id="395" w:name="_Toc220466741"/>
      <w:r>
        <w:rPr>
          <w:rStyle w:val="CharSectno"/>
          <w:color w:val="000000"/>
        </w:rPr>
        <w:t>97</w:t>
      </w:r>
      <w:r>
        <w:rPr>
          <w:color w:val="000000"/>
        </w:rPr>
        <w:t>.</w:t>
      </w:r>
      <w:r>
        <w:rPr>
          <w:color w:val="000000"/>
        </w:rPr>
        <w:tab/>
        <w:t>Duty on consignors</w:t>
      </w:r>
      <w:bookmarkEnd w:id="394"/>
      <w:bookmarkEnd w:id="395"/>
    </w:p>
    <w:p>
      <w:pPr>
        <w:pStyle w:val="Subsection"/>
        <w:rPr>
          <w:color w:val="000000"/>
        </w:rPr>
      </w:pPr>
      <w:r>
        <w:rPr>
          <w:color w:val="000000"/>
        </w:rPr>
        <w:tab/>
        <w:t>(1)</w:t>
      </w:r>
      <w:r>
        <w:rPr>
          <w:color w:val="000000"/>
        </w:rPr>
        <w:tab/>
        <w:t xml:space="preserve">A person must not consign dangerous goods for transport in a tank vehicle provided by the person if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 tank vehicle provided by someone else if the person knows, or ought reasonably to know, that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rPr>
          <w:color w:val="000000"/>
        </w:rPr>
        <w:tab/>
        <w:t>Penalty: a fine of $10 000.</w:t>
      </w:r>
    </w:p>
    <w:p>
      <w:pPr>
        <w:pStyle w:val="Heading5"/>
      </w:pPr>
      <w:bookmarkStart w:id="396" w:name="_Toc233693821"/>
      <w:bookmarkStart w:id="397" w:name="_Toc220466742"/>
      <w:r>
        <w:rPr>
          <w:rStyle w:val="CharSectno"/>
        </w:rPr>
        <w:t>98</w:t>
      </w:r>
      <w:r>
        <w:t>.</w:t>
      </w:r>
      <w:r>
        <w:tab/>
        <w:t>Duty on packers</w:t>
      </w:r>
      <w:bookmarkEnd w:id="396"/>
      <w:bookmarkEnd w:id="397"/>
    </w:p>
    <w:p>
      <w:pPr>
        <w:pStyle w:val="Subsection"/>
        <w:rPr>
          <w:color w:val="000000"/>
        </w:rPr>
      </w:pPr>
      <w:r>
        <w:tab/>
        <w:t>(1)</w:t>
      </w:r>
      <w:r>
        <w:rPr>
          <w:color w:val="000000"/>
        </w:rPr>
        <w:tab/>
        <w:t>A person must not pack dangerous goods for transport in a tank on a tank vehicle if the person knows, or ought reasonably to know, that the tank is unsuitable for the transport of the goods.</w:t>
      </w:r>
    </w:p>
    <w:p>
      <w:pPr>
        <w:pStyle w:val="Subsection"/>
      </w:pPr>
      <w:r>
        <w:tab/>
        <w:t>(2)</w:t>
      </w:r>
      <w:r>
        <w:tab/>
        <w:t>A person must not pack dangerous goods for transport in a tank on a tank vehicle in a way that the person knows, or ought reasonably to know,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398" w:name="_Toc233693822"/>
      <w:bookmarkStart w:id="399" w:name="_Toc220466743"/>
      <w:r>
        <w:rPr>
          <w:rStyle w:val="CharSectno"/>
          <w:color w:val="000000"/>
        </w:rPr>
        <w:t>99</w:t>
      </w:r>
      <w:r>
        <w:rPr>
          <w:color w:val="000000"/>
        </w:rPr>
        <w:t>.</w:t>
      </w:r>
      <w:r>
        <w:rPr>
          <w:color w:val="000000"/>
        </w:rPr>
        <w:tab/>
        <w:t>Duty on prime contractors and rail operators</w:t>
      </w:r>
      <w:bookmarkEnd w:id="398"/>
      <w:bookmarkEnd w:id="399"/>
    </w:p>
    <w:p>
      <w:pPr>
        <w:pStyle w:val="Subsection"/>
        <w:rPr>
          <w:color w:val="000000"/>
        </w:rPr>
      </w:pPr>
      <w:r>
        <w:tab/>
      </w:r>
      <w:r>
        <w:rPr>
          <w:color w:val="000000"/>
        </w:rPr>
        <w:t>(1)</w:t>
      </w:r>
      <w:r>
        <w:rPr>
          <w:color w:val="000000"/>
        </w:rPr>
        <w:tab/>
        <w:t xml:space="preserve">A prime contractor or rail operator must not transport dangerous goods in a tank vehicle provided by the prime contractor or rail operator if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tank vehicle provided by someone else if the prime contractor or rail operator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pPr>
      <w:r>
        <w:tab/>
        <w:t>Penalty: a fine of $10 000.</w:t>
      </w:r>
    </w:p>
    <w:p>
      <w:pPr>
        <w:pStyle w:val="Heading5"/>
      </w:pPr>
      <w:bookmarkStart w:id="400" w:name="_Toc233693823"/>
      <w:bookmarkStart w:id="401" w:name="_Toc220466744"/>
      <w:r>
        <w:rPr>
          <w:rStyle w:val="CharSectno"/>
        </w:rPr>
        <w:t>100</w:t>
      </w:r>
      <w:r>
        <w:t>.</w:t>
      </w:r>
      <w:r>
        <w:tab/>
        <w:t>Duty on drivers</w:t>
      </w:r>
      <w:bookmarkEnd w:id="400"/>
      <w:bookmarkEnd w:id="401"/>
    </w:p>
    <w:p>
      <w:pPr>
        <w:pStyle w:val="Subsection"/>
        <w:rPr>
          <w:color w:val="000000"/>
        </w:rPr>
      </w:pPr>
      <w:r>
        <w:tab/>
      </w:r>
      <w:r>
        <w:tab/>
      </w:r>
      <w:r>
        <w:rPr>
          <w:color w:val="000000"/>
        </w:rPr>
        <w:t xml:space="preserve">A person must not drive a road tank vehicle transporting dangerous goods if the person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b/>
          <w:bCs/>
          <w:i/>
          <w:iCs/>
          <w:color w:val="000000"/>
        </w:rPr>
      </w:pPr>
      <w:r>
        <w:rPr>
          <w:color w:val="000000"/>
        </w:rPr>
        <w:tab/>
        <w:t>Penalty: a fine of $5 000.</w:t>
      </w:r>
    </w:p>
    <w:p>
      <w:pPr>
        <w:pStyle w:val="Heading3"/>
      </w:pPr>
      <w:bookmarkStart w:id="402" w:name="_Toc191959559"/>
      <w:bookmarkStart w:id="403" w:name="_Toc191983470"/>
      <w:bookmarkStart w:id="404" w:name="_Toc202345897"/>
      <w:bookmarkStart w:id="405" w:name="_Toc220466745"/>
      <w:bookmarkStart w:id="406" w:name="_Toc233693824"/>
      <w:r>
        <w:rPr>
          <w:rStyle w:val="CharDivNo"/>
        </w:rPr>
        <w:t>Division 9</w:t>
      </w:r>
      <w:r>
        <w:t> — </w:t>
      </w:r>
      <w:r>
        <w:rPr>
          <w:rStyle w:val="CharDivText"/>
        </w:rPr>
        <w:t>Offences relating to overpacks</w:t>
      </w:r>
      <w:bookmarkEnd w:id="402"/>
      <w:bookmarkEnd w:id="403"/>
      <w:bookmarkEnd w:id="404"/>
      <w:bookmarkEnd w:id="405"/>
      <w:bookmarkEnd w:id="406"/>
    </w:p>
    <w:p>
      <w:pPr>
        <w:pStyle w:val="Heading5"/>
        <w:rPr>
          <w:color w:val="000000"/>
        </w:rPr>
      </w:pPr>
      <w:bookmarkStart w:id="407" w:name="_Toc233693825"/>
      <w:bookmarkStart w:id="408" w:name="_Toc220466746"/>
      <w:r>
        <w:rPr>
          <w:rStyle w:val="CharSectno"/>
        </w:rPr>
        <w:t>101</w:t>
      </w:r>
      <w:r>
        <w:t>.</w:t>
      </w:r>
      <w:r>
        <w:tab/>
        <w:t>Duty on consignors</w:t>
      </w:r>
      <w:bookmarkEnd w:id="407"/>
      <w:bookmarkEnd w:id="408"/>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409" w:name="_Toc233693826"/>
      <w:bookmarkStart w:id="410" w:name="_Toc220466747"/>
      <w:r>
        <w:rPr>
          <w:rStyle w:val="CharSectno"/>
        </w:rPr>
        <w:t>102</w:t>
      </w:r>
      <w:r>
        <w:t>.</w:t>
      </w:r>
      <w:r>
        <w:tab/>
        <w:t>Duty on packers</w:t>
      </w:r>
      <w:bookmarkEnd w:id="409"/>
      <w:bookmarkEnd w:id="410"/>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411" w:name="_Toc233693827"/>
      <w:bookmarkStart w:id="412" w:name="_Toc220466748"/>
      <w:r>
        <w:rPr>
          <w:rStyle w:val="CharSectno"/>
        </w:rPr>
        <w:t>103</w:t>
      </w:r>
      <w:r>
        <w:t>.</w:t>
      </w:r>
      <w:r>
        <w:tab/>
        <w:t>Duty on loaders</w:t>
      </w:r>
      <w:bookmarkEnd w:id="411"/>
      <w:bookmarkEnd w:id="412"/>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413" w:name="_Toc233693828"/>
      <w:bookmarkStart w:id="414" w:name="_Toc220466749"/>
      <w:r>
        <w:rPr>
          <w:rStyle w:val="CharSectno"/>
        </w:rPr>
        <w:t>104</w:t>
      </w:r>
      <w:r>
        <w:t>.</w:t>
      </w:r>
      <w:r>
        <w:tab/>
        <w:t>Duty on prime contractors and rail operators</w:t>
      </w:r>
      <w:bookmarkEnd w:id="413"/>
      <w:bookmarkEnd w:id="414"/>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415" w:name="_Toc233693829"/>
      <w:bookmarkStart w:id="416" w:name="_Toc220466750"/>
      <w:r>
        <w:rPr>
          <w:rStyle w:val="CharSectno"/>
        </w:rPr>
        <w:t>105</w:t>
      </w:r>
      <w:r>
        <w:t>.</w:t>
      </w:r>
      <w:r>
        <w:tab/>
        <w:t>Duty on drivers</w:t>
      </w:r>
      <w:bookmarkEnd w:id="415"/>
      <w:bookmarkEnd w:id="41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417" w:name="_Toc191959565"/>
      <w:bookmarkStart w:id="418" w:name="_Toc191983476"/>
      <w:bookmarkStart w:id="419" w:name="_Toc202345903"/>
      <w:bookmarkStart w:id="420" w:name="_Toc220466751"/>
      <w:bookmarkStart w:id="421" w:name="_Toc233693830"/>
      <w:r>
        <w:rPr>
          <w:rStyle w:val="CharPartNo"/>
        </w:rPr>
        <w:t>Part 5</w:t>
      </w:r>
      <w:r>
        <w:t> — </w:t>
      </w:r>
      <w:r>
        <w:rPr>
          <w:rStyle w:val="CharPartText"/>
        </w:rPr>
        <w:t>Consignment procedures</w:t>
      </w:r>
      <w:bookmarkEnd w:id="417"/>
      <w:bookmarkEnd w:id="418"/>
      <w:bookmarkEnd w:id="419"/>
      <w:bookmarkEnd w:id="420"/>
      <w:bookmarkEnd w:id="421"/>
    </w:p>
    <w:p>
      <w:pPr>
        <w:pStyle w:val="Heading3"/>
      </w:pPr>
      <w:bookmarkStart w:id="422" w:name="_Toc191959566"/>
      <w:bookmarkStart w:id="423" w:name="_Toc191983477"/>
      <w:bookmarkStart w:id="424" w:name="_Toc202345904"/>
      <w:bookmarkStart w:id="425" w:name="_Toc220466752"/>
      <w:bookmarkStart w:id="426" w:name="_Toc233693831"/>
      <w:r>
        <w:rPr>
          <w:rStyle w:val="CharDivNo"/>
        </w:rPr>
        <w:t>Division 1</w:t>
      </w:r>
      <w:r>
        <w:t> — </w:t>
      </w:r>
      <w:r>
        <w:rPr>
          <w:rStyle w:val="CharDivText"/>
        </w:rPr>
        <w:t>Marking and labelling</w:t>
      </w:r>
      <w:bookmarkEnd w:id="422"/>
      <w:bookmarkEnd w:id="423"/>
      <w:bookmarkEnd w:id="424"/>
      <w:bookmarkEnd w:id="425"/>
      <w:bookmarkEnd w:id="426"/>
    </w:p>
    <w:p>
      <w:pPr>
        <w:pStyle w:val="Heading5"/>
        <w:rPr>
          <w:color w:val="000000"/>
        </w:rPr>
      </w:pPr>
      <w:bookmarkStart w:id="427" w:name="_Toc233693832"/>
      <w:bookmarkStart w:id="428" w:name="_Toc220466753"/>
      <w:r>
        <w:rPr>
          <w:rStyle w:val="CharSectno"/>
          <w:color w:val="000000"/>
        </w:rPr>
        <w:t>106</w:t>
      </w:r>
      <w:r>
        <w:rPr>
          <w:color w:val="000000"/>
        </w:rPr>
        <w:t>.</w:t>
      </w:r>
      <w:r>
        <w:rPr>
          <w:color w:val="000000"/>
        </w:rPr>
        <w:tab/>
        <w:t>Meaning of “appropriately marked”</w:t>
      </w:r>
      <w:bookmarkEnd w:id="427"/>
      <w:bookmarkEnd w:id="428"/>
    </w:p>
    <w:p>
      <w:pPr>
        <w:pStyle w:val="Subsection"/>
      </w:pPr>
      <w:r>
        <w:tab/>
        <w:t>(1)</w:t>
      </w:r>
      <w:r>
        <w:tab/>
        <w:t xml:space="preserve">A package of dangerous goods (other than an IBC, MEGC, pressure drum, tube, or demountable tank with a capacity of more than 500 L or kgs or an overpack) is </w:t>
      </w:r>
      <w:r>
        <w:rPr>
          <w:rStyle w:val="CharDefText"/>
        </w:rPr>
        <w:t>appropriately marked</w:t>
      </w:r>
      <w:r>
        <w:t xml:space="preserve"> if the package is marked and labelled in accordance with the ADG Code Chapter 5.2.</w:t>
      </w:r>
    </w:p>
    <w:p>
      <w:pPr>
        <w:pStyle w:val="Subsection"/>
      </w:pPr>
      <w:r>
        <w:tab/>
        <w:t>(2)</w:t>
      </w:r>
      <w:r>
        <w:tab/>
        <w:t xml:space="preserve">An IBC, MEGC, pressure drum, tube or demountable tank with a capacity of more than 500 L or kgs is </w:t>
      </w:r>
      <w:r>
        <w:rPr>
          <w:rStyle w:val="CharDefText"/>
        </w:rPr>
        <w:t>appropriately marked</w:t>
      </w:r>
      <w:r>
        <w:t xml:space="preserve"> if — </w:t>
      </w:r>
    </w:p>
    <w:p>
      <w:pPr>
        <w:pStyle w:val="Indenta"/>
        <w:rPr>
          <w:b/>
          <w:bCs/>
          <w:i/>
          <w:iCs/>
        </w:rPr>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Heading5"/>
      </w:pPr>
      <w:bookmarkStart w:id="429" w:name="_Toc233693833"/>
      <w:bookmarkStart w:id="430" w:name="_Toc220466754"/>
      <w:r>
        <w:rPr>
          <w:rStyle w:val="CharSectno"/>
        </w:rPr>
        <w:t>107</w:t>
      </w:r>
      <w:r>
        <w:t>.</w:t>
      </w:r>
      <w:r>
        <w:tab/>
        <w:t>Duty on consignors</w:t>
      </w:r>
      <w:bookmarkEnd w:id="429"/>
      <w:bookmarkEnd w:id="430"/>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431" w:name="_Toc233693834"/>
      <w:bookmarkStart w:id="432" w:name="_Toc220466755"/>
      <w:r>
        <w:rPr>
          <w:rStyle w:val="CharSectno"/>
        </w:rPr>
        <w:t>108</w:t>
      </w:r>
      <w:r>
        <w:t>.</w:t>
      </w:r>
      <w:r>
        <w:tab/>
        <w:t>Duty on packers</w:t>
      </w:r>
      <w:bookmarkEnd w:id="431"/>
      <w:bookmarkEnd w:id="432"/>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433" w:name="_Toc233693835"/>
      <w:bookmarkStart w:id="434" w:name="_Toc220466756"/>
      <w:r>
        <w:rPr>
          <w:rStyle w:val="CharSectno"/>
        </w:rPr>
        <w:t>109</w:t>
      </w:r>
      <w:r>
        <w:t>.</w:t>
      </w:r>
      <w:r>
        <w:tab/>
        <w:t>Duty on prime contractors and rail operators</w:t>
      </w:r>
      <w:bookmarkEnd w:id="433"/>
      <w:bookmarkEnd w:id="43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435" w:name="_Toc191959571"/>
      <w:bookmarkStart w:id="436" w:name="_Toc191983482"/>
      <w:bookmarkStart w:id="437" w:name="_Toc202345909"/>
      <w:bookmarkStart w:id="438" w:name="_Toc220466757"/>
      <w:bookmarkStart w:id="439" w:name="_Toc233693836"/>
      <w:r>
        <w:rPr>
          <w:rStyle w:val="CharDivNo"/>
        </w:rPr>
        <w:t>Division 2</w:t>
      </w:r>
      <w:r>
        <w:t> — </w:t>
      </w:r>
      <w:r>
        <w:rPr>
          <w:rStyle w:val="CharDivText"/>
        </w:rPr>
        <w:t>Placarding</w:t>
      </w:r>
      <w:bookmarkEnd w:id="435"/>
      <w:bookmarkEnd w:id="436"/>
      <w:bookmarkEnd w:id="437"/>
      <w:bookmarkEnd w:id="438"/>
      <w:bookmarkEnd w:id="439"/>
    </w:p>
    <w:p>
      <w:pPr>
        <w:pStyle w:val="Heading5"/>
        <w:rPr>
          <w:color w:val="000000"/>
        </w:rPr>
      </w:pPr>
      <w:bookmarkStart w:id="440" w:name="_Toc233693837"/>
      <w:bookmarkStart w:id="441" w:name="_Toc220466758"/>
      <w:r>
        <w:rPr>
          <w:rStyle w:val="CharSectno"/>
          <w:color w:val="000000"/>
        </w:rPr>
        <w:t>110</w:t>
      </w:r>
      <w:r>
        <w:rPr>
          <w:color w:val="000000"/>
        </w:rPr>
        <w:t>.</w:t>
      </w:r>
      <w:r>
        <w:rPr>
          <w:color w:val="000000"/>
        </w:rPr>
        <w:tab/>
        <w:t>When loads must be placarded</w:t>
      </w:r>
      <w:bookmarkEnd w:id="440"/>
      <w:bookmarkEnd w:id="441"/>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rPr>
          <w:color w:val="000000"/>
        </w:rPr>
      </w:pPr>
      <w:r>
        <w:rPr>
          <w:color w:val="000000"/>
        </w:rPr>
        <w:tab/>
        <w:t>(a)</w:t>
      </w:r>
      <w:r>
        <w:rPr>
          <w:color w:val="000000"/>
        </w:rPr>
        <w:tab/>
        <w:t xml:space="preserve">it contains dangerous goods in a receptacle with — </w:t>
      </w:r>
    </w:p>
    <w:p>
      <w:pPr>
        <w:pStyle w:val="Indenti"/>
        <w:rPr>
          <w:color w:val="000000"/>
        </w:rPr>
      </w:pPr>
      <w:r>
        <w:rPr>
          <w:color w:val="000000"/>
        </w:rPr>
        <w:tab/>
        <w:t>(i)</w:t>
      </w:r>
      <w:r>
        <w:rPr>
          <w:color w:val="000000"/>
        </w:rPr>
        <w:tab/>
        <w:t>a capacity of more than 500 L; or</w:t>
      </w:r>
    </w:p>
    <w:p>
      <w:pPr>
        <w:pStyle w:val="Indenti"/>
      </w:pPr>
      <w:r>
        <w:rPr>
          <w:color w:val="000000"/>
        </w:rPr>
        <w:tab/>
        <w:t>(ii)</w:t>
      </w:r>
      <w:r>
        <w:rPr>
          <w:color w:val="000000"/>
        </w:rPr>
        <w:tab/>
        <w:t>a net mass of more than 500 kgs;</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Heading5"/>
      </w:pPr>
      <w:bookmarkStart w:id="442" w:name="_Toc233693838"/>
      <w:bookmarkStart w:id="443" w:name="_Toc220466759"/>
      <w:r>
        <w:rPr>
          <w:rStyle w:val="CharSectno"/>
        </w:rPr>
        <w:t>111</w:t>
      </w:r>
      <w:r>
        <w:t>.</w:t>
      </w:r>
      <w:r>
        <w:tab/>
        <w:t>Meaning of “placard” and “appropriately placarded”</w:t>
      </w:r>
      <w:bookmarkEnd w:id="442"/>
      <w:bookmarkEnd w:id="443"/>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444" w:name="_Toc233693839"/>
      <w:bookmarkStart w:id="445" w:name="_Toc220466760"/>
      <w:r>
        <w:rPr>
          <w:rStyle w:val="CharSectno"/>
        </w:rPr>
        <w:t>112</w:t>
      </w:r>
      <w:r>
        <w:t>.</w:t>
      </w:r>
      <w:r>
        <w:tab/>
        <w:t>Duty on consignors</w:t>
      </w:r>
      <w:bookmarkEnd w:id="444"/>
      <w:bookmarkEnd w:id="445"/>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446" w:name="_Toc233693840"/>
      <w:bookmarkStart w:id="447" w:name="_Toc220466761"/>
      <w:r>
        <w:rPr>
          <w:rStyle w:val="CharSectno"/>
        </w:rPr>
        <w:t>113</w:t>
      </w:r>
      <w:r>
        <w:t>.</w:t>
      </w:r>
      <w:r>
        <w:tab/>
        <w:t>Duty on loaders</w:t>
      </w:r>
      <w:bookmarkEnd w:id="446"/>
      <w:bookmarkEnd w:id="447"/>
    </w:p>
    <w:p>
      <w:pPr>
        <w:pStyle w:val="Subsection"/>
      </w:pPr>
      <w:r>
        <w:tab/>
        <w:t>(1)</w:t>
      </w:r>
      <w:r>
        <w:tab/>
        <w:t xml:space="preserve">A person who loads dangerous goods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Heading5"/>
      </w:pPr>
      <w:bookmarkStart w:id="448" w:name="_Toc233693841"/>
      <w:bookmarkStart w:id="449" w:name="_Toc220466762"/>
      <w:r>
        <w:rPr>
          <w:rStyle w:val="CharSectno"/>
        </w:rPr>
        <w:t>114</w:t>
      </w:r>
      <w:r>
        <w:t>.</w:t>
      </w:r>
      <w:r>
        <w:tab/>
        <w:t>Duty on prime contractors and rail operators</w:t>
      </w:r>
      <w:bookmarkEnd w:id="448"/>
      <w:bookmarkEnd w:id="44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450" w:name="_Toc233693842"/>
      <w:bookmarkStart w:id="451" w:name="_Toc220466763"/>
      <w:r>
        <w:rPr>
          <w:rStyle w:val="CharSectno"/>
        </w:rPr>
        <w:t>115</w:t>
      </w:r>
      <w:r>
        <w:t>.</w:t>
      </w:r>
      <w:r>
        <w:tab/>
        <w:t>Duty on drivers</w:t>
      </w:r>
      <w:bookmarkEnd w:id="450"/>
      <w:bookmarkEnd w:id="45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452" w:name="_Toc191959578"/>
      <w:bookmarkStart w:id="453" w:name="_Toc191983489"/>
      <w:bookmarkStart w:id="454" w:name="_Toc202345916"/>
      <w:bookmarkStart w:id="455" w:name="_Toc220466764"/>
      <w:bookmarkStart w:id="456" w:name="_Toc233693843"/>
      <w:r>
        <w:rPr>
          <w:rStyle w:val="CharPartNo"/>
        </w:rPr>
        <w:t>Part 6</w:t>
      </w:r>
      <w:r>
        <w:rPr>
          <w:rStyle w:val="CharDivNo"/>
        </w:rPr>
        <w:t> </w:t>
      </w:r>
      <w:r>
        <w:t>—</w:t>
      </w:r>
      <w:r>
        <w:rPr>
          <w:rStyle w:val="CharDivText"/>
        </w:rPr>
        <w:t> </w:t>
      </w:r>
      <w:r>
        <w:rPr>
          <w:rStyle w:val="CharPartText"/>
        </w:rPr>
        <w:t>Safety standards for vehicles and equipment</w:t>
      </w:r>
      <w:bookmarkEnd w:id="452"/>
      <w:bookmarkEnd w:id="453"/>
      <w:bookmarkEnd w:id="454"/>
      <w:bookmarkEnd w:id="455"/>
      <w:bookmarkEnd w:id="456"/>
    </w:p>
    <w:p>
      <w:pPr>
        <w:pStyle w:val="Heading5"/>
      </w:pPr>
      <w:bookmarkStart w:id="457" w:name="_Toc233693844"/>
      <w:bookmarkStart w:id="458" w:name="_Toc220466765"/>
      <w:r>
        <w:rPr>
          <w:rStyle w:val="CharSectno"/>
        </w:rPr>
        <w:t>116</w:t>
      </w:r>
      <w:r>
        <w:t>.</w:t>
      </w:r>
      <w:r>
        <w:tab/>
        <w:t>Duty on owners</w:t>
      </w:r>
      <w:bookmarkEnd w:id="457"/>
      <w:bookmarkEnd w:id="458"/>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459" w:name="_Toc233693845"/>
      <w:bookmarkStart w:id="460" w:name="_Toc220466766"/>
      <w:r>
        <w:rPr>
          <w:rStyle w:val="CharSectno"/>
        </w:rPr>
        <w:t>117</w:t>
      </w:r>
      <w:r>
        <w:t>.</w:t>
      </w:r>
      <w:r>
        <w:tab/>
        <w:t>Duty on consignors</w:t>
      </w:r>
      <w:bookmarkEnd w:id="459"/>
      <w:bookmarkEnd w:id="46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461" w:name="_Toc233693846"/>
      <w:bookmarkStart w:id="462" w:name="_Toc220466767"/>
      <w:r>
        <w:rPr>
          <w:rStyle w:val="CharSectno"/>
        </w:rPr>
        <w:t>118</w:t>
      </w:r>
      <w:r>
        <w:t>.</w:t>
      </w:r>
      <w:r>
        <w:tab/>
        <w:t>Duty on loaders</w:t>
      </w:r>
      <w:bookmarkEnd w:id="461"/>
      <w:bookmarkEnd w:id="46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463" w:name="_Toc233693847"/>
      <w:bookmarkStart w:id="464" w:name="_Toc220466768"/>
      <w:r>
        <w:rPr>
          <w:rStyle w:val="CharSectno"/>
        </w:rPr>
        <w:t>119</w:t>
      </w:r>
      <w:r>
        <w:t>.</w:t>
      </w:r>
      <w:r>
        <w:tab/>
        <w:t>Duties on prime contractors and rail operators</w:t>
      </w:r>
      <w:bookmarkEnd w:id="463"/>
      <w:bookmarkEnd w:id="46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465" w:name="_Toc233693848"/>
      <w:bookmarkStart w:id="466" w:name="_Toc220466769"/>
      <w:r>
        <w:rPr>
          <w:rStyle w:val="CharSectno"/>
        </w:rPr>
        <w:t>120</w:t>
      </w:r>
      <w:r>
        <w:t>.</w:t>
      </w:r>
      <w:r>
        <w:tab/>
        <w:t>Duty on drivers</w:t>
      </w:r>
      <w:bookmarkEnd w:id="465"/>
      <w:bookmarkEnd w:id="466"/>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67" w:name="_Toc191959584"/>
      <w:bookmarkStart w:id="468" w:name="_Toc191983495"/>
      <w:bookmarkStart w:id="469" w:name="_Toc202345922"/>
      <w:bookmarkStart w:id="470" w:name="_Toc220466770"/>
      <w:bookmarkStart w:id="471" w:name="_Toc233693849"/>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467"/>
      <w:bookmarkEnd w:id="468"/>
      <w:bookmarkEnd w:id="469"/>
      <w:bookmarkEnd w:id="470"/>
      <w:bookmarkEnd w:id="471"/>
    </w:p>
    <w:p>
      <w:pPr>
        <w:pStyle w:val="Heading5"/>
        <w:rPr>
          <w:color w:val="000000"/>
        </w:rPr>
      </w:pPr>
      <w:bookmarkStart w:id="472" w:name="_Toc233693850"/>
      <w:bookmarkStart w:id="473" w:name="_Toc220466771"/>
      <w:r>
        <w:rPr>
          <w:rStyle w:val="CharSectno"/>
          <w:color w:val="000000"/>
        </w:rPr>
        <w:t>121</w:t>
      </w:r>
      <w:r>
        <w:rPr>
          <w:color w:val="000000"/>
        </w:rPr>
        <w:t>.</w:t>
      </w:r>
      <w:r>
        <w:rPr>
          <w:color w:val="000000"/>
        </w:rPr>
        <w:tab/>
        <w:t>Application of Part</w:t>
      </w:r>
      <w:bookmarkEnd w:id="472"/>
      <w:bookmarkEnd w:id="473"/>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474" w:name="_Toc233693851"/>
      <w:bookmarkStart w:id="475" w:name="_Toc220466772"/>
      <w:r>
        <w:rPr>
          <w:rStyle w:val="CharSectno"/>
          <w:color w:val="000000"/>
        </w:rPr>
        <w:t>122</w:t>
      </w:r>
      <w:r>
        <w:rPr>
          <w:color w:val="000000"/>
        </w:rPr>
        <w:t>.</w:t>
      </w:r>
      <w:r>
        <w:rPr>
          <w:color w:val="000000"/>
        </w:rPr>
        <w:tab/>
        <w:t>Duty on consignors</w:t>
      </w:r>
      <w:bookmarkEnd w:id="474"/>
      <w:bookmarkEnd w:id="475"/>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476" w:name="_Toc233693852"/>
      <w:bookmarkStart w:id="477" w:name="_Toc220466773"/>
      <w:r>
        <w:rPr>
          <w:rStyle w:val="CharSectno"/>
          <w:color w:val="000000"/>
        </w:rPr>
        <w:t>123</w:t>
      </w:r>
      <w:r>
        <w:rPr>
          <w:color w:val="000000"/>
        </w:rPr>
        <w:t>.</w:t>
      </w:r>
      <w:r>
        <w:rPr>
          <w:color w:val="000000"/>
        </w:rPr>
        <w:tab/>
        <w:t>Duty on loaders</w:t>
      </w:r>
      <w:bookmarkEnd w:id="476"/>
      <w:bookmarkEnd w:id="477"/>
    </w:p>
    <w:p>
      <w:pPr>
        <w:pStyle w:val="Subsection"/>
        <w:rPr>
          <w:color w:val="000000"/>
        </w:rPr>
      </w:pPr>
      <w:r>
        <w:rPr>
          <w:color w:val="000000"/>
        </w:rPr>
        <w:tab/>
      </w:r>
      <w:r>
        <w:rPr>
          <w:color w:val="000000"/>
        </w:rPr>
        <w:tab/>
        <w:t>A person must not load dangerous goods to which this Part applies for transport otherwise than in accordance with the ADG Code Chapter 7.1.</w:t>
      </w:r>
    </w:p>
    <w:p>
      <w:pPr>
        <w:pStyle w:val="Penstart"/>
        <w:rPr>
          <w:color w:val="000000"/>
        </w:rPr>
      </w:pPr>
      <w:r>
        <w:rPr>
          <w:color w:val="000000"/>
        </w:rPr>
        <w:tab/>
        <w:t>Penalty: a fine of $5 000.</w:t>
      </w:r>
    </w:p>
    <w:p>
      <w:pPr>
        <w:pStyle w:val="Heading5"/>
        <w:rPr>
          <w:color w:val="000000"/>
        </w:rPr>
      </w:pPr>
      <w:bookmarkStart w:id="478" w:name="_Toc233693853"/>
      <w:bookmarkStart w:id="479" w:name="_Toc220466774"/>
      <w:r>
        <w:rPr>
          <w:rStyle w:val="CharSectno"/>
          <w:color w:val="000000"/>
        </w:rPr>
        <w:t>124</w:t>
      </w:r>
      <w:r>
        <w:rPr>
          <w:color w:val="000000"/>
        </w:rPr>
        <w:t>.</w:t>
      </w:r>
      <w:r>
        <w:rPr>
          <w:color w:val="000000"/>
        </w:rPr>
        <w:tab/>
        <w:t>Duty on prime contractors and rail operators</w:t>
      </w:r>
      <w:bookmarkEnd w:id="478"/>
      <w:bookmarkEnd w:id="479"/>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480" w:name="_Toc233693854"/>
      <w:bookmarkStart w:id="481" w:name="_Toc220466775"/>
      <w:r>
        <w:rPr>
          <w:rStyle w:val="CharSectno"/>
          <w:color w:val="000000"/>
        </w:rPr>
        <w:t>125</w:t>
      </w:r>
      <w:r>
        <w:rPr>
          <w:color w:val="000000"/>
        </w:rPr>
        <w:t>.</w:t>
      </w:r>
      <w:r>
        <w:rPr>
          <w:color w:val="000000"/>
        </w:rPr>
        <w:tab/>
        <w:t>Duty on drivers</w:t>
      </w:r>
      <w:bookmarkEnd w:id="480"/>
      <w:bookmarkEnd w:id="481"/>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482" w:name="_Toc191959590"/>
      <w:bookmarkStart w:id="483" w:name="_Toc191983501"/>
      <w:bookmarkStart w:id="484" w:name="_Toc202345928"/>
      <w:bookmarkStart w:id="485" w:name="_Toc220466776"/>
      <w:bookmarkStart w:id="486" w:name="_Toc233693855"/>
      <w:r>
        <w:rPr>
          <w:rStyle w:val="CharPartNo"/>
        </w:rPr>
        <w:t>Part 8</w:t>
      </w:r>
      <w:r>
        <w:rPr>
          <w:rStyle w:val="CharDivNo"/>
        </w:rPr>
        <w:t> </w:t>
      </w:r>
      <w:r>
        <w:t>—</w:t>
      </w:r>
      <w:r>
        <w:rPr>
          <w:rStyle w:val="CharDivText"/>
        </w:rPr>
        <w:t> </w:t>
      </w:r>
      <w:r>
        <w:rPr>
          <w:rStyle w:val="CharPartText"/>
        </w:rPr>
        <w:t>Stowage and restraint</w:t>
      </w:r>
      <w:bookmarkEnd w:id="482"/>
      <w:bookmarkEnd w:id="483"/>
      <w:bookmarkEnd w:id="484"/>
      <w:bookmarkEnd w:id="485"/>
      <w:bookmarkEnd w:id="486"/>
    </w:p>
    <w:p>
      <w:pPr>
        <w:pStyle w:val="Heading5"/>
      </w:pPr>
      <w:bookmarkStart w:id="487" w:name="_Toc233693856"/>
      <w:bookmarkStart w:id="488" w:name="_Toc220466777"/>
      <w:r>
        <w:rPr>
          <w:rStyle w:val="CharSectno"/>
        </w:rPr>
        <w:t>126</w:t>
      </w:r>
      <w:r>
        <w:t>.</w:t>
      </w:r>
      <w:r>
        <w:tab/>
        <w:t>Duty on consignors</w:t>
      </w:r>
      <w:bookmarkEnd w:id="487"/>
      <w:bookmarkEnd w:id="488"/>
    </w:p>
    <w:p>
      <w:pPr>
        <w:pStyle w:val="Subsection"/>
        <w:rPr>
          <w:color w:val="000000"/>
        </w:rPr>
      </w:pPr>
      <w:r>
        <w:tab/>
      </w:r>
      <w:r>
        <w:tab/>
        <w:t xml:space="preserve">A person must not consign for transport in or on a vehicle a load of dangerous goods that is a placard load if the person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489" w:name="_Toc233693857"/>
      <w:bookmarkStart w:id="490" w:name="_Toc220466778"/>
      <w:r>
        <w:rPr>
          <w:rStyle w:val="CharSectno"/>
        </w:rPr>
        <w:t>127</w:t>
      </w:r>
      <w:r>
        <w:t>.</w:t>
      </w:r>
      <w:r>
        <w:tab/>
        <w:t>Duty on loaders</w:t>
      </w:r>
      <w:bookmarkEnd w:id="489"/>
      <w:bookmarkEnd w:id="490"/>
    </w:p>
    <w:p>
      <w:pPr>
        <w:pStyle w:val="Subsection"/>
        <w:rPr>
          <w:color w:val="000000"/>
        </w:rPr>
      </w:pPr>
      <w:r>
        <w:tab/>
      </w:r>
      <w:r>
        <w:tab/>
        <w:t xml:space="preserve">A person who loads for transport in or on a vehicle a load of dangerous goods that is a placard load must ensure that the </w:t>
      </w:r>
      <w:r>
        <w:rPr>
          <w:color w:val="000000"/>
        </w:rPr>
        <w:t>goods and their packaging are stowed, loaded and restrained in accordance with the ADG Code Part 8.</w:t>
      </w:r>
    </w:p>
    <w:p>
      <w:pPr>
        <w:pStyle w:val="Penstart"/>
      </w:pPr>
      <w:r>
        <w:tab/>
        <w:t>Penalty: a fine of $5 000.</w:t>
      </w:r>
    </w:p>
    <w:p>
      <w:pPr>
        <w:pStyle w:val="Heading5"/>
      </w:pPr>
      <w:bookmarkStart w:id="491" w:name="_Toc233693858"/>
      <w:bookmarkStart w:id="492" w:name="_Toc220466779"/>
      <w:r>
        <w:rPr>
          <w:rStyle w:val="CharSectno"/>
        </w:rPr>
        <w:t>128</w:t>
      </w:r>
      <w:r>
        <w:t>.</w:t>
      </w:r>
      <w:r>
        <w:tab/>
        <w:t>Duty on prime contractors and rail operators</w:t>
      </w:r>
      <w:bookmarkEnd w:id="491"/>
      <w:bookmarkEnd w:id="492"/>
    </w:p>
    <w:p>
      <w:pPr>
        <w:pStyle w:val="Subsection"/>
        <w:rPr>
          <w:color w:val="000000"/>
        </w:rPr>
      </w:pPr>
      <w:r>
        <w:tab/>
      </w:r>
      <w:r>
        <w:tab/>
        <w:t xml:space="preserve">A prime contractor or rail operator must not transport in or on a vehicle a load of dangerous goods that is a placard load if the prime contractor or rail operator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493" w:name="_Toc233693859"/>
      <w:bookmarkStart w:id="494" w:name="_Toc220466780"/>
      <w:r>
        <w:rPr>
          <w:rStyle w:val="CharSectno"/>
        </w:rPr>
        <w:t>129</w:t>
      </w:r>
      <w:r>
        <w:t>.</w:t>
      </w:r>
      <w:r>
        <w:tab/>
        <w:t>Duty on drivers</w:t>
      </w:r>
      <w:bookmarkEnd w:id="493"/>
      <w:bookmarkEnd w:id="494"/>
    </w:p>
    <w:p>
      <w:pPr>
        <w:pStyle w:val="Subsection"/>
      </w:pPr>
      <w:r>
        <w:tab/>
      </w:r>
      <w:r>
        <w:tab/>
        <w:t xml:space="preserve">A person must not drive a road vehicle transporting a load of dangerous goods that is a placard load if the person knows, or ought reasonably to know, that the goods </w:t>
      </w:r>
      <w:r>
        <w:rPr>
          <w:color w:val="000000"/>
        </w:rPr>
        <w:t xml:space="preserve">or their packaging are not stowed, loaded or restrained in accordance with the ADG </w:t>
      </w:r>
      <w:r>
        <w:t>Code Part 8.</w:t>
      </w:r>
    </w:p>
    <w:p>
      <w:pPr>
        <w:pStyle w:val="Penstart"/>
      </w:pPr>
      <w:r>
        <w:tab/>
        <w:t>Penalty: a fine of $3 000.</w:t>
      </w:r>
    </w:p>
    <w:p>
      <w:pPr>
        <w:pStyle w:val="Heading2"/>
      </w:pPr>
      <w:bookmarkStart w:id="495" w:name="_Toc191959595"/>
      <w:bookmarkStart w:id="496" w:name="_Toc191983506"/>
      <w:bookmarkStart w:id="497" w:name="_Toc202345933"/>
      <w:bookmarkStart w:id="498" w:name="_Toc220466781"/>
      <w:bookmarkStart w:id="499" w:name="_Toc233693860"/>
      <w:r>
        <w:rPr>
          <w:rStyle w:val="CharPartNo"/>
        </w:rPr>
        <w:t>Part 9</w:t>
      </w:r>
      <w:r>
        <w:rPr>
          <w:rStyle w:val="CharDivNo"/>
        </w:rPr>
        <w:t> </w:t>
      </w:r>
      <w:r>
        <w:t>—</w:t>
      </w:r>
      <w:r>
        <w:rPr>
          <w:rStyle w:val="CharDivText"/>
        </w:rPr>
        <w:t> </w:t>
      </w:r>
      <w:r>
        <w:rPr>
          <w:rStyle w:val="CharPartText"/>
        </w:rPr>
        <w:t>Segregation</w:t>
      </w:r>
      <w:bookmarkEnd w:id="495"/>
      <w:bookmarkEnd w:id="496"/>
      <w:bookmarkEnd w:id="497"/>
      <w:bookmarkEnd w:id="498"/>
      <w:bookmarkEnd w:id="499"/>
    </w:p>
    <w:p>
      <w:pPr>
        <w:pStyle w:val="Heading5"/>
      </w:pPr>
      <w:bookmarkStart w:id="500" w:name="_Toc233693861"/>
      <w:bookmarkStart w:id="501" w:name="_Toc220466782"/>
      <w:r>
        <w:rPr>
          <w:rStyle w:val="CharSectno"/>
        </w:rPr>
        <w:t>130</w:t>
      </w:r>
      <w:r>
        <w:t>.</w:t>
      </w:r>
      <w:r>
        <w:tab/>
        <w:t>Application of Part</w:t>
      </w:r>
      <w:bookmarkEnd w:id="500"/>
      <w:bookmarkEnd w:id="501"/>
    </w:p>
    <w:p>
      <w:pPr>
        <w:pStyle w:val="Subsection"/>
      </w:pPr>
      <w:r>
        <w:tab/>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Heading5"/>
      </w:pPr>
      <w:bookmarkStart w:id="502" w:name="_Toc233693862"/>
      <w:bookmarkStart w:id="503" w:name="_Toc220466783"/>
      <w:r>
        <w:rPr>
          <w:rStyle w:val="CharSectno"/>
        </w:rPr>
        <w:t>131</w:t>
      </w:r>
      <w:r>
        <w:t>.</w:t>
      </w:r>
      <w:r>
        <w:tab/>
        <w:t>Exception for certain goods for driver’s personal use</w:t>
      </w:r>
      <w:bookmarkEnd w:id="502"/>
      <w:bookmarkEnd w:id="503"/>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504" w:name="_Toc233693863"/>
      <w:bookmarkStart w:id="505" w:name="_Toc220466784"/>
      <w:r>
        <w:rPr>
          <w:rStyle w:val="CharSectno"/>
        </w:rPr>
        <w:t>132</w:t>
      </w:r>
      <w:r>
        <w:t>.</w:t>
      </w:r>
      <w:r>
        <w:tab/>
        <w:t>Duty on consignors</w:t>
      </w:r>
      <w:bookmarkEnd w:id="504"/>
      <w:bookmarkEnd w:id="505"/>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06" w:name="_Toc233693864"/>
      <w:bookmarkStart w:id="507" w:name="_Toc220466785"/>
      <w:r>
        <w:rPr>
          <w:rStyle w:val="CharSectno"/>
        </w:rPr>
        <w:t>133</w:t>
      </w:r>
      <w:r>
        <w:t>.</w:t>
      </w:r>
      <w:r>
        <w:tab/>
        <w:t>Duty on loaders</w:t>
      </w:r>
      <w:bookmarkEnd w:id="506"/>
      <w:bookmarkEnd w:id="50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08" w:name="_Toc233693865"/>
      <w:bookmarkStart w:id="509" w:name="_Toc220466786"/>
      <w:r>
        <w:rPr>
          <w:rStyle w:val="CharSectno"/>
        </w:rPr>
        <w:t>134</w:t>
      </w:r>
      <w:r>
        <w:t>.</w:t>
      </w:r>
      <w:r>
        <w:tab/>
        <w:t>Duty on prime contractors</w:t>
      </w:r>
      <w:bookmarkEnd w:id="508"/>
      <w:bookmarkEnd w:id="50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10" w:name="_Toc233693866"/>
      <w:bookmarkStart w:id="511" w:name="_Toc220466787"/>
      <w:r>
        <w:rPr>
          <w:rStyle w:val="CharSectno"/>
        </w:rPr>
        <w:t>135</w:t>
      </w:r>
      <w:r>
        <w:t>.</w:t>
      </w:r>
      <w:r>
        <w:tab/>
        <w:t>Duty on rail operators</w:t>
      </w:r>
      <w:bookmarkEnd w:id="510"/>
      <w:bookmarkEnd w:id="511"/>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12" w:name="_Toc233693867"/>
      <w:bookmarkStart w:id="513" w:name="_Toc220466788"/>
      <w:r>
        <w:rPr>
          <w:rStyle w:val="CharSectno"/>
        </w:rPr>
        <w:t>136</w:t>
      </w:r>
      <w:r>
        <w:t>.</w:t>
      </w:r>
      <w:r>
        <w:tab/>
        <w:t>Duty on drivers</w:t>
      </w:r>
      <w:bookmarkEnd w:id="512"/>
      <w:bookmarkEnd w:id="513"/>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514" w:name="_Toc233693868"/>
      <w:bookmarkStart w:id="515" w:name="_Toc220466789"/>
      <w:r>
        <w:rPr>
          <w:rStyle w:val="CharSectno"/>
          <w:color w:val="000000"/>
        </w:rPr>
        <w:t>137</w:t>
      </w:r>
      <w:r>
        <w:rPr>
          <w:color w:val="000000"/>
        </w:rPr>
        <w:t>.</w:t>
      </w:r>
      <w:r>
        <w:rPr>
          <w:color w:val="000000"/>
        </w:rPr>
        <w:tab/>
        <w:t>Approvals — Type II segregation devices</w:t>
      </w:r>
      <w:bookmarkEnd w:id="514"/>
      <w:bookmarkEnd w:id="515"/>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516" w:name="_Toc233693869"/>
      <w:bookmarkStart w:id="517" w:name="_Toc220466790"/>
      <w:r>
        <w:rPr>
          <w:rStyle w:val="CharSectno"/>
          <w:color w:val="000000"/>
        </w:rPr>
        <w:t>138</w:t>
      </w:r>
      <w:r>
        <w:rPr>
          <w:color w:val="000000"/>
        </w:rPr>
        <w:t>.</w:t>
      </w:r>
      <w:r>
        <w:rPr>
          <w:color w:val="000000"/>
        </w:rPr>
        <w:tab/>
        <w:t>Approvals — methods of segregation</w:t>
      </w:r>
      <w:bookmarkEnd w:id="516"/>
      <w:bookmarkEnd w:id="517"/>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518" w:name="_Toc191959605"/>
      <w:bookmarkStart w:id="519" w:name="_Toc191983516"/>
      <w:bookmarkStart w:id="520" w:name="_Toc202345943"/>
      <w:bookmarkStart w:id="521" w:name="_Toc220466791"/>
      <w:bookmarkStart w:id="522" w:name="_Toc233693870"/>
      <w:r>
        <w:rPr>
          <w:rStyle w:val="CharPartNo"/>
        </w:rPr>
        <w:t>Part 10</w:t>
      </w:r>
      <w:r>
        <w:t> — </w:t>
      </w:r>
      <w:r>
        <w:rPr>
          <w:rStyle w:val="CharPartText"/>
        </w:rPr>
        <w:t>Bulk transfer of dangerous goods</w:t>
      </w:r>
      <w:bookmarkEnd w:id="518"/>
      <w:bookmarkEnd w:id="519"/>
      <w:bookmarkEnd w:id="520"/>
      <w:bookmarkEnd w:id="521"/>
      <w:bookmarkEnd w:id="522"/>
    </w:p>
    <w:p>
      <w:pPr>
        <w:pStyle w:val="Heading3"/>
      </w:pPr>
      <w:bookmarkStart w:id="523" w:name="_Toc191959606"/>
      <w:bookmarkStart w:id="524" w:name="_Toc191983517"/>
      <w:bookmarkStart w:id="525" w:name="_Toc202345944"/>
      <w:bookmarkStart w:id="526" w:name="_Toc220466792"/>
      <w:bookmarkStart w:id="527" w:name="_Toc233693871"/>
      <w:r>
        <w:rPr>
          <w:rStyle w:val="CharDivNo"/>
        </w:rPr>
        <w:t>Division 1</w:t>
      </w:r>
      <w:r>
        <w:t> — </w:t>
      </w:r>
      <w:r>
        <w:rPr>
          <w:rStyle w:val="CharDivText"/>
        </w:rPr>
        <w:t>General</w:t>
      </w:r>
      <w:bookmarkEnd w:id="523"/>
      <w:bookmarkEnd w:id="524"/>
      <w:bookmarkEnd w:id="525"/>
      <w:bookmarkEnd w:id="526"/>
      <w:bookmarkEnd w:id="527"/>
    </w:p>
    <w:p>
      <w:pPr>
        <w:pStyle w:val="Heading5"/>
        <w:rPr>
          <w:color w:val="000000"/>
        </w:rPr>
      </w:pPr>
      <w:bookmarkStart w:id="528" w:name="_Toc233693872"/>
      <w:bookmarkStart w:id="529" w:name="_Toc220466793"/>
      <w:r>
        <w:rPr>
          <w:rStyle w:val="CharSectno"/>
          <w:color w:val="000000"/>
        </w:rPr>
        <w:t>139</w:t>
      </w:r>
      <w:r>
        <w:rPr>
          <w:color w:val="000000"/>
        </w:rPr>
        <w:t>.</w:t>
      </w:r>
      <w:r>
        <w:rPr>
          <w:color w:val="000000"/>
        </w:rPr>
        <w:tab/>
        <w:t>Term used in this Part</w:t>
      </w:r>
      <w:bookmarkEnd w:id="528"/>
      <w:bookmarkEnd w:id="52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530" w:name="_Toc191959608"/>
      <w:bookmarkStart w:id="531" w:name="_Toc191983519"/>
      <w:bookmarkStart w:id="532" w:name="_Toc202345946"/>
      <w:bookmarkStart w:id="533" w:name="_Toc220466794"/>
      <w:bookmarkStart w:id="534" w:name="_Toc233693873"/>
      <w:r>
        <w:rPr>
          <w:rStyle w:val="CharDivNo"/>
        </w:rPr>
        <w:t>Division 2</w:t>
      </w:r>
      <w:r>
        <w:t> — </w:t>
      </w:r>
      <w:r>
        <w:rPr>
          <w:rStyle w:val="CharDivText"/>
        </w:rPr>
        <w:t>Equipment and transfer</w:t>
      </w:r>
      <w:bookmarkEnd w:id="530"/>
      <w:bookmarkEnd w:id="531"/>
      <w:bookmarkEnd w:id="532"/>
      <w:bookmarkEnd w:id="533"/>
      <w:bookmarkEnd w:id="534"/>
    </w:p>
    <w:p>
      <w:pPr>
        <w:pStyle w:val="Heading5"/>
      </w:pPr>
      <w:bookmarkStart w:id="535" w:name="_Toc233693874"/>
      <w:bookmarkStart w:id="536" w:name="_Toc220466795"/>
      <w:r>
        <w:rPr>
          <w:rStyle w:val="CharSectno"/>
        </w:rPr>
        <w:t>140</w:t>
      </w:r>
      <w:r>
        <w:t>.</w:t>
      </w:r>
      <w:r>
        <w:tab/>
        <w:t>Duty on transferors — hose assemblies</w:t>
      </w:r>
      <w:bookmarkEnd w:id="535"/>
      <w:bookmarkEnd w:id="536"/>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Subsection"/>
        <w:rPr>
          <w:b/>
          <w:bCs/>
          <w:i/>
          <w:iCs/>
          <w:color w:val="000000"/>
        </w:rPr>
      </w:pPr>
      <w:r>
        <w:rPr>
          <w:color w:val="000000"/>
        </w:rPr>
        <w:tab/>
        <w:t>(3)</w:t>
      </w:r>
      <w:r>
        <w:rPr>
          <w:color w:val="000000"/>
        </w:rPr>
        <w:tab/>
        <w:t>A person who uses a hose assembly for the bulk transfer of dangerous goods must ensure that any other requirements of the ADG Code Chapter 10.1 are complied with in respect of the hose assembly.</w:t>
      </w:r>
    </w:p>
    <w:p>
      <w:pPr>
        <w:pStyle w:val="Penstart"/>
      </w:pPr>
      <w:r>
        <w:tab/>
        <w:t>Penalty: a fine of $10 000.</w:t>
      </w:r>
    </w:p>
    <w:p>
      <w:pPr>
        <w:pStyle w:val="Heading5"/>
      </w:pPr>
      <w:bookmarkStart w:id="537" w:name="_Toc233693875"/>
      <w:bookmarkStart w:id="538" w:name="_Toc220466796"/>
      <w:r>
        <w:rPr>
          <w:rStyle w:val="CharSectno"/>
        </w:rPr>
        <w:t>141</w:t>
      </w:r>
      <w:r>
        <w:t>.</w:t>
      </w:r>
      <w:r>
        <w:tab/>
        <w:t>Duty on transferors — general</w:t>
      </w:r>
      <w:bookmarkEnd w:id="537"/>
      <w:bookmarkEnd w:id="538"/>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539" w:name="_Toc233693876"/>
      <w:bookmarkStart w:id="540" w:name="_Toc220466797"/>
      <w:r>
        <w:rPr>
          <w:rStyle w:val="CharSectno"/>
        </w:rPr>
        <w:t>142</w:t>
      </w:r>
      <w:r>
        <w:t>.</w:t>
      </w:r>
      <w:r>
        <w:tab/>
        <w:t>Duty on occupiers</w:t>
      </w:r>
      <w:bookmarkEnd w:id="539"/>
      <w:bookmarkEnd w:id="540"/>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541" w:name="_Toc233693877"/>
      <w:bookmarkStart w:id="542" w:name="_Toc220466798"/>
      <w:r>
        <w:rPr>
          <w:rStyle w:val="CharSectno"/>
        </w:rPr>
        <w:t>143</w:t>
      </w:r>
      <w:r>
        <w:t>.</w:t>
      </w:r>
      <w:r>
        <w:tab/>
        <w:t>Duty on prime contractors</w:t>
      </w:r>
      <w:bookmarkEnd w:id="541"/>
      <w:bookmarkEnd w:id="542"/>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543" w:name="_Toc233693878"/>
      <w:bookmarkStart w:id="544" w:name="_Toc220466799"/>
      <w:r>
        <w:rPr>
          <w:rStyle w:val="CharSectno"/>
        </w:rPr>
        <w:t>144</w:t>
      </w:r>
      <w:r>
        <w:t>.</w:t>
      </w:r>
      <w:r>
        <w:tab/>
        <w:t>Duty on rail operators</w:t>
      </w:r>
      <w:bookmarkEnd w:id="543"/>
      <w:bookmarkEnd w:id="544"/>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545" w:name="_Toc191959614"/>
      <w:bookmarkStart w:id="546" w:name="_Toc191983525"/>
      <w:bookmarkStart w:id="547" w:name="_Toc202345952"/>
      <w:bookmarkStart w:id="548" w:name="_Toc220466800"/>
      <w:bookmarkStart w:id="549" w:name="_Toc233693879"/>
      <w:r>
        <w:rPr>
          <w:rStyle w:val="CharDivNo"/>
        </w:rPr>
        <w:t>Division 3</w:t>
      </w:r>
      <w:r>
        <w:t> — </w:t>
      </w:r>
      <w:r>
        <w:rPr>
          <w:rStyle w:val="CharDivText"/>
        </w:rPr>
        <w:t>Filling ratio and ullage for tank vehicles</w:t>
      </w:r>
      <w:bookmarkEnd w:id="545"/>
      <w:bookmarkEnd w:id="546"/>
      <w:bookmarkEnd w:id="547"/>
      <w:bookmarkEnd w:id="548"/>
      <w:bookmarkEnd w:id="549"/>
    </w:p>
    <w:p>
      <w:pPr>
        <w:pStyle w:val="Heading5"/>
      </w:pPr>
      <w:bookmarkStart w:id="550" w:name="_Toc233693880"/>
      <w:bookmarkStart w:id="551" w:name="_Toc220466801"/>
      <w:r>
        <w:rPr>
          <w:rStyle w:val="CharSectno"/>
        </w:rPr>
        <w:t>145</w:t>
      </w:r>
      <w:r>
        <w:t>.</w:t>
      </w:r>
      <w:r>
        <w:tab/>
        <w:t>Application of Division</w:t>
      </w:r>
      <w:bookmarkEnd w:id="550"/>
      <w:bookmarkEnd w:id="551"/>
    </w:p>
    <w:p>
      <w:pPr>
        <w:pStyle w:val="Subsection"/>
      </w:pPr>
      <w:r>
        <w:tab/>
      </w:r>
      <w:r>
        <w:tab/>
        <w:t>This Division applies to and in relation to bulk transfer into a tank vehicle.</w:t>
      </w:r>
    </w:p>
    <w:p>
      <w:pPr>
        <w:pStyle w:val="Heading5"/>
      </w:pPr>
      <w:bookmarkStart w:id="552" w:name="_Toc233693881"/>
      <w:bookmarkStart w:id="553" w:name="_Toc220466802"/>
      <w:r>
        <w:rPr>
          <w:rStyle w:val="CharSectno"/>
        </w:rPr>
        <w:t>146</w:t>
      </w:r>
      <w:r>
        <w:t>.</w:t>
      </w:r>
      <w:r>
        <w:tab/>
        <w:t>Duty on transferors</w:t>
      </w:r>
      <w:bookmarkEnd w:id="552"/>
      <w:bookmarkEnd w:id="553"/>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554" w:name="_Toc233693882"/>
      <w:bookmarkStart w:id="555" w:name="_Toc220466803"/>
      <w:r>
        <w:rPr>
          <w:rStyle w:val="CharSectno"/>
        </w:rPr>
        <w:t>147</w:t>
      </w:r>
      <w:r>
        <w:t>.</w:t>
      </w:r>
      <w:r>
        <w:tab/>
        <w:t>Duty on prime contractors and rail operators</w:t>
      </w:r>
      <w:bookmarkEnd w:id="554"/>
      <w:bookmarkEnd w:id="555"/>
    </w:p>
    <w:p>
      <w:pPr>
        <w:pStyle w:val="Subsection"/>
      </w:pPr>
      <w:r>
        <w:tab/>
      </w:r>
      <w:r>
        <w:tab/>
        <w:t xml:space="preserve">A prime contractor or rail operator must not </w:t>
      </w:r>
      <w:r>
        <w:rPr>
          <w:color w:val="000000"/>
        </w:rPr>
        <w:t>engage in a bulk transfer of</w:t>
      </w:r>
      <w:r>
        <w:t xml:space="preserve"> dangerous goods if —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5"/>
      </w:pPr>
      <w:bookmarkStart w:id="556" w:name="_Toc233693883"/>
      <w:bookmarkStart w:id="557" w:name="_Toc220466804"/>
      <w:r>
        <w:rPr>
          <w:rStyle w:val="CharSectno"/>
        </w:rPr>
        <w:t>148</w:t>
      </w:r>
      <w:r>
        <w:t>.</w:t>
      </w:r>
      <w:r>
        <w:tab/>
        <w:t>Duty on drivers</w:t>
      </w:r>
      <w:bookmarkEnd w:id="556"/>
      <w:bookmarkEnd w:id="557"/>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558" w:name="_Toc191959619"/>
      <w:bookmarkStart w:id="559" w:name="_Toc191983530"/>
      <w:bookmarkStart w:id="560" w:name="_Toc202345957"/>
      <w:bookmarkStart w:id="561" w:name="_Toc220466805"/>
      <w:bookmarkStart w:id="562" w:name="_Toc233693884"/>
      <w:r>
        <w:rPr>
          <w:rStyle w:val="CharPartNo"/>
        </w:rPr>
        <w:t>Part 11</w:t>
      </w:r>
      <w:r>
        <w:t> — </w:t>
      </w:r>
      <w:r>
        <w:rPr>
          <w:rStyle w:val="CharPartText"/>
        </w:rPr>
        <w:t>Documentation</w:t>
      </w:r>
      <w:bookmarkEnd w:id="558"/>
      <w:bookmarkEnd w:id="559"/>
      <w:bookmarkEnd w:id="560"/>
      <w:bookmarkEnd w:id="561"/>
      <w:bookmarkEnd w:id="562"/>
    </w:p>
    <w:p>
      <w:pPr>
        <w:pStyle w:val="Heading3"/>
      </w:pPr>
      <w:bookmarkStart w:id="563" w:name="_Toc191959620"/>
      <w:bookmarkStart w:id="564" w:name="_Toc191983531"/>
      <w:bookmarkStart w:id="565" w:name="_Toc202345958"/>
      <w:bookmarkStart w:id="566" w:name="_Toc220466806"/>
      <w:bookmarkStart w:id="567" w:name="_Toc233693885"/>
      <w:r>
        <w:rPr>
          <w:rStyle w:val="CharDivNo"/>
        </w:rPr>
        <w:t>Division 1</w:t>
      </w:r>
      <w:r>
        <w:t> — </w:t>
      </w:r>
      <w:r>
        <w:rPr>
          <w:rStyle w:val="CharDivText"/>
        </w:rPr>
        <w:t>Transport documentation</w:t>
      </w:r>
      <w:bookmarkEnd w:id="563"/>
      <w:bookmarkEnd w:id="564"/>
      <w:bookmarkEnd w:id="565"/>
      <w:bookmarkEnd w:id="566"/>
      <w:bookmarkEnd w:id="567"/>
    </w:p>
    <w:p>
      <w:pPr>
        <w:pStyle w:val="Heading5"/>
      </w:pPr>
      <w:bookmarkStart w:id="568" w:name="_Toc233693886"/>
      <w:bookmarkStart w:id="569" w:name="_Toc220466807"/>
      <w:r>
        <w:rPr>
          <w:rStyle w:val="CharSectno"/>
        </w:rPr>
        <w:t>149</w:t>
      </w:r>
      <w:r>
        <w:t>.</w:t>
      </w:r>
      <w:r>
        <w:tab/>
        <w:t>False or misleading information</w:t>
      </w:r>
      <w:bookmarkEnd w:id="568"/>
      <w:bookmarkEnd w:id="569"/>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570" w:name="_Toc233693887"/>
      <w:bookmarkStart w:id="571" w:name="_Toc220466808"/>
      <w:r>
        <w:rPr>
          <w:rStyle w:val="CharSectno"/>
        </w:rPr>
        <w:t>150</w:t>
      </w:r>
      <w:r>
        <w:t>.</w:t>
      </w:r>
      <w:r>
        <w:tab/>
        <w:t>Duty on consignors — transport by road</w:t>
      </w:r>
      <w:bookmarkEnd w:id="570"/>
      <w:bookmarkEnd w:id="571"/>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572" w:name="_Toc233693888"/>
      <w:bookmarkStart w:id="573" w:name="_Toc220466809"/>
      <w:r>
        <w:rPr>
          <w:rStyle w:val="CharSectno"/>
        </w:rPr>
        <w:t>151</w:t>
      </w:r>
      <w:r>
        <w:t>.</w:t>
      </w:r>
      <w:r>
        <w:tab/>
        <w:t>Duty on consignors — transport by rail</w:t>
      </w:r>
      <w:bookmarkEnd w:id="572"/>
      <w:bookmarkEnd w:id="573"/>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574" w:name="_Toc233693889"/>
      <w:bookmarkStart w:id="575" w:name="_Toc220466810"/>
      <w:r>
        <w:rPr>
          <w:rStyle w:val="CharSectno"/>
        </w:rPr>
        <w:t>152</w:t>
      </w:r>
      <w:r>
        <w:t>.</w:t>
      </w:r>
      <w:r>
        <w:tab/>
        <w:t>Duty on prime contractors</w:t>
      </w:r>
      <w:bookmarkEnd w:id="574"/>
      <w:bookmarkEnd w:id="575"/>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576" w:name="_Toc233693890"/>
      <w:bookmarkStart w:id="577" w:name="_Toc220466811"/>
      <w:r>
        <w:rPr>
          <w:rStyle w:val="CharSectno"/>
        </w:rPr>
        <w:t>153</w:t>
      </w:r>
      <w:r>
        <w:t>.</w:t>
      </w:r>
      <w:r>
        <w:tab/>
        <w:t>Duty on rail operators</w:t>
      </w:r>
      <w:bookmarkEnd w:id="576"/>
      <w:bookmarkEnd w:id="577"/>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578" w:name="_Toc233693891"/>
      <w:bookmarkStart w:id="579" w:name="_Toc220466812"/>
      <w:r>
        <w:rPr>
          <w:rStyle w:val="CharSectno"/>
        </w:rPr>
        <w:t>154</w:t>
      </w:r>
      <w:r>
        <w:t>.</w:t>
      </w:r>
      <w:r>
        <w:tab/>
        <w:t>Duty on drivers</w:t>
      </w:r>
      <w:bookmarkEnd w:id="578"/>
      <w:bookmarkEnd w:id="579"/>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580" w:name="_Toc233693892"/>
      <w:bookmarkStart w:id="581" w:name="_Toc220466813"/>
      <w:r>
        <w:rPr>
          <w:rStyle w:val="CharSectno"/>
        </w:rPr>
        <w:t>155</w:t>
      </w:r>
      <w:r>
        <w:t>.</w:t>
      </w:r>
      <w:r>
        <w:tab/>
        <w:t>Duty on train drivers</w:t>
      </w:r>
      <w:bookmarkEnd w:id="580"/>
      <w:bookmarkEnd w:id="581"/>
    </w:p>
    <w:p>
      <w:pPr>
        <w:pStyle w:val="Subsection"/>
      </w:pPr>
      <w:r>
        <w:tab/>
        <w:t>(1)</w:t>
      </w:r>
      <w:r>
        <w:tab/>
        <w:t>A person must not drive a train, from a depot or yard,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driver of a train transporting dangerous goods is engaged in shunting operations and the transport documentation for the goods is readily available elsewhere in the immediate vicinity of those operations.</w:t>
      </w:r>
    </w:p>
    <w:p>
      <w:pPr>
        <w:pStyle w:val="Heading3"/>
      </w:pPr>
      <w:bookmarkStart w:id="582" w:name="_Toc191959628"/>
      <w:bookmarkStart w:id="583" w:name="_Toc191983539"/>
      <w:bookmarkStart w:id="584" w:name="_Toc202345966"/>
      <w:bookmarkStart w:id="585" w:name="_Toc220466814"/>
      <w:bookmarkStart w:id="586" w:name="_Toc233693893"/>
      <w:r>
        <w:rPr>
          <w:rStyle w:val="CharDivNo"/>
        </w:rPr>
        <w:t>Division 2</w:t>
      </w:r>
      <w:r>
        <w:t> — </w:t>
      </w:r>
      <w:r>
        <w:rPr>
          <w:rStyle w:val="CharDivText"/>
        </w:rPr>
        <w:t>Emergency information</w:t>
      </w:r>
      <w:bookmarkEnd w:id="582"/>
      <w:bookmarkEnd w:id="583"/>
      <w:bookmarkEnd w:id="584"/>
      <w:bookmarkEnd w:id="585"/>
      <w:bookmarkEnd w:id="586"/>
    </w:p>
    <w:p>
      <w:pPr>
        <w:pStyle w:val="Heading5"/>
        <w:ind w:left="1140" w:hanging="1140"/>
      </w:pPr>
      <w:bookmarkStart w:id="587" w:name="_Toc233693894"/>
      <w:bookmarkStart w:id="588" w:name="_Toc220466815"/>
      <w:r>
        <w:rPr>
          <w:rStyle w:val="CharSectno"/>
        </w:rPr>
        <w:t>156</w:t>
      </w:r>
      <w:r>
        <w:t>.</w:t>
      </w:r>
      <w:r>
        <w:tab/>
        <w:t>Term used in this Division</w:t>
      </w:r>
      <w:bookmarkEnd w:id="587"/>
      <w:bookmarkEnd w:id="58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589" w:name="_Toc233693895"/>
      <w:bookmarkStart w:id="590" w:name="_Toc220466816"/>
      <w:r>
        <w:rPr>
          <w:rStyle w:val="CharSectno"/>
        </w:rPr>
        <w:t>157</w:t>
      </w:r>
      <w:r>
        <w:t>.</w:t>
      </w:r>
      <w:r>
        <w:tab/>
        <w:t>Duty on consignors</w:t>
      </w:r>
      <w:bookmarkEnd w:id="589"/>
      <w:bookmarkEnd w:id="59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91" w:name="_Toc233693896"/>
      <w:bookmarkStart w:id="592" w:name="_Toc220466817"/>
      <w:r>
        <w:rPr>
          <w:rStyle w:val="CharSectno"/>
        </w:rPr>
        <w:t>158</w:t>
      </w:r>
      <w:r>
        <w:t>.</w:t>
      </w:r>
      <w:r>
        <w:tab/>
        <w:t>Duty on prime contractors</w:t>
      </w:r>
      <w:bookmarkEnd w:id="591"/>
      <w:bookmarkEnd w:id="592"/>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593" w:name="_Toc233693897"/>
      <w:bookmarkStart w:id="594" w:name="_Toc220466818"/>
      <w:r>
        <w:rPr>
          <w:rStyle w:val="CharSectno"/>
        </w:rPr>
        <w:t>159</w:t>
      </w:r>
      <w:r>
        <w:t>.</w:t>
      </w:r>
      <w:r>
        <w:tab/>
        <w:t>Duty on rail operators</w:t>
      </w:r>
      <w:bookmarkEnd w:id="593"/>
      <w:bookmarkEnd w:id="594"/>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595" w:name="_Toc233693898"/>
      <w:bookmarkStart w:id="596" w:name="_Toc220466819"/>
      <w:r>
        <w:rPr>
          <w:rStyle w:val="CharSectno"/>
        </w:rPr>
        <w:t>160</w:t>
      </w:r>
      <w:r>
        <w:t>.</w:t>
      </w:r>
      <w:r>
        <w:tab/>
        <w:t>Duty on drivers</w:t>
      </w:r>
      <w:bookmarkEnd w:id="595"/>
      <w:bookmarkEnd w:id="596"/>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97" w:name="_Toc233693899"/>
      <w:bookmarkStart w:id="598" w:name="_Toc220466820"/>
      <w:r>
        <w:rPr>
          <w:rStyle w:val="CharSectno"/>
        </w:rPr>
        <w:t>161</w:t>
      </w:r>
      <w:r>
        <w:t>.</w:t>
      </w:r>
      <w:r>
        <w:tab/>
        <w:t>Duty on train drivers</w:t>
      </w:r>
      <w:bookmarkEnd w:id="597"/>
      <w:bookmarkEnd w:id="598"/>
    </w:p>
    <w:p>
      <w:pPr>
        <w:pStyle w:val="Subsection"/>
      </w:pPr>
      <w:r>
        <w:tab/>
        <w:t>(1)</w:t>
      </w:r>
      <w:r>
        <w:tab/>
        <w:t xml:space="preserve">A person must not drive a train </w:t>
      </w:r>
      <w:r>
        <w:rPr>
          <w:color w:val="000000"/>
        </w:rPr>
        <w:t>that is transporting a placard load from a depot or yard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rPr>
          <w:b/>
          <w:bCs/>
          <w:i/>
          <w:iCs/>
        </w:rPr>
      </w:pPr>
      <w:r>
        <w:tab/>
        <w:t>(3)</w:t>
      </w:r>
      <w:r>
        <w:tab/>
        <w:t>Subregulations (1) and (2) do not apply if the driver of a train transporting dangerous goods is engaged in shunting operations and the required emergency information is readily available elsewhere in the immediate vicinity of those operations.</w:t>
      </w:r>
    </w:p>
    <w:p>
      <w:pPr>
        <w:pStyle w:val="Heading5"/>
      </w:pPr>
      <w:bookmarkStart w:id="599" w:name="_Toc233693900"/>
      <w:bookmarkStart w:id="600" w:name="_Toc220466821"/>
      <w:r>
        <w:rPr>
          <w:rStyle w:val="CharSectno"/>
        </w:rPr>
        <w:t>162</w:t>
      </w:r>
      <w:r>
        <w:t>.</w:t>
      </w:r>
      <w:r>
        <w:tab/>
        <w:t>Approvals — emergency information</w:t>
      </w:r>
      <w:bookmarkEnd w:id="599"/>
      <w:bookmarkEnd w:id="60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601" w:name="_Toc191959636"/>
      <w:bookmarkStart w:id="602" w:name="_Toc191983547"/>
      <w:bookmarkStart w:id="603" w:name="_Toc202345974"/>
      <w:bookmarkStart w:id="604" w:name="_Toc220466822"/>
      <w:bookmarkStart w:id="605" w:name="_Toc233693901"/>
      <w:r>
        <w:rPr>
          <w:rStyle w:val="CharPartNo"/>
        </w:rPr>
        <w:t>Part 12</w:t>
      </w:r>
      <w:r>
        <w:rPr>
          <w:rStyle w:val="CharDivNo"/>
        </w:rPr>
        <w:t> </w:t>
      </w:r>
      <w:r>
        <w:t>—</w:t>
      </w:r>
      <w:r>
        <w:rPr>
          <w:rStyle w:val="CharDivText"/>
        </w:rPr>
        <w:t> </w:t>
      </w:r>
      <w:r>
        <w:rPr>
          <w:rStyle w:val="CharPartText"/>
        </w:rPr>
        <w:t>Safety equipment</w:t>
      </w:r>
      <w:bookmarkEnd w:id="601"/>
      <w:bookmarkEnd w:id="602"/>
      <w:bookmarkEnd w:id="603"/>
      <w:bookmarkEnd w:id="604"/>
      <w:bookmarkEnd w:id="605"/>
    </w:p>
    <w:p>
      <w:pPr>
        <w:pStyle w:val="Heading5"/>
      </w:pPr>
      <w:bookmarkStart w:id="606" w:name="_Toc233693902"/>
      <w:bookmarkStart w:id="607" w:name="_Toc220466823"/>
      <w:r>
        <w:rPr>
          <w:rStyle w:val="CharSectno"/>
        </w:rPr>
        <w:t>163</w:t>
      </w:r>
      <w:r>
        <w:t>.</w:t>
      </w:r>
      <w:r>
        <w:tab/>
        <w:t>Duty on owners</w:t>
      </w:r>
      <w:bookmarkEnd w:id="606"/>
      <w:bookmarkEnd w:id="607"/>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608" w:name="_Toc233693903"/>
      <w:bookmarkStart w:id="609" w:name="_Toc220466824"/>
      <w:r>
        <w:rPr>
          <w:rStyle w:val="CharSectno"/>
        </w:rPr>
        <w:t>164</w:t>
      </w:r>
      <w:r>
        <w:t>.</w:t>
      </w:r>
      <w:r>
        <w:tab/>
        <w:t>Duty on prime contractors</w:t>
      </w:r>
      <w:bookmarkEnd w:id="608"/>
      <w:bookmarkEnd w:id="609"/>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that the equipment for the road vehicle mentioned in subregulation (1) — </w:t>
      </w:r>
    </w:p>
    <w:p>
      <w:pPr>
        <w:pStyle w:val="Indenta"/>
        <w:rPr>
          <w:color w:val="000000"/>
        </w:rPr>
      </w:pPr>
      <w:r>
        <w:tab/>
        <w:t>(a)</w:t>
      </w:r>
      <w:r>
        <w:tab/>
        <w:t xml:space="preserve">has not been inspected or tested in accordance with </w:t>
      </w:r>
      <w:r>
        <w:rPr>
          <w:color w:val="000000"/>
        </w:rPr>
        <w:t>the ADG Code Part 12; or</w:t>
      </w:r>
    </w:p>
    <w:p>
      <w:pPr>
        <w:pStyle w:val="Indenta"/>
      </w:pPr>
      <w:r>
        <w:tab/>
        <w:t>(b)</w:t>
      </w:r>
      <w:r>
        <w:tab/>
        <w:t>is not in good repair or proper working order.</w:t>
      </w:r>
    </w:p>
    <w:p>
      <w:pPr>
        <w:pStyle w:val="Penstart"/>
      </w:pPr>
      <w:r>
        <w:tab/>
        <w:t>Penalty: a fine of $10 000.</w:t>
      </w:r>
    </w:p>
    <w:p>
      <w:pPr>
        <w:pStyle w:val="Heading5"/>
      </w:pPr>
      <w:bookmarkStart w:id="610" w:name="_Toc233693904"/>
      <w:bookmarkStart w:id="611" w:name="_Toc220466825"/>
      <w:r>
        <w:rPr>
          <w:rStyle w:val="CharSectno"/>
        </w:rPr>
        <w:t>165</w:t>
      </w:r>
      <w:r>
        <w:t>.</w:t>
      </w:r>
      <w:r>
        <w:tab/>
        <w:t>Duty on drivers</w:t>
      </w:r>
      <w:bookmarkEnd w:id="610"/>
      <w:bookmarkEnd w:id="611"/>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that the equipment for the road vehicle mentioned in subregulation (1) — </w:t>
      </w:r>
    </w:p>
    <w:p>
      <w:pPr>
        <w:pStyle w:val="Indenta"/>
        <w:rPr>
          <w:b/>
          <w:bCs/>
          <w:i/>
          <w:iCs/>
        </w:rPr>
      </w:pPr>
      <w:r>
        <w:tab/>
        <w:t>(a)</w:t>
      </w:r>
      <w:r>
        <w:tab/>
        <w:t>is not stowed in accordance with the ADG Code Part 12; or</w:t>
      </w:r>
    </w:p>
    <w:p>
      <w:pPr>
        <w:pStyle w:val="Indenta"/>
        <w:rPr>
          <w:b/>
          <w:bCs/>
          <w:i/>
          <w:iCs/>
          <w:color w:val="000000"/>
        </w:rPr>
      </w:pPr>
      <w:r>
        <w:rPr>
          <w:color w:val="000000"/>
        </w:rPr>
        <w:tab/>
        <w:t>(b)</w:t>
      </w:r>
      <w:r>
        <w:rPr>
          <w:color w:val="000000"/>
        </w:rPr>
        <w:tab/>
        <w:t>has not been inspected or tested in accordance with that Part; or</w:t>
      </w:r>
    </w:p>
    <w:p>
      <w:pPr>
        <w:pStyle w:val="Indenta"/>
        <w:rPr>
          <w:color w:val="000000"/>
        </w:rPr>
      </w:pPr>
      <w:r>
        <w:rPr>
          <w:color w:val="000000"/>
        </w:rPr>
        <w:tab/>
        <w:t>(c)</w:t>
      </w:r>
      <w:r>
        <w:rPr>
          <w:color w:val="000000"/>
        </w:rPr>
        <w:tab/>
        <w:t>is not in good repair or proper working order.</w:t>
      </w:r>
    </w:p>
    <w:p>
      <w:pPr>
        <w:pStyle w:val="Penstart"/>
      </w:pPr>
      <w:r>
        <w:tab/>
        <w:t>Penalty: a fine of $3 000.</w:t>
      </w:r>
    </w:p>
    <w:p>
      <w:pPr>
        <w:pStyle w:val="Heading2"/>
      </w:pPr>
      <w:bookmarkStart w:id="612" w:name="_Toc191959640"/>
      <w:bookmarkStart w:id="613" w:name="_Toc191983551"/>
      <w:bookmarkStart w:id="614" w:name="_Toc202345978"/>
      <w:bookmarkStart w:id="615" w:name="_Toc220466826"/>
      <w:bookmarkStart w:id="616" w:name="_Toc233693905"/>
      <w:r>
        <w:rPr>
          <w:rStyle w:val="CharPartNo"/>
        </w:rPr>
        <w:t>Part 13</w:t>
      </w:r>
      <w:r>
        <w:t> — </w:t>
      </w:r>
      <w:r>
        <w:rPr>
          <w:rStyle w:val="CharPartText"/>
        </w:rPr>
        <w:t>Procedures during transport</w:t>
      </w:r>
      <w:bookmarkEnd w:id="612"/>
      <w:bookmarkEnd w:id="613"/>
      <w:bookmarkEnd w:id="614"/>
      <w:bookmarkEnd w:id="615"/>
      <w:bookmarkEnd w:id="616"/>
    </w:p>
    <w:p>
      <w:pPr>
        <w:pStyle w:val="Heading3"/>
      </w:pPr>
      <w:bookmarkStart w:id="617" w:name="_Toc191959641"/>
      <w:bookmarkStart w:id="618" w:name="_Toc191983552"/>
      <w:bookmarkStart w:id="619" w:name="_Toc202345979"/>
      <w:bookmarkStart w:id="620" w:name="_Toc220466827"/>
      <w:bookmarkStart w:id="621" w:name="_Toc233693906"/>
      <w:r>
        <w:rPr>
          <w:rStyle w:val="CharDivNo"/>
        </w:rPr>
        <w:t>Division 1</w:t>
      </w:r>
      <w:r>
        <w:t> — </w:t>
      </w:r>
      <w:r>
        <w:rPr>
          <w:rStyle w:val="CharDivText"/>
        </w:rPr>
        <w:t>Immobilised and stopped vehicles</w:t>
      </w:r>
      <w:bookmarkEnd w:id="617"/>
      <w:bookmarkEnd w:id="618"/>
      <w:bookmarkEnd w:id="619"/>
      <w:bookmarkEnd w:id="620"/>
      <w:bookmarkEnd w:id="621"/>
    </w:p>
    <w:p>
      <w:pPr>
        <w:pStyle w:val="Heading5"/>
      </w:pPr>
      <w:bookmarkStart w:id="622" w:name="_Toc233693907"/>
      <w:bookmarkStart w:id="623" w:name="_Toc220466828"/>
      <w:r>
        <w:rPr>
          <w:rStyle w:val="CharSectno"/>
        </w:rPr>
        <w:t>166</w:t>
      </w:r>
      <w:r>
        <w:t>.</w:t>
      </w:r>
      <w:r>
        <w:tab/>
        <w:t>Duty on drivers</w:t>
      </w:r>
      <w:bookmarkEnd w:id="622"/>
      <w:bookmarkEnd w:id="623"/>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624" w:name="_Toc233693908"/>
      <w:bookmarkStart w:id="625" w:name="_Toc220466829"/>
      <w:r>
        <w:rPr>
          <w:rStyle w:val="CharSectno"/>
        </w:rPr>
        <w:t>167</w:t>
      </w:r>
      <w:r>
        <w:t>.</w:t>
      </w:r>
      <w:r>
        <w:tab/>
        <w:t>Duty on prime contractors</w:t>
      </w:r>
      <w:bookmarkEnd w:id="624"/>
      <w:bookmarkEnd w:id="625"/>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626" w:name="_Toc233693909"/>
      <w:bookmarkStart w:id="627" w:name="_Toc220466830"/>
      <w:r>
        <w:rPr>
          <w:rStyle w:val="CharSectno"/>
        </w:rPr>
        <w:t>168</w:t>
      </w:r>
      <w:r>
        <w:t>.</w:t>
      </w:r>
      <w:r>
        <w:tab/>
        <w:t>Duty on rail operators</w:t>
      </w:r>
      <w:bookmarkEnd w:id="626"/>
      <w:bookmarkEnd w:id="627"/>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628" w:name="_Toc191959645"/>
      <w:bookmarkStart w:id="629" w:name="_Toc191983556"/>
      <w:bookmarkStart w:id="630" w:name="_Toc202345983"/>
      <w:bookmarkStart w:id="631" w:name="_Toc220466831"/>
      <w:bookmarkStart w:id="632" w:name="_Toc233693910"/>
      <w:r>
        <w:rPr>
          <w:rStyle w:val="CharDivNo"/>
        </w:rPr>
        <w:t>Division 2</w:t>
      </w:r>
      <w:r>
        <w:t> — </w:t>
      </w:r>
      <w:r>
        <w:rPr>
          <w:rStyle w:val="CharDivText"/>
        </w:rPr>
        <w:t>Road vehicle driver’s duties</w:t>
      </w:r>
      <w:bookmarkEnd w:id="628"/>
      <w:bookmarkEnd w:id="629"/>
      <w:bookmarkEnd w:id="630"/>
      <w:bookmarkEnd w:id="631"/>
      <w:bookmarkEnd w:id="632"/>
    </w:p>
    <w:p>
      <w:pPr>
        <w:pStyle w:val="Heading5"/>
      </w:pPr>
      <w:bookmarkStart w:id="633" w:name="_Toc233693911"/>
      <w:bookmarkStart w:id="634" w:name="_Toc220466832"/>
      <w:r>
        <w:rPr>
          <w:rStyle w:val="CharSectno"/>
        </w:rPr>
        <w:t>169</w:t>
      </w:r>
      <w:r>
        <w:t>.</w:t>
      </w:r>
      <w:r>
        <w:tab/>
        <w:t>Driving</w:t>
      </w:r>
      <w:bookmarkEnd w:id="633"/>
      <w:bookmarkEnd w:id="63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635" w:name="_Toc233693912"/>
      <w:bookmarkStart w:id="636" w:name="_Toc220466833"/>
      <w:r>
        <w:rPr>
          <w:rStyle w:val="CharSectno"/>
        </w:rPr>
        <w:t>170</w:t>
      </w:r>
      <w:r>
        <w:t>.</w:t>
      </w:r>
      <w:r>
        <w:tab/>
        <w:t>Parking</w:t>
      </w:r>
      <w:bookmarkEnd w:id="635"/>
      <w:bookmarkEnd w:id="63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637" w:name="_Toc233693913"/>
      <w:bookmarkStart w:id="638" w:name="_Toc220466834"/>
      <w:r>
        <w:rPr>
          <w:rStyle w:val="CharSectno"/>
        </w:rPr>
        <w:t>171</w:t>
      </w:r>
      <w:r>
        <w:t>.</w:t>
      </w:r>
      <w:r>
        <w:tab/>
        <w:t>Control of ignition sources</w:t>
      </w:r>
      <w:bookmarkEnd w:id="637"/>
      <w:bookmarkEnd w:id="638"/>
    </w:p>
    <w:p>
      <w:pPr>
        <w:pStyle w:val="Subsection"/>
      </w:pPr>
      <w:r>
        <w:tab/>
        <w:t>(1)</w:t>
      </w:r>
      <w:r>
        <w:tab/>
        <w:t xml:space="preserve">This regulation applies to a road vehicle transporting a load of dangerous goods that contains dangerous goods that — </w:t>
      </w:r>
    </w:p>
    <w:p>
      <w:pPr>
        <w:pStyle w:val="Indenta"/>
      </w:pPr>
      <w:r>
        <w:tab/>
        <w:t>(a)</w:t>
      </w:r>
      <w:r>
        <w:tab/>
        <w:t>are in a receptacle with a capacity of more than 500 L or kgs; and</w:t>
      </w:r>
    </w:p>
    <w:p>
      <w:pPr>
        <w:pStyle w:val="Indenta"/>
        <w:rPr>
          <w:i/>
          <w:iCs/>
          <w:color w:val="000000"/>
        </w:rPr>
      </w:pPr>
      <w:r>
        <w:rPr>
          <w:color w:val="000000"/>
        </w:rPr>
        <w:tab/>
        <w:t>(b)</w:t>
      </w:r>
      <w:r>
        <w:rPr>
          <w:color w:val="000000"/>
        </w:rPr>
        <w:tab/>
        <w:t>are of UN Division 2.1 or UN Class 3, 4 or 5 or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Heading5"/>
      </w:pPr>
      <w:bookmarkStart w:id="639" w:name="_Toc233693914"/>
      <w:bookmarkStart w:id="640" w:name="_Toc220466835"/>
      <w:r>
        <w:rPr>
          <w:rStyle w:val="CharSectno"/>
          <w:color w:val="000000"/>
        </w:rPr>
        <w:t>172</w:t>
      </w:r>
      <w:r>
        <w:rPr>
          <w:color w:val="000000"/>
        </w:rPr>
        <w:t>.</w:t>
      </w:r>
      <w:r>
        <w:rPr>
          <w:color w:val="000000"/>
        </w:rPr>
        <w:tab/>
        <w:t>Unloading</w:t>
      </w:r>
      <w:bookmarkEnd w:id="639"/>
      <w:bookmarkEnd w:id="640"/>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41" w:name="_Toc233693915"/>
      <w:bookmarkStart w:id="642" w:name="_Toc220466836"/>
      <w:r>
        <w:rPr>
          <w:rStyle w:val="CharSectno"/>
          <w:color w:val="000000"/>
        </w:rPr>
        <w:t>173</w:t>
      </w:r>
      <w:r>
        <w:rPr>
          <w:color w:val="000000"/>
        </w:rPr>
        <w:t>.</w:t>
      </w:r>
      <w:r>
        <w:rPr>
          <w:color w:val="000000"/>
        </w:rPr>
        <w:tab/>
        <w:t>Detaching trailer</w:t>
      </w:r>
      <w:bookmarkEnd w:id="641"/>
      <w:bookmarkEnd w:id="642"/>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43" w:name="_Toc233693916"/>
      <w:bookmarkStart w:id="644" w:name="_Toc220466837"/>
      <w:r>
        <w:rPr>
          <w:rStyle w:val="CharSectno"/>
          <w:color w:val="000000"/>
        </w:rPr>
        <w:t>174</w:t>
      </w:r>
      <w:r>
        <w:rPr>
          <w:color w:val="000000"/>
        </w:rPr>
        <w:t>.</w:t>
      </w:r>
      <w:r>
        <w:rPr>
          <w:color w:val="000000"/>
        </w:rPr>
        <w:tab/>
        <w:t>Road tank vehicle equipped with burner</w:t>
      </w:r>
      <w:bookmarkEnd w:id="643"/>
      <w:bookmarkEnd w:id="644"/>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645" w:name="_Toc191959652"/>
      <w:bookmarkStart w:id="646" w:name="_Toc191983563"/>
      <w:bookmarkStart w:id="647" w:name="_Toc202345990"/>
      <w:bookmarkStart w:id="648" w:name="_Toc220466838"/>
      <w:bookmarkStart w:id="649" w:name="_Toc233693917"/>
      <w:r>
        <w:rPr>
          <w:rStyle w:val="CharPartNo"/>
        </w:rPr>
        <w:t>Part 14</w:t>
      </w:r>
      <w:r>
        <w:t> — </w:t>
      </w:r>
      <w:r>
        <w:rPr>
          <w:rStyle w:val="CharPartText"/>
        </w:rPr>
        <w:t>Emergencies</w:t>
      </w:r>
      <w:bookmarkEnd w:id="645"/>
      <w:bookmarkEnd w:id="646"/>
      <w:bookmarkEnd w:id="647"/>
      <w:bookmarkEnd w:id="648"/>
      <w:bookmarkEnd w:id="649"/>
    </w:p>
    <w:p>
      <w:pPr>
        <w:pStyle w:val="Heading3"/>
      </w:pPr>
      <w:bookmarkStart w:id="650" w:name="_Toc191959653"/>
      <w:bookmarkStart w:id="651" w:name="_Toc191983564"/>
      <w:bookmarkStart w:id="652" w:name="_Toc202345991"/>
      <w:bookmarkStart w:id="653" w:name="_Toc220466839"/>
      <w:bookmarkStart w:id="654" w:name="_Toc233693918"/>
      <w:r>
        <w:rPr>
          <w:rStyle w:val="CharDivNo"/>
        </w:rPr>
        <w:t>Division 1</w:t>
      </w:r>
      <w:r>
        <w:t> — </w:t>
      </w:r>
      <w:r>
        <w:rPr>
          <w:rStyle w:val="CharDivText"/>
        </w:rPr>
        <w:t>Emergencies generally</w:t>
      </w:r>
      <w:bookmarkEnd w:id="650"/>
      <w:bookmarkEnd w:id="651"/>
      <w:bookmarkEnd w:id="652"/>
      <w:bookmarkEnd w:id="653"/>
      <w:bookmarkEnd w:id="654"/>
    </w:p>
    <w:p>
      <w:pPr>
        <w:pStyle w:val="Heading5"/>
      </w:pPr>
      <w:bookmarkStart w:id="655" w:name="_Toc233693919"/>
      <w:bookmarkStart w:id="656" w:name="_Toc220466840"/>
      <w:r>
        <w:rPr>
          <w:rStyle w:val="CharSectno"/>
        </w:rPr>
        <w:t>175</w:t>
      </w:r>
      <w:r>
        <w:t>.</w:t>
      </w:r>
      <w:r>
        <w:tab/>
        <w:t>Duty on drivers</w:t>
      </w:r>
      <w:bookmarkEnd w:id="655"/>
      <w:bookmarkEnd w:id="656"/>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657" w:name="_Toc233693920"/>
      <w:bookmarkStart w:id="658" w:name="_Toc220466841"/>
      <w:r>
        <w:rPr>
          <w:rStyle w:val="CharSectno"/>
        </w:rPr>
        <w:t>176</w:t>
      </w:r>
      <w:r>
        <w:t>.</w:t>
      </w:r>
      <w:r>
        <w:tab/>
        <w:t>Duty on train drivers and rail operators</w:t>
      </w:r>
      <w:bookmarkEnd w:id="657"/>
      <w:bookmarkEnd w:id="658"/>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659" w:name="_Toc233693921"/>
      <w:bookmarkStart w:id="660" w:name="_Toc220466842"/>
      <w:r>
        <w:rPr>
          <w:rStyle w:val="CharSectno"/>
        </w:rPr>
        <w:t>177</w:t>
      </w:r>
      <w:r>
        <w:t>.</w:t>
      </w:r>
      <w:r>
        <w:tab/>
        <w:t>Duty on prime contractors and rail operators — food or food packaging</w:t>
      </w:r>
      <w:bookmarkEnd w:id="659"/>
      <w:bookmarkEnd w:id="660"/>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661" w:name="_Toc233693922"/>
      <w:bookmarkStart w:id="662" w:name="_Toc220466843"/>
      <w:r>
        <w:rPr>
          <w:rStyle w:val="CharSectno"/>
        </w:rPr>
        <w:t>178</w:t>
      </w:r>
      <w:r>
        <w:t>.</w:t>
      </w:r>
      <w:r>
        <w:tab/>
        <w:t>Prime contractors, rail operators and drivers to inform Chief Officer</w:t>
      </w:r>
      <w:bookmarkEnd w:id="661"/>
      <w:bookmarkEnd w:id="662"/>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driver and the prime contractor or rail operator must each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rPr>
          <w:color w:val="000000"/>
        </w:rPr>
        <w:tab/>
        <w:t>(e)</w:t>
      </w:r>
      <w:r>
        <w:rPr>
          <w:color w:val="000000"/>
        </w:rPr>
        <w:tab/>
        <w:t>for the driver’s report — what he</w:t>
      </w:r>
      <w:r>
        <w:t xml:space="preserve"> or she believes to be the likely cause of the incident;</w:t>
      </w:r>
    </w:p>
    <w:p>
      <w:pPr>
        <w:pStyle w:val="Indenta"/>
      </w:pPr>
      <w:r>
        <w:rPr>
          <w:color w:val="000000"/>
        </w:rPr>
        <w:tab/>
        <w:t>(f)</w:t>
      </w:r>
      <w:r>
        <w:rPr>
          <w:color w:val="000000"/>
        </w:rPr>
        <w:tab/>
        <w:t>for the prime contractor’s or rail operator’s report —</w:t>
      </w:r>
      <w:r>
        <w:t xml:space="preserve"> what he, she or it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Heading3"/>
      </w:pPr>
      <w:bookmarkStart w:id="663" w:name="_Toc191959658"/>
      <w:bookmarkStart w:id="664" w:name="_Toc191983569"/>
      <w:bookmarkStart w:id="665" w:name="_Toc202345996"/>
      <w:bookmarkStart w:id="666" w:name="_Toc220466844"/>
      <w:bookmarkStart w:id="667" w:name="_Toc233693923"/>
      <w:r>
        <w:rPr>
          <w:rStyle w:val="CharDivNo"/>
        </w:rPr>
        <w:t>Division 2</w:t>
      </w:r>
      <w:r>
        <w:t> — </w:t>
      </w:r>
      <w:r>
        <w:rPr>
          <w:rStyle w:val="CharDivText"/>
        </w:rPr>
        <w:t>Emergencies involving placard loads</w:t>
      </w:r>
      <w:bookmarkEnd w:id="663"/>
      <w:bookmarkEnd w:id="664"/>
      <w:bookmarkEnd w:id="665"/>
      <w:bookmarkEnd w:id="666"/>
      <w:bookmarkEnd w:id="667"/>
    </w:p>
    <w:p>
      <w:pPr>
        <w:pStyle w:val="Heading5"/>
      </w:pPr>
      <w:bookmarkStart w:id="668" w:name="_Toc233693924"/>
      <w:bookmarkStart w:id="669" w:name="_Toc220466845"/>
      <w:r>
        <w:rPr>
          <w:rStyle w:val="CharSectno"/>
        </w:rPr>
        <w:t>179</w:t>
      </w:r>
      <w:r>
        <w:t>.</w:t>
      </w:r>
      <w:r>
        <w:tab/>
        <w:t>Telephone advisory service</w:t>
      </w:r>
      <w:bookmarkEnd w:id="668"/>
      <w:bookmarkEnd w:id="669"/>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A prime contractor or rail operator must not transport a load of dangerous goods that contains dangerous goods in a receptacle with a capacity of more than 500 L or kgs if a telephone advisory service is not available during the journey.</w:t>
      </w:r>
    </w:p>
    <w:p>
      <w:pPr>
        <w:pStyle w:val="Penstart"/>
      </w:pPr>
      <w:r>
        <w:tab/>
        <w:t>Penalty: a fine of $10 000.</w:t>
      </w:r>
    </w:p>
    <w:p>
      <w:pPr>
        <w:pStyle w:val="Subsection"/>
      </w:pPr>
      <w:r>
        <w:tab/>
        <w:t>(3)</w:t>
      </w:r>
      <w:r>
        <w:tab/>
        <w:t>A person must not consign a load of dangerous goods that contains dangerous goods in a receptacle with a capacity of more than 500 L or kgs for transport if a telephone advisory service is not available during the journey.</w:t>
      </w:r>
    </w:p>
    <w:p>
      <w:pPr>
        <w:pStyle w:val="Penstart"/>
      </w:pPr>
      <w:r>
        <w:tab/>
        <w:t>Penalty: a fine of $10 000.</w:t>
      </w:r>
    </w:p>
    <w:p>
      <w:pPr>
        <w:pStyle w:val="Subsection"/>
      </w:pPr>
      <w:r>
        <w:tab/>
        <w:t>(4)</w:t>
      </w:r>
      <w:r>
        <w:tab/>
        <w:t>A telephone advisory service may be provided by the prime contractor, rail operator or consignor, or someone else for the prime contractor, rail operator or consignor.</w:t>
      </w:r>
    </w:p>
    <w:p>
      <w:pPr>
        <w:pStyle w:val="Heading5"/>
      </w:pPr>
      <w:bookmarkStart w:id="670" w:name="_Toc233693925"/>
      <w:bookmarkStart w:id="671" w:name="_Toc220466846"/>
      <w:r>
        <w:rPr>
          <w:rStyle w:val="CharSectno"/>
        </w:rPr>
        <w:t>180</w:t>
      </w:r>
      <w:r>
        <w:t>.</w:t>
      </w:r>
      <w:r>
        <w:tab/>
        <w:t>Emergency plans</w:t>
      </w:r>
      <w:bookmarkEnd w:id="670"/>
      <w:bookmarkEnd w:id="67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672" w:name="_Toc233693926"/>
      <w:bookmarkStart w:id="673" w:name="_Toc220466847"/>
      <w:r>
        <w:rPr>
          <w:rStyle w:val="CharSectno"/>
        </w:rPr>
        <w:t>181</w:t>
      </w:r>
      <w:r>
        <w:t>.</w:t>
      </w:r>
      <w:r>
        <w:tab/>
        <w:t>Duty on consignors — information</w:t>
      </w:r>
      <w:bookmarkEnd w:id="672"/>
      <w:bookmarkEnd w:id="67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74" w:name="_Toc233693927"/>
      <w:bookmarkStart w:id="675" w:name="_Toc220466848"/>
      <w:r>
        <w:rPr>
          <w:rStyle w:val="CharSectno"/>
        </w:rPr>
        <w:t>182</w:t>
      </w:r>
      <w:r>
        <w:t>.</w:t>
      </w:r>
      <w:r>
        <w:tab/>
        <w:t>Duty on prime contractors and rail operators — information</w:t>
      </w:r>
      <w:bookmarkEnd w:id="674"/>
      <w:bookmarkEnd w:id="675"/>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76" w:name="_Toc191959663"/>
      <w:bookmarkStart w:id="677" w:name="_Toc191983574"/>
      <w:bookmarkStart w:id="678" w:name="_Toc202346001"/>
      <w:bookmarkStart w:id="679" w:name="_Toc220466849"/>
      <w:bookmarkStart w:id="680" w:name="_Toc233693928"/>
      <w:r>
        <w:rPr>
          <w:rStyle w:val="CharDivNo"/>
        </w:rPr>
        <w:t>Division 3</w:t>
      </w:r>
      <w:r>
        <w:t> — </w:t>
      </w:r>
      <w:r>
        <w:rPr>
          <w:rStyle w:val="CharDivText"/>
        </w:rPr>
        <w:t>Dealing with emergencies involving placard loads</w:t>
      </w:r>
      <w:bookmarkEnd w:id="676"/>
      <w:bookmarkEnd w:id="677"/>
      <w:bookmarkEnd w:id="678"/>
      <w:bookmarkEnd w:id="679"/>
      <w:bookmarkEnd w:id="680"/>
    </w:p>
    <w:p>
      <w:pPr>
        <w:pStyle w:val="Heading5"/>
      </w:pPr>
      <w:bookmarkStart w:id="681" w:name="_Toc233693929"/>
      <w:bookmarkStart w:id="682" w:name="_Toc220466850"/>
      <w:r>
        <w:rPr>
          <w:rStyle w:val="CharSectno"/>
        </w:rPr>
        <w:t>183</w:t>
      </w:r>
      <w:r>
        <w:t>.</w:t>
      </w:r>
      <w:r>
        <w:tab/>
        <w:t>Terms used in this Division</w:t>
      </w:r>
      <w:bookmarkEnd w:id="681"/>
      <w:bookmarkEnd w:id="682"/>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683" w:name="_Toc233693930"/>
      <w:bookmarkStart w:id="684" w:name="_Toc220466851"/>
      <w:r>
        <w:rPr>
          <w:rStyle w:val="CharSectno"/>
        </w:rPr>
        <w:t>184</w:t>
      </w:r>
      <w:r>
        <w:t>.</w:t>
      </w:r>
      <w:r>
        <w:tab/>
        <w:t>Approvals — responders to emergencies</w:t>
      </w:r>
      <w:bookmarkEnd w:id="683"/>
      <w:bookmarkEnd w:id="684"/>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685" w:name="_Toc233693931"/>
      <w:bookmarkStart w:id="686" w:name="_Toc220466852"/>
      <w:r>
        <w:rPr>
          <w:rStyle w:val="CharSectno"/>
        </w:rPr>
        <w:t>185</w:t>
      </w:r>
      <w:r>
        <w:t>.</w:t>
      </w:r>
      <w:r>
        <w:tab/>
        <w:t>Duties as to ensure adequate resources available to deal with emergencies</w:t>
      </w:r>
      <w:bookmarkEnd w:id="685"/>
      <w:bookmarkEnd w:id="68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687" w:name="_Toc233693932"/>
      <w:bookmarkStart w:id="688" w:name="_Toc220466853"/>
      <w:r>
        <w:rPr>
          <w:rStyle w:val="CharSectno"/>
        </w:rPr>
        <w:t>186</w:t>
      </w:r>
      <w:r>
        <w:t>.</w:t>
      </w:r>
      <w:r>
        <w:tab/>
        <w:t>Duties to provide resources to deal with emergency</w:t>
      </w:r>
      <w:bookmarkEnd w:id="687"/>
      <w:bookmarkEnd w:id="688"/>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689" w:name="_Toc191959668"/>
      <w:bookmarkStart w:id="690" w:name="_Toc191983579"/>
      <w:bookmarkStart w:id="691" w:name="_Toc202346006"/>
      <w:bookmarkStart w:id="692" w:name="_Toc220466854"/>
      <w:bookmarkStart w:id="693" w:name="_Toc233693933"/>
      <w:r>
        <w:rPr>
          <w:rStyle w:val="CharPartNo"/>
        </w:rPr>
        <w:t>Part 15</w:t>
      </w:r>
      <w:r>
        <w:t> — </w:t>
      </w:r>
      <w:r>
        <w:rPr>
          <w:rStyle w:val="CharPartText"/>
        </w:rPr>
        <w:t>Exemption</w:t>
      </w:r>
      <w:bookmarkEnd w:id="689"/>
      <w:bookmarkEnd w:id="690"/>
      <w:bookmarkEnd w:id="691"/>
      <w:bookmarkEnd w:id="692"/>
      <w:bookmarkEnd w:id="693"/>
    </w:p>
    <w:p>
      <w:pPr>
        <w:pStyle w:val="Heading3"/>
      </w:pPr>
      <w:bookmarkStart w:id="694" w:name="_Toc191959669"/>
      <w:bookmarkStart w:id="695" w:name="_Toc191983580"/>
      <w:bookmarkStart w:id="696" w:name="_Toc202346007"/>
      <w:bookmarkStart w:id="697" w:name="_Toc220466855"/>
      <w:bookmarkStart w:id="698" w:name="_Toc233693934"/>
      <w:r>
        <w:rPr>
          <w:rStyle w:val="CharDivNo"/>
        </w:rPr>
        <w:t>Division 1</w:t>
      </w:r>
      <w:r>
        <w:t> — </w:t>
      </w:r>
      <w:r>
        <w:rPr>
          <w:rStyle w:val="CharDivText"/>
        </w:rPr>
        <w:t>General</w:t>
      </w:r>
      <w:bookmarkEnd w:id="694"/>
      <w:bookmarkEnd w:id="695"/>
      <w:bookmarkEnd w:id="696"/>
      <w:bookmarkEnd w:id="697"/>
      <w:bookmarkEnd w:id="698"/>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99" w:name="_Toc233693935"/>
      <w:bookmarkStart w:id="700" w:name="_Toc220466856"/>
      <w:r>
        <w:rPr>
          <w:rStyle w:val="CharSectno"/>
        </w:rPr>
        <w:t>187</w:t>
      </w:r>
      <w:r>
        <w:t>.</w:t>
      </w:r>
      <w:r>
        <w:tab/>
        <w:t>Register of corresponding exemptions</w:t>
      </w:r>
      <w:bookmarkEnd w:id="699"/>
      <w:bookmarkEnd w:id="70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701" w:name="_Toc233693936"/>
      <w:bookmarkStart w:id="702" w:name="_Toc220466857"/>
      <w:r>
        <w:rPr>
          <w:rStyle w:val="CharSectno"/>
        </w:rPr>
        <w:t>188</w:t>
      </w:r>
      <w:r>
        <w:t>.</w:t>
      </w:r>
      <w:r>
        <w:tab/>
        <w:t>Records of corresponding exemptions</w:t>
      </w:r>
      <w:bookmarkEnd w:id="701"/>
      <w:bookmarkEnd w:id="702"/>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703" w:name="_Toc191959672"/>
      <w:bookmarkStart w:id="704" w:name="_Toc191983583"/>
      <w:bookmarkStart w:id="705" w:name="_Toc202346010"/>
      <w:bookmarkStart w:id="706" w:name="_Toc220466858"/>
      <w:bookmarkStart w:id="707" w:name="_Toc233693937"/>
      <w:r>
        <w:rPr>
          <w:rStyle w:val="CharDivNo"/>
        </w:rPr>
        <w:t>Division 2</w:t>
      </w:r>
      <w:r>
        <w:t> — </w:t>
      </w:r>
      <w:r>
        <w:rPr>
          <w:rStyle w:val="CharDivText"/>
        </w:rPr>
        <w:t>References of matters to CAP</w:t>
      </w:r>
      <w:bookmarkEnd w:id="703"/>
      <w:bookmarkEnd w:id="704"/>
      <w:bookmarkEnd w:id="705"/>
      <w:bookmarkEnd w:id="706"/>
      <w:bookmarkEnd w:id="707"/>
    </w:p>
    <w:p>
      <w:pPr>
        <w:pStyle w:val="Heading5"/>
      </w:pPr>
      <w:bookmarkStart w:id="708" w:name="_Toc233693938"/>
      <w:bookmarkStart w:id="709" w:name="_Toc220466859"/>
      <w:r>
        <w:rPr>
          <w:rStyle w:val="CharSectno"/>
        </w:rPr>
        <w:t>189</w:t>
      </w:r>
      <w:r>
        <w:t>.</w:t>
      </w:r>
      <w:r>
        <w:tab/>
        <w:t>Term used in this Division</w:t>
      </w:r>
      <w:bookmarkEnd w:id="708"/>
      <w:bookmarkEnd w:id="70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710" w:name="_Toc233693939"/>
      <w:bookmarkStart w:id="711" w:name="_Toc220466860"/>
      <w:r>
        <w:rPr>
          <w:rStyle w:val="CharSectno"/>
        </w:rPr>
        <w:t>190</w:t>
      </w:r>
      <w:r>
        <w:t>.</w:t>
      </w:r>
      <w:r>
        <w:tab/>
        <w:t>References to CAP</w:t>
      </w:r>
      <w:bookmarkEnd w:id="710"/>
      <w:bookmarkEnd w:id="711"/>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712" w:name="_Toc233693940"/>
      <w:bookmarkStart w:id="713" w:name="_Toc220466861"/>
      <w:r>
        <w:rPr>
          <w:rStyle w:val="CharSectno"/>
        </w:rPr>
        <w:t>191</w:t>
      </w:r>
      <w:r>
        <w:t>.</w:t>
      </w:r>
      <w:r>
        <w:tab/>
        <w:t>Effect of CAP decisions about applications</w:t>
      </w:r>
      <w:bookmarkEnd w:id="712"/>
      <w:bookmarkEnd w:id="713"/>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714" w:name="_Toc233693941"/>
      <w:bookmarkStart w:id="715" w:name="_Toc220466862"/>
      <w:r>
        <w:rPr>
          <w:rStyle w:val="CharSectno"/>
        </w:rPr>
        <w:t>192</w:t>
      </w:r>
      <w:r>
        <w:t>.</w:t>
      </w:r>
      <w:r>
        <w:tab/>
        <w:t>Effect of CAP decisions about cancelling or varying exemptions</w:t>
      </w:r>
      <w:bookmarkEnd w:id="714"/>
      <w:bookmarkEnd w:id="71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716" w:name="_Toc191959677"/>
      <w:bookmarkStart w:id="717" w:name="_Toc191983588"/>
      <w:bookmarkStart w:id="718" w:name="_Toc202346015"/>
      <w:bookmarkStart w:id="719" w:name="_Toc220466863"/>
      <w:bookmarkStart w:id="720" w:name="_Toc233693942"/>
      <w:r>
        <w:rPr>
          <w:rStyle w:val="CharPartNo"/>
        </w:rPr>
        <w:t>Part 16</w:t>
      </w:r>
      <w:r>
        <w:t> — </w:t>
      </w:r>
      <w:r>
        <w:rPr>
          <w:rStyle w:val="CharPartText"/>
        </w:rPr>
        <w:t>Approvals</w:t>
      </w:r>
      <w:bookmarkEnd w:id="716"/>
      <w:bookmarkEnd w:id="717"/>
      <w:bookmarkEnd w:id="718"/>
      <w:bookmarkEnd w:id="719"/>
      <w:bookmarkEnd w:id="720"/>
    </w:p>
    <w:p>
      <w:pPr>
        <w:pStyle w:val="Heading3"/>
      </w:pPr>
      <w:bookmarkStart w:id="721" w:name="_Toc191959678"/>
      <w:bookmarkStart w:id="722" w:name="_Toc191983589"/>
      <w:bookmarkStart w:id="723" w:name="_Toc202346016"/>
      <w:bookmarkStart w:id="724" w:name="_Toc220466864"/>
      <w:bookmarkStart w:id="725" w:name="_Toc233693943"/>
      <w:r>
        <w:rPr>
          <w:rStyle w:val="CharDivNo"/>
        </w:rPr>
        <w:t>Division 1</w:t>
      </w:r>
      <w:r>
        <w:t> — </w:t>
      </w:r>
      <w:r>
        <w:rPr>
          <w:rStyle w:val="CharDivText"/>
        </w:rPr>
        <w:t>General</w:t>
      </w:r>
      <w:bookmarkEnd w:id="721"/>
      <w:bookmarkEnd w:id="722"/>
      <w:bookmarkEnd w:id="723"/>
      <w:bookmarkEnd w:id="724"/>
      <w:bookmarkEnd w:id="725"/>
    </w:p>
    <w:p>
      <w:pPr>
        <w:pStyle w:val="Heading5"/>
      </w:pPr>
      <w:bookmarkStart w:id="726" w:name="_Toc233693944"/>
      <w:bookmarkStart w:id="727" w:name="_Toc220466865"/>
      <w:r>
        <w:rPr>
          <w:rStyle w:val="CharSectno"/>
        </w:rPr>
        <w:t>193</w:t>
      </w:r>
      <w:r>
        <w:t>.</w:t>
      </w:r>
      <w:r>
        <w:tab/>
        <w:t>Term used in this Division</w:t>
      </w:r>
      <w:bookmarkEnd w:id="726"/>
      <w:bookmarkEnd w:id="72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28" w:name="_Toc233693945"/>
      <w:bookmarkStart w:id="729" w:name="_Toc220466866"/>
      <w:r>
        <w:rPr>
          <w:rStyle w:val="CharSectno"/>
        </w:rPr>
        <w:t>194</w:t>
      </w:r>
      <w:r>
        <w:t>.</w:t>
      </w:r>
      <w:r>
        <w:tab/>
        <w:t>Applications</w:t>
      </w:r>
      <w:bookmarkEnd w:id="728"/>
      <w:bookmarkEnd w:id="729"/>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Heading5"/>
      </w:pPr>
      <w:bookmarkStart w:id="730" w:name="_Toc233693946"/>
      <w:bookmarkStart w:id="731" w:name="_Toc220466867"/>
      <w:r>
        <w:rPr>
          <w:rStyle w:val="CharSectno"/>
        </w:rPr>
        <w:t>195</w:t>
      </w:r>
      <w:r>
        <w:t>.</w:t>
      </w:r>
      <w:r>
        <w:tab/>
        <w:t>Form of approvals</w:t>
      </w:r>
      <w:bookmarkEnd w:id="730"/>
      <w:bookmarkEnd w:id="731"/>
    </w:p>
    <w:p>
      <w:pPr>
        <w:pStyle w:val="Subsection"/>
      </w:pPr>
      <w:r>
        <w:tab/>
      </w:r>
      <w:r>
        <w:tab/>
        <w:t>An approval must be in writing.</w:t>
      </w:r>
    </w:p>
    <w:p>
      <w:pPr>
        <w:pStyle w:val="Heading5"/>
      </w:pPr>
      <w:bookmarkStart w:id="732" w:name="_Toc233693947"/>
      <w:bookmarkStart w:id="733" w:name="_Toc220466868"/>
      <w:r>
        <w:rPr>
          <w:rStyle w:val="CharSectno"/>
        </w:rPr>
        <w:t>196</w:t>
      </w:r>
      <w:r>
        <w:t>.</w:t>
      </w:r>
      <w:r>
        <w:tab/>
        <w:t>When approvals not to be made</w:t>
      </w:r>
      <w:bookmarkEnd w:id="732"/>
      <w:bookmarkEnd w:id="733"/>
    </w:p>
    <w:p>
      <w:pPr>
        <w:pStyle w:val="Subsection"/>
      </w:pPr>
      <w:r>
        <w:tab/>
      </w:r>
      <w:r>
        <w:tab/>
        <w:t>The Chief Officer must not give an approval to a person who is prohibited by a court order from involvement in the transport of dangerous goods.</w:t>
      </w:r>
    </w:p>
    <w:p>
      <w:pPr>
        <w:pStyle w:val="Heading5"/>
      </w:pPr>
      <w:bookmarkStart w:id="734" w:name="_Toc233693948"/>
      <w:bookmarkStart w:id="735" w:name="_Toc220466869"/>
      <w:r>
        <w:rPr>
          <w:rStyle w:val="CharSectno"/>
        </w:rPr>
        <w:t>197</w:t>
      </w:r>
      <w:r>
        <w:t>.</w:t>
      </w:r>
      <w:r>
        <w:tab/>
        <w:t>Reasons for refusal of applications</w:t>
      </w:r>
      <w:bookmarkEnd w:id="734"/>
      <w:bookmarkEnd w:id="735"/>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736" w:name="_Toc233693949"/>
      <w:bookmarkStart w:id="737" w:name="_Toc220466870"/>
      <w:r>
        <w:rPr>
          <w:rStyle w:val="CharSectno"/>
        </w:rPr>
        <w:t>198</w:t>
      </w:r>
      <w:r>
        <w:t>.</w:t>
      </w:r>
      <w:r>
        <w:tab/>
        <w:t>Periods and conditions</w:t>
      </w:r>
      <w:bookmarkEnd w:id="736"/>
      <w:bookmarkEnd w:id="73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738" w:name="_Toc233693950"/>
      <w:bookmarkStart w:id="739" w:name="_Toc220466871"/>
      <w:r>
        <w:rPr>
          <w:rStyle w:val="CharSectno"/>
        </w:rPr>
        <w:t>199</w:t>
      </w:r>
      <w:r>
        <w:t>.</w:t>
      </w:r>
      <w:r>
        <w:tab/>
        <w:t>Replacement approvals</w:t>
      </w:r>
      <w:bookmarkEnd w:id="738"/>
      <w:bookmarkEnd w:id="73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740" w:name="_Toc233693951"/>
      <w:bookmarkStart w:id="741" w:name="_Toc220466872"/>
      <w:r>
        <w:rPr>
          <w:rStyle w:val="CharSectno"/>
        </w:rPr>
        <w:t>200</w:t>
      </w:r>
      <w:r>
        <w:t>.</w:t>
      </w:r>
      <w:r>
        <w:tab/>
        <w:t>Grounds for cancelling approvals</w:t>
      </w:r>
      <w:bookmarkEnd w:id="740"/>
      <w:bookmarkEnd w:id="74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742" w:name="_Toc233693952"/>
      <w:bookmarkStart w:id="743" w:name="_Toc220466873"/>
      <w:r>
        <w:rPr>
          <w:rStyle w:val="CharSectno"/>
        </w:rPr>
        <w:t>201</w:t>
      </w:r>
      <w:r>
        <w:t>.</w:t>
      </w:r>
      <w:r>
        <w:tab/>
        <w:t>Grounds for varying approvals</w:t>
      </w:r>
      <w:bookmarkEnd w:id="742"/>
      <w:bookmarkEnd w:id="74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744" w:name="_Toc191959688"/>
      <w:bookmarkStart w:id="745" w:name="_Toc191983599"/>
      <w:bookmarkStart w:id="746" w:name="_Toc202346026"/>
      <w:bookmarkStart w:id="747" w:name="_Toc220466874"/>
      <w:bookmarkStart w:id="748" w:name="_Toc233693953"/>
      <w:r>
        <w:rPr>
          <w:rStyle w:val="CharDivNo"/>
        </w:rPr>
        <w:t>Division 2</w:t>
      </w:r>
      <w:r>
        <w:t> — </w:t>
      </w:r>
      <w:r>
        <w:rPr>
          <w:rStyle w:val="CharDivText"/>
        </w:rPr>
        <w:t>Register of approvals</w:t>
      </w:r>
      <w:bookmarkEnd w:id="744"/>
      <w:bookmarkEnd w:id="745"/>
      <w:bookmarkEnd w:id="746"/>
      <w:bookmarkEnd w:id="747"/>
      <w:bookmarkEnd w:id="748"/>
    </w:p>
    <w:p>
      <w:pPr>
        <w:pStyle w:val="Heading5"/>
      </w:pPr>
      <w:bookmarkStart w:id="749" w:name="_Toc233693954"/>
      <w:bookmarkStart w:id="750" w:name="_Toc220466875"/>
      <w:r>
        <w:rPr>
          <w:rStyle w:val="CharSectno"/>
        </w:rPr>
        <w:t>202</w:t>
      </w:r>
      <w:r>
        <w:t>.</w:t>
      </w:r>
      <w:r>
        <w:tab/>
        <w:t>Register of approvals</w:t>
      </w:r>
      <w:bookmarkEnd w:id="749"/>
      <w:bookmarkEnd w:id="750"/>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751" w:name="_Toc233693955"/>
      <w:bookmarkStart w:id="752" w:name="_Toc220466876"/>
      <w:r>
        <w:rPr>
          <w:rStyle w:val="CharSectno"/>
        </w:rPr>
        <w:t>203</w:t>
      </w:r>
      <w:r>
        <w:t>.</w:t>
      </w:r>
      <w:r>
        <w:tab/>
        <w:t>Records of approvals</w:t>
      </w:r>
      <w:bookmarkEnd w:id="751"/>
      <w:bookmarkEnd w:id="752"/>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753" w:name="_Toc191959691"/>
      <w:bookmarkStart w:id="754" w:name="_Toc191983602"/>
      <w:bookmarkStart w:id="755" w:name="_Toc202346029"/>
      <w:bookmarkStart w:id="756" w:name="_Toc220466877"/>
      <w:bookmarkStart w:id="757" w:name="_Toc233693956"/>
      <w:r>
        <w:rPr>
          <w:rStyle w:val="CharDivNo"/>
        </w:rPr>
        <w:t>Division 3</w:t>
      </w:r>
      <w:r>
        <w:t> — </w:t>
      </w:r>
      <w:r>
        <w:rPr>
          <w:rStyle w:val="CharDivText"/>
        </w:rPr>
        <w:t>Reference of approval matters to CAP</w:t>
      </w:r>
      <w:bookmarkEnd w:id="753"/>
      <w:bookmarkEnd w:id="754"/>
      <w:bookmarkEnd w:id="755"/>
      <w:bookmarkEnd w:id="756"/>
      <w:bookmarkEnd w:id="757"/>
    </w:p>
    <w:p>
      <w:pPr>
        <w:pStyle w:val="Heading5"/>
      </w:pPr>
      <w:bookmarkStart w:id="758" w:name="_Toc233693957"/>
      <w:bookmarkStart w:id="759" w:name="_Toc220466878"/>
      <w:r>
        <w:rPr>
          <w:rStyle w:val="CharSectno"/>
        </w:rPr>
        <w:t>204</w:t>
      </w:r>
      <w:r>
        <w:t>.</w:t>
      </w:r>
      <w:r>
        <w:tab/>
        <w:t>References to CAP</w:t>
      </w:r>
      <w:bookmarkEnd w:id="758"/>
      <w:bookmarkEnd w:id="759"/>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760" w:name="_Toc233693958"/>
      <w:bookmarkStart w:id="761" w:name="_Toc220466879"/>
      <w:r>
        <w:rPr>
          <w:rStyle w:val="CharSectno"/>
        </w:rPr>
        <w:t>205</w:t>
      </w:r>
      <w:r>
        <w:t>.</w:t>
      </w:r>
      <w:r>
        <w:tab/>
        <w:t>Effect of CAP decisions about applications</w:t>
      </w:r>
      <w:bookmarkEnd w:id="760"/>
      <w:bookmarkEnd w:id="761"/>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762" w:name="_Toc233693959"/>
      <w:bookmarkStart w:id="763" w:name="_Toc220466880"/>
      <w:r>
        <w:rPr>
          <w:rStyle w:val="CharSectno"/>
        </w:rPr>
        <w:t>206</w:t>
      </w:r>
      <w:r>
        <w:t>.</w:t>
      </w:r>
      <w:r>
        <w:tab/>
        <w:t>Effect of CAP decisions about cancelling or varying approvals</w:t>
      </w:r>
      <w:bookmarkEnd w:id="762"/>
      <w:bookmarkEnd w:id="763"/>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764" w:name="_Toc191959695"/>
      <w:bookmarkStart w:id="765" w:name="_Toc191983606"/>
      <w:bookmarkStart w:id="766" w:name="_Toc202346033"/>
      <w:bookmarkStart w:id="767" w:name="_Toc220466881"/>
      <w:bookmarkStart w:id="768" w:name="_Toc233693960"/>
      <w:r>
        <w:rPr>
          <w:rStyle w:val="CharDivNo"/>
        </w:rPr>
        <w:t>Division 4</w:t>
      </w:r>
      <w:r>
        <w:t> — </w:t>
      </w:r>
      <w:r>
        <w:rPr>
          <w:rStyle w:val="CharDivText"/>
        </w:rPr>
        <w:t>Cancellation and variation</w:t>
      </w:r>
      <w:bookmarkEnd w:id="764"/>
      <w:bookmarkEnd w:id="765"/>
      <w:bookmarkEnd w:id="766"/>
      <w:bookmarkEnd w:id="767"/>
      <w:bookmarkEnd w:id="768"/>
    </w:p>
    <w:p>
      <w:pPr>
        <w:pStyle w:val="Heading5"/>
      </w:pPr>
      <w:bookmarkStart w:id="769" w:name="_Toc233693961"/>
      <w:bookmarkStart w:id="770" w:name="_Toc220466882"/>
      <w:r>
        <w:rPr>
          <w:rStyle w:val="CharSectno"/>
        </w:rPr>
        <w:t>207</w:t>
      </w:r>
      <w:r>
        <w:t>.</w:t>
      </w:r>
      <w:r>
        <w:tab/>
        <w:t>Term used in this Division</w:t>
      </w:r>
      <w:bookmarkEnd w:id="769"/>
      <w:bookmarkEnd w:id="77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71" w:name="_Toc233693962"/>
      <w:bookmarkStart w:id="772" w:name="_Toc220466883"/>
      <w:r>
        <w:rPr>
          <w:rStyle w:val="CharSectno"/>
        </w:rPr>
        <w:t>208</w:t>
      </w:r>
      <w:r>
        <w:t>.</w:t>
      </w:r>
      <w:r>
        <w:tab/>
        <w:t>Cancellation and variation in dangerous situations</w:t>
      </w:r>
      <w:bookmarkEnd w:id="771"/>
      <w:bookmarkEnd w:id="772"/>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773" w:name="_Toc233693963"/>
      <w:bookmarkStart w:id="774" w:name="_Toc220466884"/>
      <w:r>
        <w:rPr>
          <w:rStyle w:val="CharSectno"/>
        </w:rPr>
        <w:t>209</w:t>
      </w:r>
      <w:r>
        <w:t>.</w:t>
      </w:r>
      <w:r>
        <w:tab/>
        <w:t>Cancellation giving effect to court orders</w:t>
      </w:r>
      <w:bookmarkEnd w:id="773"/>
      <w:bookmarkEnd w:id="774"/>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75" w:name="_Toc233693964"/>
      <w:bookmarkStart w:id="776" w:name="_Toc220466885"/>
      <w:r>
        <w:rPr>
          <w:rStyle w:val="CharSectno"/>
        </w:rPr>
        <w:t>210</w:t>
      </w:r>
      <w:r>
        <w:t>.</w:t>
      </w:r>
      <w:r>
        <w:tab/>
        <w:t>Variation of approvals on application</w:t>
      </w:r>
      <w:bookmarkEnd w:id="775"/>
      <w:bookmarkEnd w:id="776"/>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77" w:name="_Toc233693965"/>
      <w:bookmarkStart w:id="778" w:name="_Toc220466886"/>
      <w:r>
        <w:rPr>
          <w:rStyle w:val="CharSectno"/>
        </w:rPr>
        <w:t>211</w:t>
      </w:r>
      <w:r>
        <w:t>.</w:t>
      </w:r>
      <w:r>
        <w:tab/>
        <w:t>Cancellation and variation in other circumstances</w:t>
      </w:r>
      <w:bookmarkEnd w:id="777"/>
      <w:bookmarkEnd w:id="77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79" w:name="_Toc233693966"/>
      <w:bookmarkStart w:id="780" w:name="_Toc220466887"/>
      <w:r>
        <w:rPr>
          <w:rStyle w:val="CharSectno"/>
        </w:rPr>
        <w:t>212</w:t>
      </w:r>
      <w:r>
        <w:t>.</w:t>
      </w:r>
      <w:r>
        <w:tab/>
        <w:t>When cancellation and variation take effect</w:t>
      </w:r>
      <w:bookmarkEnd w:id="779"/>
      <w:bookmarkEnd w:id="78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81" w:name="_Toc191959702"/>
      <w:bookmarkStart w:id="782" w:name="_Toc191983613"/>
      <w:bookmarkStart w:id="783" w:name="_Toc202346040"/>
      <w:bookmarkStart w:id="784" w:name="_Toc220466888"/>
      <w:bookmarkStart w:id="785" w:name="_Toc233693967"/>
      <w:r>
        <w:rPr>
          <w:rStyle w:val="CharPartNo"/>
        </w:rPr>
        <w:t>Part 17</w:t>
      </w:r>
      <w:r>
        <w:t> — </w:t>
      </w:r>
      <w:r>
        <w:rPr>
          <w:rStyle w:val="CharPartText"/>
        </w:rPr>
        <w:t>Licences</w:t>
      </w:r>
      <w:bookmarkEnd w:id="781"/>
      <w:bookmarkEnd w:id="782"/>
      <w:bookmarkEnd w:id="783"/>
      <w:bookmarkEnd w:id="784"/>
      <w:bookmarkEnd w:id="785"/>
    </w:p>
    <w:p>
      <w:pPr>
        <w:pStyle w:val="Heading3"/>
      </w:pPr>
      <w:bookmarkStart w:id="786" w:name="_Toc191959703"/>
      <w:bookmarkStart w:id="787" w:name="_Toc191983614"/>
      <w:bookmarkStart w:id="788" w:name="_Toc202346041"/>
      <w:bookmarkStart w:id="789" w:name="_Toc220466889"/>
      <w:bookmarkStart w:id="790" w:name="_Toc233693968"/>
      <w:r>
        <w:rPr>
          <w:rStyle w:val="CharDivNo"/>
        </w:rPr>
        <w:t>Division 1</w:t>
      </w:r>
      <w:r>
        <w:t> — </w:t>
      </w:r>
      <w:r>
        <w:rPr>
          <w:rStyle w:val="CharDivText"/>
        </w:rPr>
        <w:t>Preliminary</w:t>
      </w:r>
      <w:bookmarkEnd w:id="786"/>
      <w:bookmarkEnd w:id="787"/>
      <w:bookmarkEnd w:id="788"/>
      <w:bookmarkEnd w:id="789"/>
      <w:bookmarkEnd w:id="790"/>
    </w:p>
    <w:p>
      <w:pPr>
        <w:pStyle w:val="Heading5"/>
        <w:rPr>
          <w:color w:val="000000"/>
        </w:rPr>
      </w:pPr>
      <w:bookmarkStart w:id="791" w:name="_Toc233693969"/>
      <w:bookmarkStart w:id="792" w:name="_Toc220466890"/>
      <w:r>
        <w:rPr>
          <w:rStyle w:val="CharSectno"/>
          <w:color w:val="000000"/>
        </w:rPr>
        <w:t>213</w:t>
      </w:r>
      <w:r>
        <w:rPr>
          <w:color w:val="000000"/>
        </w:rPr>
        <w:t>.</w:t>
      </w:r>
      <w:r>
        <w:rPr>
          <w:color w:val="000000"/>
        </w:rPr>
        <w:tab/>
        <w:t>Term used in this Part</w:t>
      </w:r>
      <w:bookmarkEnd w:id="791"/>
      <w:bookmarkEnd w:id="79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793" w:name="_Toc233693970"/>
      <w:bookmarkStart w:id="794" w:name="_Toc220466891"/>
      <w:r>
        <w:rPr>
          <w:rStyle w:val="CharSectno"/>
          <w:color w:val="000000"/>
        </w:rPr>
        <w:t>214</w:t>
      </w:r>
      <w:r>
        <w:rPr>
          <w:color w:val="000000"/>
        </w:rPr>
        <w:t>.</w:t>
      </w:r>
      <w:r>
        <w:rPr>
          <w:color w:val="000000"/>
        </w:rPr>
        <w:tab/>
        <w:t>Part additional to other laws</w:t>
      </w:r>
      <w:bookmarkEnd w:id="793"/>
      <w:bookmarkEnd w:id="79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95" w:name="_Toc191959706"/>
      <w:bookmarkStart w:id="796" w:name="_Toc191983617"/>
      <w:bookmarkStart w:id="797" w:name="_Toc202346044"/>
      <w:bookmarkStart w:id="798" w:name="_Toc220466892"/>
      <w:bookmarkStart w:id="799" w:name="_Toc233693971"/>
      <w:r>
        <w:rPr>
          <w:rStyle w:val="CharDivNo"/>
        </w:rPr>
        <w:t>Division 2</w:t>
      </w:r>
      <w:r>
        <w:t> — </w:t>
      </w:r>
      <w:r>
        <w:rPr>
          <w:rStyle w:val="CharDivText"/>
        </w:rPr>
        <w:t>Principal duties under this Part</w:t>
      </w:r>
      <w:bookmarkEnd w:id="795"/>
      <w:bookmarkEnd w:id="796"/>
      <w:bookmarkEnd w:id="797"/>
      <w:bookmarkEnd w:id="798"/>
      <w:bookmarkEnd w:id="799"/>
    </w:p>
    <w:p>
      <w:pPr>
        <w:pStyle w:val="Heading5"/>
      </w:pPr>
      <w:bookmarkStart w:id="800" w:name="_Toc233693972"/>
      <w:bookmarkStart w:id="801" w:name="_Toc220466893"/>
      <w:r>
        <w:rPr>
          <w:rStyle w:val="CharSectno"/>
          <w:color w:val="000000"/>
        </w:rPr>
        <w:t>215</w:t>
      </w:r>
      <w:r>
        <w:rPr>
          <w:color w:val="000000"/>
        </w:rPr>
        <w:t>.</w:t>
      </w:r>
      <w:r>
        <w:rPr>
          <w:color w:val="000000"/>
        </w:rPr>
        <w:tab/>
        <w:t>Vehicles to be licensed (Act, s. 14)</w:t>
      </w:r>
      <w:bookmarkEnd w:id="800"/>
      <w:bookmarkEnd w:id="80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rPr>
          <w:b/>
          <w:bCs/>
          <w:i/>
          <w:iCs/>
          <w:color w:val="000000"/>
        </w:rPr>
      </w:pPr>
      <w:r>
        <w:rPr>
          <w:color w:val="000000"/>
        </w:rPr>
        <w:tab/>
        <w:t>(2)</w:t>
      </w:r>
      <w:r>
        <w:rPr>
          <w:color w:val="000000"/>
        </w:rPr>
        <w:tab/>
        <w:t>Except as provided in subregulations (3) and (4), a road vehicle used to transport dangerous goods that are in a receptacle with a capacity of more than 500 L or kgs 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Heading5"/>
        <w:rPr>
          <w:color w:val="000000"/>
        </w:rPr>
      </w:pPr>
      <w:bookmarkStart w:id="802" w:name="_Toc233693973"/>
      <w:bookmarkStart w:id="803" w:name="_Toc220466894"/>
      <w:r>
        <w:rPr>
          <w:rStyle w:val="CharSectno"/>
          <w:color w:val="000000"/>
        </w:rPr>
        <w:t>216</w:t>
      </w:r>
      <w:r>
        <w:rPr>
          <w:color w:val="000000"/>
        </w:rPr>
        <w:t>.</w:t>
      </w:r>
      <w:r>
        <w:rPr>
          <w:color w:val="000000"/>
        </w:rPr>
        <w:tab/>
        <w:t>Drivers to be licensed (Act, s. 15)</w:t>
      </w:r>
      <w:bookmarkEnd w:id="802"/>
      <w:bookmarkEnd w:id="803"/>
    </w:p>
    <w:p>
      <w:pPr>
        <w:pStyle w:val="Subsection"/>
        <w:rPr>
          <w:color w:val="000000"/>
        </w:rPr>
      </w:pPr>
      <w:r>
        <w:rPr>
          <w:color w:val="000000"/>
        </w:rPr>
        <w:tab/>
        <w:t>(1)</w:t>
      </w:r>
      <w:r>
        <w:rPr>
          <w:color w:val="000000"/>
        </w:rPr>
        <w:tab/>
        <w:t>Except as provided in subregulation (2), a person who drives a road vehicle transporting dangerous goods that are in a receptacle with a capacity of more than 500 L or kgs 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Heading5"/>
        <w:rPr>
          <w:color w:val="000000"/>
        </w:rPr>
      </w:pPr>
      <w:bookmarkStart w:id="804" w:name="_Toc233693974"/>
      <w:bookmarkStart w:id="805" w:name="_Toc220466895"/>
      <w:r>
        <w:rPr>
          <w:rStyle w:val="CharSectno"/>
          <w:color w:val="000000"/>
        </w:rPr>
        <w:t>217</w:t>
      </w:r>
      <w:r>
        <w:rPr>
          <w:color w:val="000000"/>
        </w:rPr>
        <w:t>.</w:t>
      </w:r>
      <w:r>
        <w:rPr>
          <w:color w:val="000000"/>
        </w:rPr>
        <w:tab/>
        <w:t>Duty on consignors</w:t>
      </w:r>
      <w:bookmarkEnd w:id="804"/>
      <w:bookmarkEnd w:id="805"/>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806" w:name="_Toc191959710"/>
      <w:bookmarkStart w:id="807" w:name="_Toc191983621"/>
      <w:bookmarkStart w:id="808" w:name="_Toc202346048"/>
      <w:bookmarkStart w:id="809" w:name="_Toc220466896"/>
      <w:bookmarkStart w:id="810" w:name="_Toc233693975"/>
      <w:r>
        <w:rPr>
          <w:rStyle w:val="CharDivNo"/>
        </w:rPr>
        <w:t>Division 3</w:t>
      </w:r>
      <w:r>
        <w:t> — </w:t>
      </w:r>
      <w:r>
        <w:rPr>
          <w:rStyle w:val="CharDivText"/>
        </w:rPr>
        <w:t>Dangerous goods driver licences</w:t>
      </w:r>
      <w:bookmarkEnd w:id="806"/>
      <w:bookmarkEnd w:id="807"/>
      <w:bookmarkEnd w:id="808"/>
      <w:bookmarkEnd w:id="809"/>
      <w:bookmarkEnd w:id="810"/>
    </w:p>
    <w:p>
      <w:pPr>
        <w:pStyle w:val="Heading5"/>
      </w:pPr>
      <w:bookmarkStart w:id="811" w:name="_Toc233693976"/>
      <w:bookmarkStart w:id="812" w:name="_Toc220466897"/>
      <w:r>
        <w:rPr>
          <w:rStyle w:val="CharSectno"/>
        </w:rPr>
        <w:t>218</w:t>
      </w:r>
      <w:r>
        <w:t>.</w:t>
      </w:r>
      <w:r>
        <w:tab/>
        <w:t>Applications for licences</w:t>
      </w:r>
      <w:bookmarkEnd w:id="811"/>
      <w:bookmarkEnd w:id="812"/>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813" w:name="_Toc233693977"/>
      <w:bookmarkStart w:id="814" w:name="_Toc220466898"/>
      <w:r>
        <w:rPr>
          <w:rStyle w:val="CharSectno"/>
        </w:rPr>
        <w:t>219</w:t>
      </w:r>
      <w:r>
        <w:t>.</w:t>
      </w:r>
      <w:r>
        <w:tab/>
        <w:t>Required driver licence evidence</w:t>
      </w:r>
      <w:bookmarkEnd w:id="813"/>
      <w:bookmarkEnd w:id="814"/>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815" w:name="_Toc233693978"/>
      <w:bookmarkStart w:id="816" w:name="_Toc220466899"/>
      <w:r>
        <w:rPr>
          <w:rStyle w:val="CharSectno"/>
        </w:rPr>
        <w:t>220</w:t>
      </w:r>
      <w:r>
        <w:t>.</w:t>
      </w:r>
      <w:r>
        <w:tab/>
        <w:t>Required competency evidence</w:t>
      </w:r>
      <w:bookmarkEnd w:id="815"/>
      <w:bookmarkEnd w:id="816"/>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817" w:name="_Toc233693979"/>
      <w:bookmarkStart w:id="818" w:name="_Toc220466900"/>
      <w:r>
        <w:rPr>
          <w:rStyle w:val="CharSectno"/>
        </w:rPr>
        <w:t>221</w:t>
      </w:r>
      <w:r>
        <w:t>.</w:t>
      </w:r>
      <w:r>
        <w:tab/>
        <w:t>Required medical fitness evidence</w:t>
      </w:r>
      <w:bookmarkEnd w:id="817"/>
      <w:bookmarkEnd w:id="818"/>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819" w:name="_Toc233693980"/>
      <w:bookmarkStart w:id="820" w:name="_Toc220466901"/>
      <w:r>
        <w:rPr>
          <w:rStyle w:val="CharSectno"/>
        </w:rPr>
        <w:t>222</w:t>
      </w:r>
      <w:r>
        <w:t>.</w:t>
      </w:r>
      <w:r>
        <w:tab/>
        <w:t>Grant of dangerous goods driver licences</w:t>
      </w:r>
      <w:bookmarkEnd w:id="819"/>
      <w:bookmarkEnd w:id="820"/>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821" w:name="_Toc233693981"/>
      <w:bookmarkStart w:id="822" w:name="_Toc220466902"/>
      <w:r>
        <w:rPr>
          <w:rStyle w:val="CharSectno"/>
        </w:rPr>
        <w:t>223</w:t>
      </w:r>
      <w:r>
        <w:t>.</w:t>
      </w:r>
      <w:r>
        <w:tab/>
        <w:t>Applications for renewal of licences</w:t>
      </w:r>
      <w:bookmarkEnd w:id="821"/>
      <w:bookmarkEnd w:id="822"/>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823" w:name="_Toc233693982"/>
      <w:bookmarkStart w:id="824" w:name="_Toc220466903"/>
      <w:r>
        <w:rPr>
          <w:rStyle w:val="CharSectno"/>
        </w:rPr>
        <w:t>224</w:t>
      </w:r>
      <w:r>
        <w:t>.</w:t>
      </w:r>
      <w:r>
        <w:tab/>
        <w:t>Renewal of licences</w:t>
      </w:r>
      <w:bookmarkEnd w:id="823"/>
      <w:bookmarkEnd w:id="824"/>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825" w:name="_Toc233693983"/>
      <w:bookmarkStart w:id="826" w:name="_Toc220466904"/>
      <w:r>
        <w:rPr>
          <w:rStyle w:val="CharSectno"/>
        </w:rPr>
        <w:t>225</w:t>
      </w:r>
      <w:r>
        <w:t>.</w:t>
      </w:r>
      <w:r>
        <w:tab/>
        <w:t>Licence periods</w:t>
      </w:r>
      <w:bookmarkEnd w:id="825"/>
      <w:bookmarkEnd w:id="826"/>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827" w:name="_Toc233693984"/>
      <w:bookmarkStart w:id="828" w:name="_Toc220466905"/>
      <w:r>
        <w:rPr>
          <w:rStyle w:val="CharSectno"/>
        </w:rPr>
        <w:t>226</w:t>
      </w:r>
      <w:r>
        <w:t>.</w:t>
      </w:r>
      <w:r>
        <w:tab/>
        <w:t>Licence conditions</w:t>
      </w:r>
      <w:bookmarkEnd w:id="827"/>
      <w:bookmarkEnd w:id="828"/>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829" w:name="_Toc233693985"/>
      <w:bookmarkStart w:id="830" w:name="_Toc220466906"/>
      <w:r>
        <w:rPr>
          <w:rStyle w:val="CharSectno"/>
        </w:rPr>
        <w:t>227</w:t>
      </w:r>
      <w:r>
        <w:t>.</w:t>
      </w:r>
      <w:r>
        <w:tab/>
        <w:t>Additional condition</w:t>
      </w:r>
      <w:bookmarkEnd w:id="829"/>
      <w:bookmarkEnd w:id="83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831" w:name="_Toc233693986"/>
      <w:bookmarkStart w:id="832" w:name="_Toc220466907"/>
      <w:r>
        <w:rPr>
          <w:rStyle w:val="CharSectno"/>
          <w:color w:val="000000"/>
        </w:rPr>
        <w:t>228</w:t>
      </w:r>
      <w:r>
        <w:rPr>
          <w:color w:val="000000"/>
        </w:rPr>
        <w:t>.</w:t>
      </w:r>
      <w:r>
        <w:rPr>
          <w:color w:val="000000"/>
        </w:rPr>
        <w:tab/>
        <w:t>Grounds for cancelling, suspending or varying</w:t>
      </w:r>
      <w:r>
        <w:t xml:space="preserve"> licences</w:t>
      </w:r>
      <w:bookmarkEnd w:id="831"/>
      <w:bookmarkEnd w:id="832"/>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833" w:name="_Toc191959722"/>
      <w:bookmarkStart w:id="834" w:name="_Toc191983633"/>
      <w:bookmarkStart w:id="835" w:name="_Toc202346060"/>
      <w:bookmarkStart w:id="836" w:name="_Toc220466908"/>
      <w:bookmarkStart w:id="837" w:name="_Toc233693987"/>
      <w:r>
        <w:rPr>
          <w:rStyle w:val="CharDivNo"/>
        </w:rPr>
        <w:t>Division 4</w:t>
      </w:r>
      <w:r>
        <w:t> — </w:t>
      </w:r>
      <w:r>
        <w:rPr>
          <w:rStyle w:val="CharDivText"/>
        </w:rPr>
        <w:t>Dangerous goods vehicle licences</w:t>
      </w:r>
      <w:bookmarkEnd w:id="833"/>
      <w:bookmarkEnd w:id="834"/>
      <w:bookmarkEnd w:id="835"/>
      <w:bookmarkEnd w:id="836"/>
      <w:bookmarkEnd w:id="837"/>
    </w:p>
    <w:p>
      <w:pPr>
        <w:pStyle w:val="Heading5"/>
      </w:pPr>
      <w:bookmarkStart w:id="838" w:name="_Toc233693988"/>
      <w:bookmarkStart w:id="839" w:name="_Toc220466909"/>
      <w:r>
        <w:rPr>
          <w:rStyle w:val="CharSectno"/>
        </w:rPr>
        <w:t>229</w:t>
      </w:r>
      <w:r>
        <w:t>.</w:t>
      </w:r>
      <w:r>
        <w:tab/>
        <w:t>Term used in this Division</w:t>
      </w:r>
      <w:bookmarkEnd w:id="838"/>
      <w:bookmarkEnd w:id="839"/>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840" w:name="_Toc233693989"/>
      <w:bookmarkStart w:id="841" w:name="_Toc220466910"/>
      <w:r>
        <w:rPr>
          <w:rStyle w:val="CharSectno"/>
        </w:rPr>
        <w:t>230</w:t>
      </w:r>
      <w:r>
        <w:t>.</w:t>
      </w:r>
      <w:r>
        <w:tab/>
        <w:t>Applications for licences</w:t>
      </w:r>
      <w:bookmarkEnd w:id="840"/>
      <w:bookmarkEnd w:id="841"/>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842" w:name="_Toc233693990"/>
      <w:bookmarkStart w:id="843" w:name="_Toc220466911"/>
      <w:r>
        <w:rPr>
          <w:rStyle w:val="CharSectno"/>
        </w:rPr>
        <w:t>231</w:t>
      </w:r>
      <w:r>
        <w:t>.</w:t>
      </w:r>
      <w:r>
        <w:tab/>
        <w:t>Additional information and inspections</w:t>
      </w:r>
      <w:bookmarkEnd w:id="842"/>
      <w:bookmarkEnd w:id="843"/>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844" w:name="_Toc233693991"/>
      <w:bookmarkStart w:id="845" w:name="_Toc220466912"/>
      <w:r>
        <w:rPr>
          <w:rStyle w:val="CharSectno"/>
        </w:rPr>
        <w:t>232</w:t>
      </w:r>
      <w:r>
        <w:t>.</w:t>
      </w:r>
      <w:r>
        <w:tab/>
        <w:t>Grant of dangerous goods vehicle licences</w:t>
      </w:r>
      <w:bookmarkEnd w:id="844"/>
      <w:bookmarkEnd w:id="845"/>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846" w:name="_Toc233693992"/>
      <w:bookmarkStart w:id="847" w:name="_Toc220466913"/>
      <w:r>
        <w:rPr>
          <w:rStyle w:val="CharSectno"/>
        </w:rPr>
        <w:t>233</w:t>
      </w:r>
      <w:r>
        <w:t>.</w:t>
      </w:r>
      <w:r>
        <w:tab/>
        <w:t>Applications for renewal of licences</w:t>
      </w:r>
      <w:bookmarkEnd w:id="846"/>
      <w:bookmarkEnd w:id="847"/>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848" w:name="_Toc233693993"/>
      <w:bookmarkStart w:id="849" w:name="_Toc220466914"/>
      <w:r>
        <w:rPr>
          <w:rStyle w:val="CharSectno"/>
        </w:rPr>
        <w:t>234</w:t>
      </w:r>
      <w:r>
        <w:t>.</w:t>
      </w:r>
      <w:r>
        <w:tab/>
        <w:t>Renewal of licences</w:t>
      </w:r>
      <w:bookmarkEnd w:id="848"/>
      <w:bookmarkEnd w:id="849"/>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850" w:name="_Toc233693994"/>
      <w:bookmarkStart w:id="851" w:name="_Toc220466915"/>
      <w:r>
        <w:rPr>
          <w:rStyle w:val="CharSectno"/>
        </w:rPr>
        <w:t>235</w:t>
      </w:r>
      <w:r>
        <w:t>.</w:t>
      </w:r>
      <w:r>
        <w:tab/>
        <w:t>Licence periods</w:t>
      </w:r>
      <w:bookmarkEnd w:id="850"/>
      <w:bookmarkEnd w:id="851"/>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852" w:name="_Toc233693995"/>
      <w:bookmarkStart w:id="853" w:name="_Toc220466916"/>
      <w:r>
        <w:rPr>
          <w:rStyle w:val="CharSectno"/>
        </w:rPr>
        <w:t>236</w:t>
      </w:r>
      <w:r>
        <w:t>.</w:t>
      </w:r>
      <w:r>
        <w:tab/>
        <w:t>Licence conditions</w:t>
      </w:r>
      <w:bookmarkEnd w:id="852"/>
      <w:bookmarkEnd w:id="853"/>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854" w:name="_Toc233693996"/>
      <w:bookmarkStart w:id="855" w:name="_Toc220466917"/>
      <w:r>
        <w:rPr>
          <w:rStyle w:val="CharSectno"/>
        </w:rPr>
        <w:t>237</w:t>
      </w:r>
      <w:r>
        <w:t>.</w:t>
      </w:r>
      <w:r>
        <w:tab/>
        <w:t>Disposal and transfer of licensed vehicles</w:t>
      </w:r>
      <w:bookmarkEnd w:id="854"/>
      <w:bookmarkEnd w:id="855"/>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56" w:name="_Toc233693997"/>
      <w:bookmarkStart w:id="857" w:name="_Toc220466918"/>
      <w:r>
        <w:rPr>
          <w:rStyle w:val="CharSectno"/>
        </w:rPr>
        <w:t>238</w:t>
      </w:r>
      <w:r>
        <w:t>.</w:t>
      </w:r>
      <w:r>
        <w:tab/>
        <w:t>Grounds for cancelling, suspending or varying licences</w:t>
      </w:r>
      <w:bookmarkEnd w:id="856"/>
      <w:bookmarkEnd w:id="857"/>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58" w:name="_Toc191959733"/>
      <w:bookmarkStart w:id="859" w:name="_Toc191983644"/>
      <w:bookmarkStart w:id="860" w:name="_Toc202346071"/>
      <w:bookmarkStart w:id="861" w:name="_Toc220466919"/>
      <w:bookmarkStart w:id="862" w:name="_Toc233693998"/>
      <w:r>
        <w:rPr>
          <w:rStyle w:val="CharDivNo"/>
        </w:rPr>
        <w:t>Division 5</w:t>
      </w:r>
      <w:r>
        <w:t> — </w:t>
      </w:r>
      <w:r>
        <w:rPr>
          <w:rStyle w:val="CharDivText"/>
        </w:rPr>
        <w:t>Requirements relating to dangerous goods driver licences</w:t>
      </w:r>
      <w:bookmarkEnd w:id="858"/>
      <w:bookmarkEnd w:id="859"/>
      <w:bookmarkEnd w:id="860"/>
      <w:bookmarkEnd w:id="861"/>
      <w:bookmarkEnd w:id="862"/>
    </w:p>
    <w:p>
      <w:pPr>
        <w:pStyle w:val="Heading5"/>
      </w:pPr>
      <w:bookmarkStart w:id="863" w:name="_Toc233693999"/>
      <w:bookmarkStart w:id="864" w:name="_Toc220466920"/>
      <w:r>
        <w:rPr>
          <w:rStyle w:val="CharSectno"/>
        </w:rPr>
        <w:t>239</w:t>
      </w:r>
      <w:r>
        <w:t>.</w:t>
      </w:r>
      <w:r>
        <w:tab/>
        <w:t>Licences to be carried</w:t>
      </w:r>
      <w:bookmarkEnd w:id="863"/>
      <w:bookmarkEnd w:id="864"/>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865" w:name="_Toc233694000"/>
      <w:bookmarkStart w:id="866" w:name="_Toc220466921"/>
      <w:r>
        <w:rPr>
          <w:rStyle w:val="CharSectno"/>
        </w:rPr>
        <w:t>240</w:t>
      </w:r>
      <w:r>
        <w:t>.</w:t>
      </w:r>
      <w:r>
        <w:tab/>
        <w:t>Licences to be produced for inspection</w:t>
      </w:r>
      <w:bookmarkEnd w:id="865"/>
      <w:bookmarkEnd w:id="866"/>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67" w:name="_Toc191959736"/>
      <w:bookmarkStart w:id="868" w:name="_Toc191983647"/>
      <w:bookmarkStart w:id="869" w:name="_Toc202346074"/>
      <w:bookmarkStart w:id="870" w:name="_Toc220466922"/>
      <w:bookmarkStart w:id="871" w:name="_Toc233694001"/>
      <w:r>
        <w:rPr>
          <w:rStyle w:val="CharDivNo"/>
        </w:rPr>
        <w:t>Division 6</w:t>
      </w:r>
      <w:r>
        <w:t> — </w:t>
      </w:r>
      <w:r>
        <w:rPr>
          <w:rStyle w:val="CharDivText"/>
        </w:rPr>
        <w:t>Licences generally</w:t>
      </w:r>
      <w:bookmarkEnd w:id="867"/>
      <w:bookmarkEnd w:id="868"/>
      <w:bookmarkEnd w:id="869"/>
      <w:bookmarkEnd w:id="870"/>
      <w:bookmarkEnd w:id="871"/>
    </w:p>
    <w:p>
      <w:pPr>
        <w:pStyle w:val="Heading5"/>
      </w:pPr>
      <w:bookmarkStart w:id="872" w:name="_Toc233694002"/>
      <w:bookmarkStart w:id="873" w:name="_Toc220466923"/>
      <w:r>
        <w:rPr>
          <w:rStyle w:val="CharSectno"/>
        </w:rPr>
        <w:t>241</w:t>
      </w:r>
      <w:r>
        <w:t>.</w:t>
      </w:r>
      <w:r>
        <w:tab/>
        <w:t>Terms used in this Division</w:t>
      </w:r>
      <w:bookmarkEnd w:id="872"/>
      <w:bookmarkEnd w:id="873"/>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74" w:name="_Toc233694003"/>
      <w:bookmarkStart w:id="875" w:name="_Toc220466924"/>
      <w:r>
        <w:rPr>
          <w:rStyle w:val="CharSectno"/>
        </w:rPr>
        <w:t>242</w:t>
      </w:r>
      <w:r>
        <w:t>.</w:t>
      </w:r>
      <w:r>
        <w:tab/>
        <w:t>Replacement licences</w:t>
      </w:r>
      <w:bookmarkEnd w:id="874"/>
      <w:bookmarkEnd w:id="875"/>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76" w:name="_Toc233694004"/>
      <w:bookmarkStart w:id="877" w:name="_Toc220466925"/>
      <w:r>
        <w:rPr>
          <w:rStyle w:val="CharSectno"/>
        </w:rPr>
        <w:t>243</w:t>
      </w:r>
      <w:r>
        <w:t>.</w:t>
      </w:r>
      <w:r>
        <w:tab/>
        <w:t>Failure to comply with licence conditions</w:t>
      </w:r>
      <w:bookmarkEnd w:id="876"/>
      <w:bookmarkEnd w:id="877"/>
    </w:p>
    <w:p>
      <w:pPr>
        <w:pStyle w:val="Subsection"/>
      </w:pPr>
      <w:r>
        <w:tab/>
      </w:r>
      <w:r>
        <w:tab/>
        <w:t>A licensee must not contravene a condition of his or her licence.</w:t>
      </w:r>
    </w:p>
    <w:p>
      <w:pPr>
        <w:pStyle w:val="Penstart"/>
      </w:pPr>
      <w:r>
        <w:tab/>
        <w:t>Penalty: a fine of $10 000.</w:t>
      </w:r>
    </w:p>
    <w:p>
      <w:pPr>
        <w:pStyle w:val="Heading5"/>
      </w:pPr>
      <w:bookmarkStart w:id="878" w:name="_Toc233694005"/>
      <w:bookmarkStart w:id="879" w:name="_Toc220466926"/>
      <w:r>
        <w:rPr>
          <w:rStyle w:val="CharSectno"/>
        </w:rPr>
        <w:t>244</w:t>
      </w:r>
      <w:r>
        <w:t>.</w:t>
      </w:r>
      <w:r>
        <w:tab/>
        <w:t>Surrender of licences</w:t>
      </w:r>
      <w:bookmarkEnd w:id="878"/>
      <w:bookmarkEnd w:id="879"/>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880" w:name="_Toc233694006"/>
      <w:bookmarkStart w:id="881" w:name="_Toc220466927"/>
      <w:r>
        <w:rPr>
          <w:rStyle w:val="CharSectno"/>
        </w:rPr>
        <w:t>245</w:t>
      </w:r>
      <w:r>
        <w:t>.</w:t>
      </w:r>
      <w:r>
        <w:tab/>
        <w:t>Registers of licences</w:t>
      </w:r>
      <w:bookmarkEnd w:id="880"/>
      <w:bookmarkEnd w:id="881"/>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82" w:name="_Toc233694007"/>
      <w:bookmarkStart w:id="883" w:name="_Toc220466928"/>
      <w:r>
        <w:rPr>
          <w:rStyle w:val="CharSectno"/>
        </w:rPr>
        <w:t>246</w:t>
      </w:r>
      <w:r>
        <w:t>.</w:t>
      </w:r>
      <w:r>
        <w:tab/>
        <w:t>Records of licences</w:t>
      </w:r>
      <w:bookmarkEnd w:id="882"/>
      <w:bookmarkEnd w:id="88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84" w:name="_Toc233694008"/>
      <w:bookmarkStart w:id="885" w:name="_Toc220466929"/>
      <w:r>
        <w:rPr>
          <w:rStyle w:val="CharSectno"/>
        </w:rPr>
        <w:t>247</w:t>
      </w:r>
      <w:r>
        <w:t>.</w:t>
      </w:r>
      <w:r>
        <w:tab/>
        <w:t>Change of information given in licence applications</w:t>
      </w:r>
      <w:bookmarkEnd w:id="884"/>
      <w:bookmarkEnd w:id="885"/>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86" w:name="_Toc233694009"/>
      <w:bookmarkStart w:id="887" w:name="_Toc220466930"/>
      <w:r>
        <w:rPr>
          <w:rStyle w:val="CharSectno"/>
        </w:rPr>
        <w:t>248</w:t>
      </w:r>
      <w:r>
        <w:t>.</w:t>
      </w:r>
      <w:r>
        <w:tab/>
        <w:t xml:space="preserve">Production of licences </w:t>
      </w:r>
      <w:r>
        <w:rPr>
          <w:color w:val="000000"/>
        </w:rPr>
        <w:t>to licensing authority</w:t>
      </w:r>
      <w:bookmarkEnd w:id="886"/>
      <w:bookmarkEnd w:id="887"/>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88" w:name="_Toc233694010"/>
      <w:bookmarkStart w:id="889" w:name="_Toc220466931"/>
      <w:r>
        <w:rPr>
          <w:rStyle w:val="CharSectno"/>
        </w:rPr>
        <w:t>249</w:t>
      </w:r>
      <w:r>
        <w:t>.</w:t>
      </w:r>
      <w:r>
        <w:tab/>
        <w:t>Return of licences</w:t>
      </w:r>
      <w:bookmarkEnd w:id="888"/>
      <w:bookmarkEnd w:id="88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90" w:name="_Toc191959746"/>
      <w:bookmarkStart w:id="891" w:name="_Toc191983657"/>
      <w:bookmarkStart w:id="892" w:name="_Toc202346084"/>
      <w:bookmarkStart w:id="893" w:name="_Toc220466932"/>
      <w:bookmarkStart w:id="894" w:name="_Toc233694011"/>
      <w:r>
        <w:rPr>
          <w:rStyle w:val="CharDivNo"/>
        </w:rPr>
        <w:t>Division 7</w:t>
      </w:r>
      <w:r>
        <w:t> — </w:t>
      </w:r>
      <w:r>
        <w:rPr>
          <w:rStyle w:val="CharDivText"/>
        </w:rPr>
        <w:t>Cancellation, suspension and variation</w:t>
      </w:r>
      <w:bookmarkEnd w:id="890"/>
      <w:bookmarkEnd w:id="891"/>
      <w:bookmarkEnd w:id="892"/>
      <w:bookmarkEnd w:id="893"/>
      <w:bookmarkEnd w:id="894"/>
    </w:p>
    <w:p>
      <w:pPr>
        <w:pStyle w:val="Heading5"/>
        <w:rPr>
          <w:color w:val="000000"/>
        </w:rPr>
      </w:pPr>
      <w:bookmarkStart w:id="895" w:name="_Toc233694012"/>
      <w:bookmarkStart w:id="896" w:name="_Toc220466933"/>
      <w:r>
        <w:rPr>
          <w:rStyle w:val="CharSectno"/>
        </w:rPr>
        <w:t>250</w:t>
      </w:r>
      <w:r>
        <w:t>.</w:t>
      </w:r>
      <w:r>
        <w:tab/>
      </w:r>
      <w:r>
        <w:rPr>
          <w:color w:val="000000"/>
        </w:rPr>
        <w:t>Terms used in this Division</w:t>
      </w:r>
      <w:bookmarkEnd w:id="895"/>
      <w:bookmarkEnd w:id="896"/>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97" w:name="_Toc233694013"/>
      <w:bookmarkStart w:id="898" w:name="_Toc220466934"/>
      <w:r>
        <w:rPr>
          <w:rStyle w:val="CharSectno"/>
        </w:rPr>
        <w:t>251</w:t>
      </w:r>
      <w:r>
        <w:t>.</w:t>
      </w:r>
      <w:r>
        <w:tab/>
        <w:t>Cancellation, suspension and variation in dangerous situations</w:t>
      </w:r>
      <w:bookmarkEnd w:id="897"/>
      <w:bookmarkEnd w:id="898"/>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99" w:name="_Toc233694014"/>
      <w:bookmarkStart w:id="900" w:name="_Toc220466935"/>
      <w:r>
        <w:rPr>
          <w:rStyle w:val="CharSectno"/>
        </w:rPr>
        <w:t>252</w:t>
      </w:r>
      <w:r>
        <w:t>.</w:t>
      </w:r>
      <w:r>
        <w:tab/>
        <w:t>Cancellation and suspension giving effect to court orders</w:t>
      </w:r>
      <w:bookmarkEnd w:id="899"/>
      <w:bookmarkEnd w:id="900"/>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901" w:name="_Toc233694015"/>
      <w:bookmarkStart w:id="902" w:name="_Toc220466936"/>
      <w:r>
        <w:rPr>
          <w:rStyle w:val="CharSectno"/>
        </w:rPr>
        <w:t>253</w:t>
      </w:r>
      <w:r>
        <w:t>.</w:t>
      </w:r>
      <w:r>
        <w:tab/>
        <w:t>Variation of licences on application</w:t>
      </w:r>
      <w:bookmarkEnd w:id="901"/>
      <w:bookmarkEnd w:id="90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903" w:name="_Toc233694016"/>
      <w:bookmarkStart w:id="904" w:name="_Toc220466937"/>
      <w:r>
        <w:rPr>
          <w:rStyle w:val="CharSectno"/>
        </w:rPr>
        <w:t>254</w:t>
      </w:r>
      <w:r>
        <w:t>.</w:t>
      </w:r>
      <w:r>
        <w:tab/>
        <w:t>Cancellation, suspension and variation in other circumstances</w:t>
      </w:r>
      <w:bookmarkEnd w:id="903"/>
      <w:bookmarkEnd w:id="904"/>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905" w:name="_Toc233694017"/>
      <w:bookmarkStart w:id="906" w:name="_Toc220466938"/>
      <w:r>
        <w:rPr>
          <w:rStyle w:val="CharSectno"/>
        </w:rPr>
        <w:t>255</w:t>
      </w:r>
      <w:r>
        <w:t>.</w:t>
      </w:r>
      <w:r>
        <w:tab/>
        <w:t>When cancellation, suspension and variation take effect</w:t>
      </w:r>
      <w:bookmarkEnd w:id="905"/>
      <w:bookmarkEnd w:id="906"/>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907" w:name="_Toc233694018"/>
      <w:bookmarkStart w:id="908" w:name="_Toc220466939"/>
      <w:r>
        <w:rPr>
          <w:rStyle w:val="CharSectno"/>
        </w:rPr>
        <w:t>256</w:t>
      </w:r>
      <w:r>
        <w:t>.</w:t>
      </w:r>
      <w:r>
        <w:tab/>
        <w:t>When licences taken to be suspended</w:t>
      </w:r>
      <w:bookmarkEnd w:id="907"/>
      <w:bookmarkEnd w:id="908"/>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909" w:name="_Toc191959754"/>
      <w:bookmarkStart w:id="910" w:name="_Toc191983665"/>
      <w:bookmarkStart w:id="911" w:name="_Toc202346092"/>
      <w:bookmarkStart w:id="912" w:name="_Toc220466940"/>
      <w:bookmarkStart w:id="913" w:name="_Toc233694019"/>
      <w:r>
        <w:rPr>
          <w:rStyle w:val="CharPartNo"/>
        </w:rPr>
        <w:t>Part 18</w:t>
      </w:r>
      <w:r>
        <w:rPr>
          <w:rStyle w:val="CharDivNo"/>
        </w:rPr>
        <w:t> </w:t>
      </w:r>
      <w:r>
        <w:t>—</w:t>
      </w:r>
      <w:r>
        <w:rPr>
          <w:rStyle w:val="CharDivText"/>
        </w:rPr>
        <w:t> </w:t>
      </w:r>
      <w:r>
        <w:rPr>
          <w:rStyle w:val="CharPartText"/>
        </w:rPr>
        <w:t>Insurance</w:t>
      </w:r>
      <w:bookmarkEnd w:id="909"/>
      <w:bookmarkEnd w:id="910"/>
      <w:bookmarkEnd w:id="911"/>
      <w:bookmarkEnd w:id="912"/>
      <w:bookmarkEnd w:id="913"/>
    </w:p>
    <w:p>
      <w:pPr>
        <w:pStyle w:val="Heading5"/>
        <w:rPr>
          <w:color w:val="000000"/>
        </w:rPr>
      </w:pPr>
      <w:bookmarkStart w:id="914" w:name="_Toc233694020"/>
      <w:bookmarkStart w:id="915" w:name="_Toc220466941"/>
      <w:r>
        <w:rPr>
          <w:rStyle w:val="CharSectno"/>
          <w:color w:val="000000"/>
        </w:rPr>
        <w:t>257</w:t>
      </w:r>
      <w:r>
        <w:rPr>
          <w:color w:val="000000"/>
        </w:rPr>
        <w:t>.</w:t>
      </w:r>
      <w:r>
        <w:rPr>
          <w:color w:val="000000"/>
        </w:rPr>
        <w:tab/>
        <w:t>Duty on owners</w:t>
      </w:r>
      <w:bookmarkEnd w:id="914"/>
      <w:bookmarkEnd w:id="91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personal injury, death, property damage and other damage (except consequential economic loss) arising out of fire, explosion, leakage or spillage of dangerous goods in, on or from the vehicle or a container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rPr>
          <w:color w:val="000000"/>
        </w:rPr>
      </w:pPr>
      <w:r>
        <w:rPr>
          <w:color w:val="000000"/>
        </w:rPr>
        <w:tab/>
        <w:t>(b)</w:t>
      </w:r>
      <w:r>
        <w:rPr>
          <w:color w:val="000000"/>
        </w:rPr>
        <w:tab/>
        <w:t>the owner has an approval given under regulation 260 in relation to the vehicle.</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rPr>
          <w:color w:val="000000"/>
        </w:rPr>
      </w:pPr>
      <w:bookmarkStart w:id="916" w:name="_Toc233694021"/>
      <w:bookmarkStart w:id="917" w:name="_Toc220466942"/>
      <w:r>
        <w:rPr>
          <w:rStyle w:val="CharSectno"/>
          <w:color w:val="000000"/>
        </w:rPr>
        <w:t>258</w:t>
      </w:r>
      <w:r>
        <w:rPr>
          <w:color w:val="000000"/>
        </w:rPr>
        <w:t>.</w:t>
      </w:r>
      <w:r>
        <w:rPr>
          <w:color w:val="000000"/>
        </w:rPr>
        <w:tab/>
        <w:t>Duty on prime contractors</w:t>
      </w:r>
      <w:bookmarkEnd w:id="916"/>
      <w:bookmarkEnd w:id="917"/>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 xml:space="preserve">personal injury, death, property damage and other damage (except consequential economic loss) arising out of fire, explosion, leakage or spillage of dangerous goods in, on or from the vehicle or a </w:t>
      </w:r>
      <w:r>
        <w:rPr>
          <w:color w:val="000000"/>
        </w:rPr>
        <w:t>container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vehicle.</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pPr>
      <w:bookmarkStart w:id="918" w:name="_Toc233694022"/>
      <w:bookmarkStart w:id="919" w:name="_Toc220466943"/>
      <w:r>
        <w:rPr>
          <w:rStyle w:val="CharSectno"/>
        </w:rPr>
        <w:t>259</w:t>
      </w:r>
      <w:r>
        <w:t>.</w:t>
      </w:r>
      <w:r>
        <w:tab/>
        <w:t>Requiring evidence of insurance etc.</w:t>
      </w:r>
      <w:bookmarkEnd w:id="918"/>
      <w:bookmarkEnd w:id="919"/>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920" w:name="_Toc233694023"/>
      <w:bookmarkStart w:id="921" w:name="_Toc220466944"/>
      <w:r>
        <w:rPr>
          <w:rStyle w:val="CharSectno"/>
          <w:color w:val="000000"/>
        </w:rPr>
        <w:t>260</w:t>
      </w:r>
      <w:r>
        <w:rPr>
          <w:color w:val="000000"/>
        </w:rPr>
        <w:t>.</w:t>
      </w:r>
      <w:r>
        <w:rPr>
          <w:color w:val="000000"/>
        </w:rPr>
        <w:tab/>
        <w:t>Approvals — insurance</w:t>
      </w:r>
      <w:bookmarkEnd w:id="920"/>
      <w:bookmarkEnd w:id="92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922" w:name="_Toc191959759"/>
      <w:bookmarkStart w:id="923" w:name="_Toc191983670"/>
      <w:bookmarkStart w:id="924" w:name="_Toc202346097"/>
      <w:bookmarkStart w:id="925" w:name="_Toc220466945"/>
      <w:bookmarkStart w:id="926" w:name="_Toc233694024"/>
      <w:r>
        <w:rPr>
          <w:rStyle w:val="CharPartNo"/>
        </w:rPr>
        <w:t>Part 19</w:t>
      </w:r>
      <w:r>
        <w:t> — </w:t>
      </w:r>
      <w:r>
        <w:rPr>
          <w:rStyle w:val="CharPartText"/>
        </w:rPr>
        <w:t>Mutual recognition</w:t>
      </w:r>
      <w:bookmarkEnd w:id="922"/>
      <w:bookmarkEnd w:id="923"/>
      <w:bookmarkEnd w:id="924"/>
      <w:bookmarkEnd w:id="925"/>
      <w:bookmarkEnd w:id="926"/>
    </w:p>
    <w:p>
      <w:pPr>
        <w:pStyle w:val="Heading3"/>
      </w:pPr>
      <w:bookmarkStart w:id="927" w:name="_Toc191959760"/>
      <w:bookmarkStart w:id="928" w:name="_Toc191983671"/>
      <w:bookmarkStart w:id="929" w:name="_Toc202346098"/>
      <w:bookmarkStart w:id="930" w:name="_Toc220466946"/>
      <w:bookmarkStart w:id="931" w:name="_Toc233694025"/>
      <w:r>
        <w:rPr>
          <w:rStyle w:val="CharDivNo"/>
        </w:rPr>
        <w:t>Division 1</w:t>
      </w:r>
      <w:r>
        <w:t> — </w:t>
      </w:r>
      <w:r>
        <w:rPr>
          <w:rStyle w:val="CharDivText"/>
        </w:rPr>
        <w:t>Recommendations by Chief Officer and corresponding authorities</w:t>
      </w:r>
      <w:bookmarkEnd w:id="927"/>
      <w:bookmarkEnd w:id="928"/>
      <w:bookmarkEnd w:id="929"/>
      <w:bookmarkEnd w:id="930"/>
      <w:bookmarkEnd w:id="931"/>
    </w:p>
    <w:p>
      <w:pPr>
        <w:pStyle w:val="Heading5"/>
      </w:pPr>
      <w:bookmarkStart w:id="932" w:name="_Toc233694026"/>
      <w:bookmarkStart w:id="933" w:name="_Toc220466947"/>
      <w:r>
        <w:rPr>
          <w:rStyle w:val="CharSectno"/>
        </w:rPr>
        <w:t>261</w:t>
      </w:r>
      <w:r>
        <w:t>.</w:t>
      </w:r>
      <w:r>
        <w:tab/>
        <w:t>Recommendations by Chief Officer</w:t>
      </w:r>
      <w:bookmarkEnd w:id="932"/>
      <w:bookmarkEnd w:id="933"/>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934" w:name="_Toc233694027"/>
      <w:bookmarkStart w:id="935" w:name="_Toc220466948"/>
      <w:r>
        <w:rPr>
          <w:rStyle w:val="CharSectno"/>
        </w:rPr>
        <w:t>262</w:t>
      </w:r>
      <w:r>
        <w:t>.</w:t>
      </w:r>
      <w:r>
        <w:tab/>
        <w:t>Recommendations by corresponding authorities</w:t>
      </w:r>
      <w:bookmarkEnd w:id="934"/>
      <w:bookmarkEnd w:id="935"/>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936" w:name="_Toc191959763"/>
      <w:bookmarkStart w:id="937" w:name="_Toc191983674"/>
      <w:bookmarkStart w:id="938" w:name="_Toc202346101"/>
      <w:bookmarkStart w:id="939" w:name="_Toc220466949"/>
      <w:bookmarkStart w:id="940" w:name="_Toc233694028"/>
      <w:r>
        <w:rPr>
          <w:rStyle w:val="CharDivNo"/>
        </w:rPr>
        <w:t>Division 2</w:t>
      </w:r>
      <w:r>
        <w:t> — </w:t>
      </w:r>
      <w:r>
        <w:rPr>
          <w:rStyle w:val="CharDivText"/>
        </w:rPr>
        <w:t>Mutual recognition of determinations, exemptions, approvals and licences</w:t>
      </w:r>
      <w:bookmarkEnd w:id="936"/>
      <w:bookmarkEnd w:id="937"/>
      <w:bookmarkEnd w:id="938"/>
      <w:bookmarkEnd w:id="939"/>
      <w:bookmarkEnd w:id="940"/>
    </w:p>
    <w:p>
      <w:pPr>
        <w:pStyle w:val="Heading5"/>
      </w:pPr>
      <w:bookmarkStart w:id="941" w:name="_Toc233694029"/>
      <w:bookmarkStart w:id="942" w:name="_Toc220466950"/>
      <w:r>
        <w:rPr>
          <w:rStyle w:val="CharSectno"/>
        </w:rPr>
        <w:t>263</w:t>
      </w:r>
      <w:r>
        <w:t>.</w:t>
      </w:r>
      <w:r>
        <w:tab/>
        <w:t>Corresponding determinations</w:t>
      </w:r>
      <w:bookmarkEnd w:id="941"/>
      <w:bookmarkEnd w:id="942"/>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943" w:name="_Toc233694030"/>
      <w:bookmarkStart w:id="944" w:name="_Toc220466951"/>
      <w:r>
        <w:rPr>
          <w:rStyle w:val="CharSectno"/>
        </w:rPr>
        <w:t>264</w:t>
      </w:r>
      <w:r>
        <w:t>.</w:t>
      </w:r>
      <w:r>
        <w:tab/>
        <w:t>Corresponding exemptions</w:t>
      </w:r>
      <w:bookmarkEnd w:id="943"/>
      <w:bookmarkEnd w:id="94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45" w:name="_Toc233694031"/>
      <w:bookmarkStart w:id="946" w:name="_Toc220466952"/>
      <w:r>
        <w:rPr>
          <w:rStyle w:val="CharSectno"/>
        </w:rPr>
        <w:t>265</w:t>
      </w:r>
      <w:r>
        <w:t>.</w:t>
      </w:r>
      <w:r>
        <w:tab/>
        <w:t>Corresponding approvals</w:t>
      </w:r>
      <w:bookmarkEnd w:id="945"/>
      <w:bookmarkEnd w:id="946"/>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47" w:name="_Toc233694032"/>
      <w:bookmarkStart w:id="948" w:name="_Toc220466953"/>
      <w:r>
        <w:rPr>
          <w:rStyle w:val="CharSectno"/>
        </w:rPr>
        <w:t>266</w:t>
      </w:r>
      <w:r>
        <w:t>.</w:t>
      </w:r>
      <w:r>
        <w:tab/>
        <w:t>Corresponding licences</w:t>
      </w:r>
      <w:bookmarkEnd w:id="947"/>
      <w:bookmarkEnd w:id="948"/>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949" w:name="_Toc191959768"/>
      <w:bookmarkStart w:id="950" w:name="_Toc191983679"/>
      <w:bookmarkStart w:id="951" w:name="_Toc202346106"/>
      <w:bookmarkStart w:id="952" w:name="_Toc220466954"/>
      <w:bookmarkStart w:id="953" w:name="_Toc233694033"/>
      <w:r>
        <w:rPr>
          <w:rStyle w:val="CharPartNo"/>
        </w:rPr>
        <w:t>Part 20</w:t>
      </w:r>
      <w:r>
        <w:rPr>
          <w:rStyle w:val="CharDivNo"/>
        </w:rPr>
        <w:t> </w:t>
      </w:r>
      <w:r>
        <w:t>—</w:t>
      </w:r>
      <w:r>
        <w:rPr>
          <w:rStyle w:val="CharDivText"/>
        </w:rPr>
        <w:t> </w:t>
      </w:r>
      <w:r>
        <w:rPr>
          <w:rStyle w:val="CharPartText"/>
        </w:rPr>
        <w:t>Reconsideration and review of decisions</w:t>
      </w:r>
      <w:bookmarkEnd w:id="949"/>
      <w:bookmarkEnd w:id="950"/>
      <w:bookmarkEnd w:id="951"/>
      <w:bookmarkEnd w:id="952"/>
      <w:bookmarkEnd w:id="953"/>
    </w:p>
    <w:p>
      <w:pPr>
        <w:pStyle w:val="Heading5"/>
      </w:pPr>
      <w:bookmarkStart w:id="954" w:name="_Toc233694034"/>
      <w:bookmarkStart w:id="955" w:name="_Toc220466955"/>
      <w:r>
        <w:rPr>
          <w:rStyle w:val="CharSectno"/>
        </w:rPr>
        <w:t>267</w:t>
      </w:r>
      <w:r>
        <w:t>.</w:t>
      </w:r>
      <w:r>
        <w:tab/>
        <w:t>Application of Part</w:t>
      </w:r>
      <w:bookmarkEnd w:id="954"/>
      <w:bookmarkEnd w:id="955"/>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956" w:name="_Toc233694035"/>
      <w:bookmarkStart w:id="957" w:name="_Toc220466956"/>
      <w:r>
        <w:rPr>
          <w:rStyle w:val="CharSectno"/>
        </w:rPr>
        <w:t>268</w:t>
      </w:r>
      <w:r>
        <w:t>.</w:t>
      </w:r>
      <w:r>
        <w:tab/>
        <w:t>Who may apply for reconsideration of decisions</w:t>
      </w:r>
      <w:bookmarkEnd w:id="956"/>
      <w:bookmarkEnd w:id="957"/>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58" w:name="_Toc233694036"/>
      <w:bookmarkStart w:id="959" w:name="_Toc220466957"/>
      <w:r>
        <w:rPr>
          <w:rStyle w:val="CharSectno"/>
        </w:rPr>
        <w:t>269</w:t>
      </w:r>
      <w:r>
        <w:t>.</w:t>
      </w:r>
      <w:r>
        <w:tab/>
        <w:t>Applications for reconsideration</w:t>
      </w:r>
      <w:bookmarkEnd w:id="958"/>
      <w:bookmarkEnd w:id="959"/>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60" w:name="_Toc233694037"/>
      <w:bookmarkStart w:id="961" w:name="_Toc220466958"/>
      <w:r>
        <w:rPr>
          <w:rStyle w:val="CharSectno"/>
        </w:rPr>
        <w:t>270</w:t>
      </w:r>
      <w:r>
        <w:t>.</w:t>
      </w:r>
      <w:r>
        <w:tab/>
        <w:t>Chief Officer to reconsider decisions</w:t>
      </w:r>
      <w:bookmarkEnd w:id="960"/>
      <w:bookmarkEnd w:id="961"/>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62" w:name="_Toc191959773"/>
      <w:bookmarkStart w:id="963" w:name="_Toc191983684"/>
      <w:bookmarkStart w:id="964" w:name="_Toc202346111"/>
      <w:bookmarkStart w:id="965" w:name="_Toc220466959"/>
      <w:bookmarkStart w:id="966" w:name="_Toc233694038"/>
      <w:r>
        <w:rPr>
          <w:rStyle w:val="CharPartNo"/>
        </w:rPr>
        <w:t>Part 21</w:t>
      </w:r>
      <w:r>
        <w:rPr>
          <w:rStyle w:val="CharDivNo"/>
        </w:rPr>
        <w:t> </w:t>
      </w:r>
      <w:r>
        <w:t>—</w:t>
      </w:r>
      <w:r>
        <w:rPr>
          <w:rStyle w:val="CharDivText"/>
        </w:rPr>
        <w:t> </w:t>
      </w:r>
      <w:r>
        <w:rPr>
          <w:rStyle w:val="CharPartText"/>
        </w:rPr>
        <w:t>Infringement notices</w:t>
      </w:r>
      <w:bookmarkEnd w:id="962"/>
      <w:bookmarkEnd w:id="963"/>
      <w:bookmarkEnd w:id="964"/>
      <w:bookmarkEnd w:id="965"/>
      <w:bookmarkEnd w:id="966"/>
    </w:p>
    <w:p>
      <w:pPr>
        <w:pStyle w:val="Heading5"/>
      </w:pPr>
      <w:bookmarkStart w:id="967" w:name="_Toc233694039"/>
      <w:bookmarkStart w:id="968" w:name="_Toc220466960"/>
      <w:r>
        <w:rPr>
          <w:rStyle w:val="CharSectno"/>
        </w:rPr>
        <w:t>271</w:t>
      </w:r>
      <w:r>
        <w:t>.</w:t>
      </w:r>
      <w:r>
        <w:tab/>
        <w:t>Infringement notice offences and modified penalties</w:t>
      </w:r>
      <w:bookmarkEnd w:id="967"/>
      <w:bookmarkEnd w:id="968"/>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69" w:name="_Toc191959775"/>
      <w:bookmarkStart w:id="970" w:name="_Toc191983686"/>
      <w:bookmarkStart w:id="971" w:name="_Toc202346113"/>
      <w:bookmarkStart w:id="972" w:name="_Toc220466961"/>
      <w:bookmarkStart w:id="973" w:name="_Toc233694040"/>
      <w:r>
        <w:rPr>
          <w:rStyle w:val="CharPartNo"/>
        </w:rPr>
        <w:t>Part 22</w:t>
      </w:r>
      <w:r>
        <w:rPr>
          <w:rStyle w:val="CharDivNo"/>
        </w:rPr>
        <w:t> </w:t>
      </w:r>
      <w:r>
        <w:t>—</w:t>
      </w:r>
      <w:r>
        <w:rPr>
          <w:rStyle w:val="CharDivText"/>
        </w:rPr>
        <w:t> </w:t>
      </w:r>
      <w:r>
        <w:rPr>
          <w:rStyle w:val="CharPartText"/>
        </w:rPr>
        <w:t>Fees</w:t>
      </w:r>
      <w:bookmarkEnd w:id="969"/>
      <w:bookmarkEnd w:id="970"/>
      <w:bookmarkEnd w:id="971"/>
      <w:bookmarkEnd w:id="972"/>
      <w:bookmarkEnd w:id="973"/>
    </w:p>
    <w:p>
      <w:pPr>
        <w:pStyle w:val="Heading5"/>
      </w:pPr>
      <w:bookmarkStart w:id="974" w:name="_Toc233694041"/>
      <w:bookmarkStart w:id="975" w:name="_Toc220466962"/>
      <w:r>
        <w:rPr>
          <w:rStyle w:val="CharSectno"/>
        </w:rPr>
        <w:t>272.</w:t>
      </w:r>
      <w:r>
        <w:tab/>
        <w:t>Prescribed fees</w:t>
      </w:r>
      <w:bookmarkEnd w:id="974"/>
      <w:bookmarkEnd w:id="975"/>
    </w:p>
    <w:p>
      <w:pPr>
        <w:pStyle w:val="Subsection"/>
      </w:pPr>
      <w:r>
        <w:tab/>
      </w:r>
      <w:r>
        <w:tab/>
        <w:t>The fees payable under these regulations are prescribed in the Table to this regulation.</w:t>
      </w:r>
    </w:p>
    <w:p>
      <w:pPr>
        <w:pStyle w:val="THeadingNAm"/>
      </w:pPr>
      <w:r>
        <w:t>Table</w:t>
      </w:r>
    </w:p>
    <w:tbl>
      <w:tblPr>
        <w:tblW w:w="0" w:type="auto"/>
        <w:tblInd w:w="959" w:type="dxa"/>
        <w:tblLayout w:type="fixed"/>
        <w:tblLook w:val="0000" w:firstRow="0" w:lastRow="0" w:firstColumn="0" w:lastColumn="0" w:noHBand="0" w:noVBand="0"/>
      </w:tblPr>
      <w:tblGrid>
        <w:gridCol w:w="850"/>
        <w:gridCol w:w="3686"/>
        <w:gridCol w:w="1417"/>
      </w:tblGrid>
      <w:tr>
        <w:trPr>
          <w:tblHeader/>
        </w:trPr>
        <w:tc>
          <w:tcPr>
            <w:tcW w:w="850" w:type="dxa"/>
            <w:tcBorders>
              <w:top w:val="single" w:sz="4" w:space="0" w:color="auto"/>
              <w:bottom w:val="single" w:sz="4" w:space="0" w:color="auto"/>
            </w:tcBorders>
          </w:tcPr>
          <w:p>
            <w:pPr>
              <w:pStyle w:val="TableNAm"/>
              <w:jc w:val="center"/>
              <w:rPr>
                <w:b/>
                <w:bCs/>
              </w:rPr>
            </w:pPr>
            <w:r>
              <w:rPr>
                <w:b/>
                <w:bCs/>
              </w:rPr>
              <w:t>Item</w:t>
            </w:r>
          </w:p>
        </w:tc>
        <w:tc>
          <w:tcPr>
            <w:tcW w:w="3686" w:type="dxa"/>
            <w:tcBorders>
              <w:top w:val="single" w:sz="4" w:space="0" w:color="auto"/>
              <w:bottom w:val="single" w:sz="4" w:space="0" w:color="auto"/>
            </w:tcBorders>
          </w:tcPr>
          <w:p>
            <w:pPr>
              <w:pStyle w:val="TableNAm"/>
              <w:jc w:val="center"/>
              <w:rPr>
                <w:b/>
                <w:bCs/>
                <w:i/>
                <w:iCs/>
              </w:rPr>
            </w:pPr>
            <w:r>
              <w:rPr>
                <w:b/>
                <w:bCs/>
              </w:rPr>
              <w:t>Provision under which fee payable</w:t>
            </w:r>
          </w:p>
        </w:tc>
        <w:tc>
          <w:tcPr>
            <w:tcW w:w="1417" w:type="dxa"/>
            <w:tcBorders>
              <w:top w:val="single" w:sz="4" w:space="0" w:color="auto"/>
              <w:bottom w:val="single" w:sz="4" w:space="0" w:color="auto"/>
            </w:tcBorders>
          </w:tcPr>
          <w:p>
            <w:pPr>
              <w:pStyle w:val="TableNAm"/>
              <w:tabs>
                <w:tab w:val="clear" w:pos="567"/>
              </w:tabs>
              <w:ind w:right="-24"/>
              <w:jc w:val="center"/>
              <w:rPr>
                <w:b/>
                <w:bCs/>
              </w:rPr>
            </w:pPr>
            <w:r>
              <w:rPr>
                <w:b/>
                <w:bCs/>
              </w:rPr>
              <w:t>Fee ($)</w:t>
            </w:r>
          </w:p>
        </w:tc>
      </w:tr>
      <w:tr>
        <w:tc>
          <w:tcPr>
            <w:tcW w:w="850" w:type="dxa"/>
          </w:tcPr>
          <w:p>
            <w:pPr>
              <w:pStyle w:val="TableNAm"/>
              <w:rPr>
                <w:color w:val="000000"/>
              </w:rPr>
            </w:pPr>
            <w:r>
              <w:rPr>
                <w:color w:val="000000"/>
              </w:rPr>
              <w:t>1.</w:t>
            </w:r>
          </w:p>
        </w:tc>
        <w:tc>
          <w:tcPr>
            <w:tcW w:w="3686" w:type="dxa"/>
          </w:tcPr>
          <w:p>
            <w:pPr>
              <w:pStyle w:val="TableNAm"/>
              <w:rPr>
                <w:color w:val="000000"/>
              </w:rPr>
            </w:pPr>
            <w:r>
              <w:rPr>
                <w:color w:val="000000"/>
              </w:rPr>
              <w:t>Regulation 194(1)(b)</w:t>
            </w:r>
          </w:p>
        </w:tc>
        <w:tc>
          <w:tcPr>
            <w:tcW w:w="1417" w:type="dxa"/>
          </w:tcPr>
          <w:p>
            <w:pPr>
              <w:pStyle w:val="TableNAm"/>
              <w:tabs>
                <w:tab w:val="clear" w:pos="567"/>
              </w:tabs>
              <w:ind w:right="336"/>
              <w:jc w:val="right"/>
              <w:rPr>
                <w:color w:val="000000"/>
              </w:rPr>
            </w:pPr>
            <w:r>
              <w:rPr>
                <w:color w:val="000000"/>
              </w:rPr>
              <w:t>260</w:t>
            </w:r>
          </w:p>
        </w:tc>
      </w:tr>
      <w:tr>
        <w:tc>
          <w:tcPr>
            <w:tcW w:w="850" w:type="dxa"/>
          </w:tcPr>
          <w:p>
            <w:pPr>
              <w:pStyle w:val="TableNAm"/>
              <w:rPr>
                <w:color w:val="000000"/>
              </w:rPr>
            </w:pPr>
            <w:r>
              <w:rPr>
                <w:color w:val="000000"/>
              </w:rPr>
              <w:t>2.</w:t>
            </w:r>
          </w:p>
        </w:tc>
        <w:tc>
          <w:tcPr>
            <w:tcW w:w="3686" w:type="dxa"/>
          </w:tcPr>
          <w:p>
            <w:pPr>
              <w:pStyle w:val="TableNAm"/>
              <w:rPr>
                <w:color w:val="000000"/>
              </w:rPr>
            </w:pPr>
            <w:r>
              <w:rPr>
                <w:color w:val="000000"/>
              </w:rPr>
              <w:t>Regulation 218(2)(e)</w:t>
            </w:r>
          </w:p>
        </w:tc>
        <w:tc>
          <w:tcPr>
            <w:tcW w:w="1417" w:type="dxa"/>
          </w:tcPr>
          <w:p>
            <w:pPr>
              <w:pStyle w:val="TableNAm"/>
              <w:tabs>
                <w:tab w:val="clear" w:pos="567"/>
              </w:tabs>
              <w:ind w:right="336"/>
              <w:jc w:val="right"/>
              <w:rPr>
                <w:color w:val="000000"/>
              </w:rPr>
            </w:pPr>
            <w:r>
              <w:rPr>
                <w:color w:val="000000"/>
              </w:rPr>
              <w:t>60</w:t>
            </w:r>
          </w:p>
        </w:tc>
      </w:tr>
      <w:tr>
        <w:tc>
          <w:tcPr>
            <w:tcW w:w="850" w:type="dxa"/>
          </w:tcPr>
          <w:p>
            <w:pPr>
              <w:pStyle w:val="TableNAm"/>
            </w:pPr>
            <w:r>
              <w:t>3.</w:t>
            </w:r>
          </w:p>
        </w:tc>
        <w:tc>
          <w:tcPr>
            <w:tcW w:w="3686" w:type="dxa"/>
          </w:tcPr>
          <w:p>
            <w:pPr>
              <w:pStyle w:val="TableNAm"/>
            </w:pPr>
            <w:r>
              <w:t xml:space="preserve">Regulation 223(2)(e) </w:t>
            </w:r>
          </w:p>
        </w:tc>
        <w:tc>
          <w:tcPr>
            <w:tcW w:w="1417" w:type="dxa"/>
          </w:tcPr>
          <w:p>
            <w:pPr>
              <w:pStyle w:val="TableNAm"/>
              <w:tabs>
                <w:tab w:val="clear" w:pos="567"/>
              </w:tabs>
              <w:ind w:right="336"/>
              <w:jc w:val="right"/>
            </w:pPr>
            <w:r>
              <w:t>60</w:t>
            </w:r>
          </w:p>
        </w:tc>
      </w:tr>
      <w:tr>
        <w:tc>
          <w:tcPr>
            <w:tcW w:w="850" w:type="dxa"/>
          </w:tcPr>
          <w:p>
            <w:pPr>
              <w:pStyle w:val="TableNAm"/>
            </w:pPr>
            <w:r>
              <w:t>4.</w:t>
            </w:r>
          </w:p>
        </w:tc>
        <w:tc>
          <w:tcPr>
            <w:tcW w:w="3686" w:type="dxa"/>
          </w:tcPr>
          <w:p>
            <w:pPr>
              <w:pStyle w:val="TableNAm"/>
            </w:pPr>
            <w:r>
              <w:t>Regulation 230(4)</w:t>
            </w:r>
          </w:p>
        </w:tc>
        <w:tc>
          <w:tcPr>
            <w:tcW w:w="1417" w:type="dxa"/>
          </w:tcPr>
          <w:p>
            <w:pPr>
              <w:pStyle w:val="TableNAm"/>
              <w:tabs>
                <w:tab w:val="clear" w:pos="567"/>
              </w:tabs>
              <w:ind w:right="336"/>
              <w:jc w:val="right"/>
            </w:pPr>
            <w:del w:id="976" w:author="Master Repository Process" w:date="2021-08-01T03:21:00Z">
              <w:r>
                <w:delText>360</w:delText>
              </w:r>
            </w:del>
            <w:ins w:id="977" w:author="Master Repository Process" w:date="2021-08-01T03:21:00Z">
              <w:r>
                <w:t>375</w:t>
              </w:r>
            </w:ins>
          </w:p>
        </w:tc>
      </w:tr>
      <w:tr>
        <w:tc>
          <w:tcPr>
            <w:tcW w:w="850" w:type="dxa"/>
            <w:tcBorders>
              <w:bottom w:val="single" w:sz="4" w:space="0" w:color="auto"/>
            </w:tcBorders>
          </w:tcPr>
          <w:p>
            <w:pPr>
              <w:pStyle w:val="TableNAm"/>
            </w:pPr>
            <w:r>
              <w:t>5.</w:t>
            </w:r>
          </w:p>
        </w:tc>
        <w:tc>
          <w:tcPr>
            <w:tcW w:w="3686" w:type="dxa"/>
            <w:tcBorders>
              <w:bottom w:val="single" w:sz="4" w:space="0" w:color="auto"/>
            </w:tcBorders>
          </w:tcPr>
          <w:p>
            <w:pPr>
              <w:pStyle w:val="TableNAm"/>
            </w:pPr>
            <w:r>
              <w:t>Regulation 233(3)</w:t>
            </w:r>
          </w:p>
        </w:tc>
        <w:tc>
          <w:tcPr>
            <w:tcW w:w="1417" w:type="dxa"/>
            <w:tcBorders>
              <w:bottom w:val="single" w:sz="4" w:space="0" w:color="auto"/>
            </w:tcBorders>
          </w:tcPr>
          <w:p>
            <w:pPr>
              <w:pStyle w:val="TableNAm"/>
              <w:tabs>
                <w:tab w:val="clear" w:pos="567"/>
              </w:tabs>
              <w:ind w:right="336"/>
              <w:jc w:val="right"/>
            </w:pPr>
            <w:del w:id="978" w:author="Master Repository Process" w:date="2021-08-01T03:21:00Z">
              <w:r>
                <w:delText>360</w:delText>
              </w:r>
            </w:del>
            <w:ins w:id="979" w:author="Master Repository Process" w:date="2021-08-01T03:21:00Z">
              <w:r>
                <w:t>375</w:t>
              </w:r>
            </w:ins>
          </w:p>
        </w:tc>
      </w:tr>
    </w:tbl>
    <w:p>
      <w:pPr>
        <w:pStyle w:val="Footnotesection"/>
        <w:rPr>
          <w:ins w:id="980" w:author="Master Repository Process" w:date="2021-08-01T03:21:00Z"/>
        </w:rPr>
      </w:pPr>
      <w:bookmarkStart w:id="981" w:name="_Toc191959777"/>
      <w:bookmarkStart w:id="982" w:name="_Toc191983688"/>
      <w:bookmarkStart w:id="983" w:name="_Toc202346115"/>
      <w:bookmarkStart w:id="984" w:name="_Toc220466963"/>
      <w:ins w:id="985" w:author="Master Repository Process" w:date="2021-08-01T03:21:00Z">
        <w:r>
          <w:tab/>
          <w:t>[Regulation 272 amended in Gazette 16 Jun 2009 p. 2194.]</w:t>
        </w:r>
      </w:ins>
    </w:p>
    <w:p>
      <w:pPr>
        <w:pStyle w:val="Heading2"/>
      </w:pPr>
      <w:bookmarkStart w:id="986" w:name="_Toc233694042"/>
      <w:r>
        <w:rPr>
          <w:rStyle w:val="CharPartNo"/>
        </w:rPr>
        <w:t>Part 23</w:t>
      </w:r>
      <w:r>
        <w:rPr>
          <w:rStyle w:val="CharDivNo"/>
        </w:rPr>
        <w:t> </w:t>
      </w:r>
      <w:r>
        <w:t>—</w:t>
      </w:r>
      <w:r>
        <w:rPr>
          <w:rStyle w:val="CharDivText"/>
        </w:rPr>
        <w:t> </w:t>
      </w:r>
      <w:r>
        <w:rPr>
          <w:rStyle w:val="CharPartText"/>
        </w:rPr>
        <w:t>Transitional</w:t>
      </w:r>
      <w:bookmarkEnd w:id="981"/>
      <w:bookmarkEnd w:id="982"/>
      <w:bookmarkEnd w:id="983"/>
      <w:bookmarkEnd w:id="984"/>
      <w:bookmarkEnd w:id="986"/>
    </w:p>
    <w:p>
      <w:pPr>
        <w:pStyle w:val="Heading5"/>
      </w:pPr>
      <w:bookmarkStart w:id="987" w:name="_Toc233694043"/>
      <w:bookmarkStart w:id="988" w:name="_Toc220466964"/>
      <w:r>
        <w:rPr>
          <w:rStyle w:val="CharSectno"/>
        </w:rPr>
        <w:t>273</w:t>
      </w:r>
      <w:r>
        <w:t>.</w:t>
      </w:r>
      <w:r>
        <w:tab/>
        <w:t>Terms used in this Part</w:t>
      </w:r>
      <w:bookmarkEnd w:id="987"/>
      <w:bookmarkEnd w:id="988"/>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989" w:name="_Toc233694044"/>
      <w:bookmarkStart w:id="990" w:name="_Toc220466965"/>
      <w:r>
        <w:rPr>
          <w:rStyle w:val="CharSectno"/>
          <w:color w:val="000000"/>
        </w:rPr>
        <w:t>274</w:t>
      </w:r>
      <w:r>
        <w:rPr>
          <w:color w:val="000000"/>
        </w:rPr>
        <w:t>.</w:t>
      </w:r>
      <w:r>
        <w:rPr>
          <w:color w:val="000000"/>
        </w:rPr>
        <w:tab/>
        <w:t>Lawful conduct under repealed regulations</w:t>
      </w:r>
      <w:bookmarkEnd w:id="989"/>
      <w:bookmarkEnd w:id="990"/>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991" w:name="_Toc233694045"/>
      <w:bookmarkStart w:id="992" w:name="_Toc220466966"/>
      <w:r>
        <w:rPr>
          <w:rStyle w:val="CharSectno"/>
        </w:rPr>
        <w:t>275</w:t>
      </w:r>
      <w:r>
        <w:t>.</w:t>
      </w:r>
      <w:r>
        <w:tab/>
        <w:t>Continuing effect of certain determinations</w:t>
      </w:r>
      <w:bookmarkEnd w:id="991"/>
      <w:bookmarkEnd w:id="992"/>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93" w:name="_Toc233694046"/>
      <w:bookmarkStart w:id="994" w:name="_Toc220466967"/>
      <w:r>
        <w:rPr>
          <w:rStyle w:val="CharSectno"/>
        </w:rPr>
        <w:t>276</w:t>
      </w:r>
      <w:r>
        <w:t>.</w:t>
      </w:r>
      <w:r>
        <w:tab/>
        <w:t>Continuing effect of certain corresponding determinations</w:t>
      </w:r>
      <w:bookmarkEnd w:id="993"/>
      <w:bookmarkEnd w:id="994"/>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95" w:name="_Toc233694047"/>
      <w:bookmarkStart w:id="996" w:name="_Toc220466968"/>
      <w:r>
        <w:rPr>
          <w:rStyle w:val="CharSectno"/>
          <w:color w:val="000000"/>
        </w:rPr>
        <w:t>277</w:t>
      </w:r>
      <w:r>
        <w:rPr>
          <w:color w:val="000000"/>
        </w:rPr>
        <w:t>.</w:t>
      </w:r>
      <w:r>
        <w:rPr>
          <w:color w:val="000000"/>
        </w:rPr>
        <w:tab/>
        <w:t>Continuing effect of certain exemptions</w:t>
      </w:r>
      <w:bookmarkEnd w:id="995"/>
      <w:bookmarkEnd w:id="996"/>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97" w:name="_Toc233694048"/>
      <w:bookmarkStart w:id="998" w:name="_Toc220466969"/>
      <w:r>
        <w:t>278.</w:t>
      </w:r>
      <w:r>
        <w:tab/>
        <w:t>Continuing effect of certain corresponding exemptions</w:t>
      </w:r>
      <w:bookmarkEnd w:id="997"/>
      <w:bookmarkEnd w:id="99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99" w:name="_Toc233694049"/>
      <w:bookmarkStart w:id="1000" w:name="_Toc220466970"/>
      <w:r>
        <w:rPr>
          <w:rStyle w:val="CharSectno"/>
        </w:rPr>
        <w:t>279</w:t>
      </w:r>
      <w:r>
        <w:t>.</w:t>
      </w:r>
      <w:r>
        <w:tab/>
        <w:t>Continuing effect of certain approvals</w:t>
      </w:r>
      <w:bookmarkEnd w:id="999"/>
      <w:bookmarkEnd w:id="100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001" w:name="_Toc233694050"/>
      <w:bookmarkStart w:id="1002" w:name="_Toc220466971"/>
      <w:r>
        <w:rPr>
          <w:rStyle w:val="CharSectno"/>
        </w:rPr>
        <w:t>280</w:t>
      </w:r>
      <w:r>
        <w:t>.</w:t>
      </w:r>
      <w:r>
        <w:tab/>
        <w:t>Continuing effect of certain corresponding approvals</w:t>
      </w:r>
      <w:bookmarkEnd w:id="1001"/>
      <w:bookmarkEnd w:id="1002"/>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003" w:name="_Toc233694051"/>
      <w:bookmarkStart w:id="1004" w:name="_Toc220466972"/>
      <w:r>
        <w:rPr>
          <w:rStyle w:val="CharSectno"/>
        </w:rPr>
        <w:t>281</w:t>
      </w:r>
      <w:r>
        <w:t>.</w:t>
      </w:r>
      <w:r>
        <w:tab/>
        <w:t>Continuing effect of certain licences</w:t>
      </w:r>
      <w:bookmarkEnd w:id="1003"/>
      <w:bookmarkEnd w:id="1004"/>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005" w:name="_Toc233694052"/>
      <w:bookmarkStart w:id="1006" w:name="_Toc220466973"/>
      <w:r>
        <w:rPr>
          <w:rStyle w:val="CharSectno"/>
        </w:rPr>
        <w:t>282</w:t>
      </w:r>
      <w:r>
        <w:t>.</w:t>
      </w:r>
      <w:r>
        <w:tab/>
        <w:t>Continuing effect of certain corresponding licences</w:t>
      </w:r>
      <w:bookmarkEnd w:id="1005"/>
      <w:bookmarkEnd w:id="1006"/>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1007" w:name="_Toc191959788"/>
      <w:bookmarkStart w:id="1008" w:name="_Toc191983699"/>
      <w:bookmarkStart w:id="1009" w:name="_Toc202346126"/>
      <w:bookmarkStart w:id="1010" w:name="_Toc220466974"/>
      <w:bookmarkStart w:id="1011" w:name="_Toc233694053"/>
      <w:r>
        <w:rPr>
          <w:rStyle w:val="CharSchNo"/>
        </w:rPr>
        <w:t>Schedule 1</w:t>
      </w:r>
      <w:r>
        <w:rPr>
          <w:rStyle w:val="CharSDivNo"/>
        </w:rPr>
        <w:t> </w:t>
      </w:r>
      <w:r>
        <w:t>—</w:t>
      </w:r>
      <w:r>
        <w:rPr>
          <w:rStyle w:val="CharSDivText"/>
        </w:rPr>
        <w:t> </w:t>
      </w:r>
      <w:r>
        <w:rPr>
          <w:rStyle w:val="CharSchText"/>
        </w:rPr>
        <w:t>Infringement notice offences and modified penalties</w:t>
      </w:r>
      <w:bookmarkEnd w:id="1007"/>
      <w:bookmarkEnd w:id="1008"/>
      <w:bookmarkEnd w:id="1009"/>
      <w:bookmarkEnd w:id="1010"/>
      <w:bookmarkEnd w:id="1011"/>
    </w:p>
    <w:p>
      <w:pPr>
        <w:pStyle w:val="yShoulderClause"/>
      </w:pPr>
      <w:r>
        <w:t>[r. 271]</w:t>
      </w:r>
    </w:p>
    <w:p>
      <w:pPr>
        <w:pStyle w:val="yMiscellaneousHeading"/>
        <w:rPr>
          <w:b/>
          <w:bCs/>
        </w:rPr>
      </w:pPr>
      <w:r>
        <w:rPr>
          <w:b/>
          <w:bCs/>
        </w:rP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
              <w:rPr>
                <w:b/>
                <w:bCs/>
              </w:rPr>
            </w:pPr>
            <w:r>
              <w:rPr>
                <w:b/>
                <w:bCs/>
              </w:rPr>
              <w:t>Item</w:t>
            </w:r>
          </w:p>
        </w:tc>
        <w:tc>
          <w:tcPr>
            <w:tcW w:w="2268" w:type="dxa"/>
            <w:tcBorders>
              <w:top w:val="single" w:sz="4" w:space="0" w:color="auto"/>
              <w:bottom w:val="single" w:sz="4" w:space="0" w:color="auto"/>
            </w:tcBorders>
          </w:tcPr>
          <w:p>
            <w:pPr>
              <w:pStyle w:val="yTable"/>
              <w:rPr>
                <w:b/>
                <w:bCs/>
              </w:rPr>
            </w:pPr>
            <w:r>
              <w:rPr>
                <w:b/>
                <w:bCs/>
              </w:rPr>
              <w:t>Provision</w:t>
            </w:r>
          </w:p>
        </w:tc>
        <w:tc>
          <w:tcPr>
            <w:tcW w:w="1843" w:type="dxa"/>
            <w:tcBorders>
              <w:top w:val="single" w:sz="4" w:space="0" w:color="auto"/>
              <w:bottom w:val="single" w:sz="4" w:space="0" w:color="auto"/>
            </w:tcBorders>
          </w:tcPr>
          <w:p>
            <w:pPr>
              <w:pStyle w:val="yTable"/>
              <w:rPr>
                <w:b/>
                <w:bCs/>
              </w:rPr>
            </w:pPr>
            <w:r>
              <w:rPr>
                <w:b/>
                <w:bCs/>
              </w:rPr>
              <w:t>Modified penalty for an individual ($)</w:t>
            </w:r>
          </w:p>
        </w:tc>
        <w:tc>
          <w:tcPr>
            <w:tcW w:w="1843" w:type="dxa"/>
            <w:tcBorders>
              <w:top w:val="single" w:sz="4" w:space="0" w:color="auto"/>
              <w:bottom w:val="single" w:sz="4" w:space="0" w:color="auto"/>
            </w:tcBorders>
          </w:tcPr>
          <w:p>
            <w:pPr>
              <w:pStyle w:val="yTable"/>
              <w:rPr>
                <w:b/>
                <w:bCs/>
              </w:rPr>
            </w:pPr>
            <w:r>
              <w:rPr>
                <w:b/>
                <w:bCs/>
              </w:rPr>
              <w:t>Modified penalty for a body corporate ($)</w:t>
            </w:r>
          </w:p>
        </w:tc>
      </w:tr>
      <w:tr>
        <w:trPr>
          <w:cantSplit/>
        </w:trPr>
        <w:tc>
          <w:tcPr>
            <w:tcW w:w="850" w:type="dxa"/>
          </w:tcPr>
          <w:p>
            <w:pPr>
              <w:pStyle w:val="yTable"/>
              <w:rPr>
                <w:color w:val="000000"/>
              </w:rPr>
            </w:pPr>
            <w:r>
              <w:rPr>
                <w:color w:val="000000"/>
              </w:rPr>
              <w:t>1.</w:t>
            </w:r>
          </w:p>
        </w:tc>
        <w:tc>
          <w:tcPr>
            <w:tcW w:w="2268" w:type="dxa"/>
          </w:tcPr>
          <w:p>
            <w:pPr>
              <w:pStyle w:val="yTable"/>
              <w:rPr>
                <w:bCs/>
                <w:i/>
                <w:iCs/>
                <w:color w:val="000000"/>
              </w:rPr>
            </w:pPr>
            <w:r>
              <w:rPr>
                <w:color w:val="000000"/>
              </w:rPr>
              <w:t>Regulation 20(2)</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3 000</w:t>
            </w:r>
          </w:p>
        </w:tc>
      </w:tr>
      <w:tr>
        <w:trPr>
          <w:cantSplit/>
        </w:trPr>
        <w:tc>
          <w:tcPr>
            <w:tcW w:w="850" w:type="dxa"/>
          </w:tcPr>
          <w:p>
            <w:pPr>
              <w:pStyle w:val="yTable"/>
              <w:rPr>
                <w:color w:val="000000"/>
              </w:rPr>
            </w:pPr>
            <w:r>
              <w:rPr>
                <w:color w:val="000000"/>
              </w:rPr>
              <w:t>2.</w:t>
            </w:r>
          </w:p>
        </w:tc>
        <w:tc>
          <w:tcPr>
            <w:tcW w:w="2268" w:type="dxa"/>
          </w:tcPr>
          <w:p>
            <w:pPr>
              <w:pStyle w:val="yTable"/>
              <w:rPr>
                <w:color w:val="000000"/>
              </w:rPr>
            </w:pPr>
            <w:r>
              <w:rPr>
                <w:color w:val="000000"/>
              </w:rPr>
              <w:t>Regulation 22</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pPr>
            <w:r>
              <w:t>3.</w:t>
            </w:r>
          </w:p>
        </w:tc>
        <w:tc>
          <w:tcPr>
            <w:tcW w:w="2268" w:type="dxa"/>
          </w:tcPr>
          <w:p>
            <w:pPr>
              <w:pStyle w:val="yTable"/>
            </w:pPr>
            <w:r>
              <w:t>Regulation 54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4.</w:t>
            </w:r>
          </w:p>
        </w:tc>
        <w:tc>
          <w:tcPr>
            <w:tcW w:w="2268" w:type="dxa"/>
          </w:tcPr>
          <w:p>
            <w:pPr>
              <w:pStyle w:val="yTable"/>
            </w:pPr>
            <w:r>
              <w:t>Regulation 61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w:t>
            </w:r>
          </w:p>
        </w:tc>
        <w:tc>
          <w:tcPr>
            <w:tcW w:w="2268" w:type="dxa"/>
          </w:tcPr>
          <w:p>
            <w:pPr>
              <w:pStyle w:val="yTable"/>
            </w:pPr>
            <w:r>
              <w:t>Regulation 62(1)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w:t>
            </w:r>
          </w:p>
        </w:tc>
        <w:tc>
          <w:tcPr>
            <w:tcW w:w="2268" w:type="dxa"/>
          </w:tcPr>
          <w:p>
            <w:pPr>
              <w:pStyle w:val="yTable"/>
            </w:pPr>
            <w:r>
              <w:t>Regulation 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w:t>
            </w:r>
          </w:p>
        </w:tc>
        <w:tc>
          <w:tcPr>
            <w:tcW w:w="2268" w:type="dxa"/>
          </w:tcPr>
          <w:p>
            <w:pPr>
              <w:pStyle w:val="yTable"/>
            </w:pPr>
            <w:r>
              <w:t>Regulation 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8.</w:t>
            </w:r>
          </w:p>
        </w:tc>
        <w:tc>
          <w:tcPr>
            <w:tcW w:w="2268" w:type="dxa"/>
          </w:tcPr>
          <w:p>
            <w:pPr>
              <w:pStyle w:val="yTable"/>
            </w:pPr>
            <w:r>
              <w:t>Regulation 74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9.</w:t>
            </w:r>
          </w:p>
        </w:tc>
        <w:tc>
          <w:tcPr>
            <w:tcW w:w="2268" w:type="dxa"/>
          </w:tcPr>
          <w:p>
            <w:pPr>
              <w:pStyle w:val="yTable"/>
            </w:pPr>
            <w:r>
              <w:t>Regulation 78</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10.</w:t>
            </w:r>
          </w:p>
        </w:tc>
        <w:tc>
          <w:tcPr>
            <w:tcW w:w="2268" w:type="dxa"/>
          </w:tcPr>
          <w:p>
            <w:pPr>
              <w:pStyle w:val="yTable"/>
            </w:pPr>
            <w:r>
              <w:t>Regulation 79</w:t>
            </w:r>
          </w:p>
        </w:tc>
        <w:tc>
          <w:tcPr>
            <w:tcW w:w="1843" w:type="dxa"/>
          </w:tcPr>
          <w:p>
            <w:pPr>
              <w:pStyle w:val="yTable"/>
            </w:pPr>
            <w:r>
              <w:t>300</w:t>
            </w:r>
          </w:p>
        </w:tc>
        <w:tc>
          <w:tcPr>
            <w:tcW w:w="1843" w:type="dxa"/>
          </w:tcPr>
          <w:p>
            <w:pPr>
              <w:pStyle w:val="yTable"/>
            </w:pPr>
            <w:r>
              <w:t xml:space="preserve"> — </w:t>
            </w:r>
          </w:p>
        </w:tc>
      </w:tr>
      <w:tr>
        <w:trPr>
          <w:cantSplit/>
        </w:trPr>
        <w:tc>
          <w:tcPr>
            <w:tcW w:w="850" w:type="dxa"/>
          </w:tcPr>
          <w:p>
            <w:pPr>
              <w:pStyle w:val="yTable"/>
            </w:pPr>
            <w:r>
              <w:t>11.</w:t>
            </w:r>
          </w:p>
        </w:tc>
        <w:tc>
          <w:tcPr>
            <w:tcW w:w="2268" w:type="dxa"/>
          </w:tcPr>
          <w:p>
            <w:pPr>
              <w:pStyle w:val="yTable"/>
            </w:pPr>
            <w:r>
              <w:t>Regulation 81(1)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12.</w:t>
            </w:r>
          </w:p>
        </w:tc>
        <w:tc>
          <w:tcPr>
            <w:tcW w:w="2268" w:type="dxa"/>
          </w:tcPr>
          <w:p>
            <w:pPr>
              <w:pStyle w:val="yTable"/>
            </w:pPr>
            <w:r>
              <w:t>Regulation 85</w:t>
            </w:r>
          </w:p>
        </w:tc>
        <w:tc>
          <w:tcPr>
            <w:tcW w:w="1843" w:type="dxa"/>
          </w:tcPr>
          <w:p>
            <w:pPr>
              <w:pStyle w:val="yTable"/>
            </w:pPr>
            <w:r>
              <w:t>600</w:t>
            </w:r>
          </w:p>
        </w:tc>
        <w:tc>
          <w:tcPr>
            <w:tcW w:w="1843" w:type="dxa"/>
          </w:tcPr>
          <w:p>
            <w:pPr>
              <w:pStyle w:val="yTable"/>
            </w:pPr>
            <w:r>
              <w:rPr>
                <w:color w:val="000000"/>
              </w:rPr>
              <w:t>3 000</w:t>
            </w:r>
          </w:p>
        </w:tc>
      </w:tr>
      <w:tr>
        <w:trPr>
          <w:cantSplit/>
        </w:trPr>
        <w:tc>
          <w:tcPr>
            <w:tcW w:w="850" w:type="dxa"/>
          </w:tcPr>
          <w:p>
            <w:pPr>
              <w:pStyle w:val="yTable"/>
            </w:pPr>
            <w:r>
              <w:t>13.</w:t>
            </w:r>
          </w:p>
        </w:tc>
        <w:tc>
          <w:tcPr>
            <w:tcW w:w="2268" w:type="dxa"/>
          </w:tcPr>
          <w:p>
            <w:pPr>
              <w:pStyle w:val="yTable"/>
            </w:pPr>
            <w:r>
              <w:t>Regulation 86(2)</w:t>
            </w:r>
          </w:p>
        </w:tc>
        <w:tc>
          <w:tcPr>
            <w:tcW w:w="1843" w:type="dxa"/>
          </w:tcPr>
          <w:p>
            <w:pPr>
              <w:pStyle w:val="yTable"/>
            </w:pPr>
            <w:r>
              <w:t>300</w:t>
            </w:r>
          </w:p>
        </w:tc>
        <w:tc>
          <w:tcPr>
            <w:tcW w:w="1843" w:type="dxa"/>
          </w:tcPr>
          <w:p>
            <w:pPr>
              <w:pStyle w:val="yTable"/>
              <w:rPr>
                <w:color w:val="000000"/>
              </w:rPr>
            </w:pPr>
            <w:r>
              <w:t xml:space="preserve"> — </w:t>
            </w:r>
          </w:p>
        </w:tc>
      </w:tr>
      <w:tr>
        <w:trPr>
          <w:cantSplit/>
        </w:trPr>
        <w:tc>
          <w:tcPr>
            <w:tcW w:w="850" w:type="dxa"/>
          </w:tcPr>
          <w:p>
            <w:pPr>
              <w:pStyle w:val="yTable"/>
            </w:pPr>
            <w:r>
              <w:t>14.</w:t>
            </w:r>
          </w:p>
        </w:tc>
        <w:tc>
          <w:tcPr>
            <w:tcW w:w="2268" w:type="dxa"/>
          </w:tcPr>
          <w:p>
            <w:pPr>
              <w:pStyle w:val="yTable"/>
            </w:pPr>
            <w:r>
              <w:t>Regulation 88(1)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15.</w:t>
            </w:r>
          </w:p>
        </w:tc>
        <w:tc>
          <w:tcPr>
            <w:tcW w:w="2268" w:type="dxa"/>
          </w:tcPr>
          <w:p>
            <w:pPr>
              <w:pStyle w:val="yTable"/>
            </w:pPr>
            <w:r>
              <w:t>Regulation 92(1)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16.</w:t>
            </w:r>
          </w:p>
        </w:tc>
        <w:tc>
          <w:tcPr>
            <w:tcW w:w="2268" w:type="dxa"/>
          </w:tcPr>
          <w:p>
            <w:pPr>
              <w:pStyle w:val="yTable"/>
            </w:pPr>
            <w:r>
              <w:t>Regulation 94(1)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17.</w:t>
            </w:r>
          </w:p>
        </w:tc>
        <w:tc>
          <w:tcPr>
            <w:tcW w:w="2268" w:type="dxa"/>
          </w:tcPr>
          <w:p>
            <w:pPr>
              <w:pStyle w:val="yTable"/>
            </w:pPr>
            <w:r>
              <w:t>Regulation 96</w:t>
            </w:r>
          </w:p>
        </w:tc>
        <w:tc>
          <w:tcPr>
            <w:tcW w:w="1843" w:type="dxa"/>
          </w:tcPr>
          <w:p>
            <w:pPr>
              <w:pStyle w:val="yTable"/>
            </w:pPr>
            <w:r>
              <w:t>600</w:t>
            </w:r>
          </w:p>
        </w:tc>
        <w:tc>
          <w:tcPr>
            <w:tcW w:w="1843" w:type="dxa"/>
          </w:tcPr>
          <w:p>
            <w:pPr>
              <w:pStyle w:val="yTable"/>
              <w:rPr>
                <w:color w:val="000000"/>
              </w:rPr>
            </w:pPr>
            <w:r>
              <w:t>3 000</w:t>
            </w:r>
          </w:p>
        </w:tc>
      </w:tr>
      <w:tr>
        <w:trPr>
          <w:cantSplit/>
        </w:trPr>
        <w:tc>
          <w:tcPr>
            <w:tcW w:w="850" w:type="dxa"/>
          </w:tcPr>
          <w:p>
            <w:pPr>
              <w:pStyle w:val="yTable"/>
            </w:pPr>
            <w:r>
              <w:t>18.</w:t>
            </w:r>
          </w:p>
        </w:tc>
        <w:tc>
          <w:tcPr>
            <w:tcW w:w="2268" w:type="dxa"/>
          </w:tcPr>
          <w:p>
            <w:pPr>
              <w:pStyle w:val="yTable"/>
            </w:pPr>
            <w:r>
              <w:t>Regulation 97(1)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19.</w:t>
            </w:r>
          </w:p>
        </w:tc>
        <w:tc>
          <w:tcPr>
            <w:tcW w:w="2268" w:type="dxa"/>
          </w:tcPr>
          <w:p>
            <w:pPr>
              <w:pStyle w:val="yTable"/>
            </w:pPr>
            <w:r>
              <w:t>Regulation 99(1)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20.</w:t>
            </w:r>
          </w:p>
        </w:tc>
        <w:tc>
          <w:tcPr>
            <w:tcW w:w="2268" w:type="dxa"/>
          </w:tcPr>
          <w:p>
            <w:pPr>
              <w:pStyle w:val="yTable"/>
            </w:pPr>
            <w:r>
              <w:t>Regulation 101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21.</w:t>
            </w:r>
          </w:p>
        </w:tc>
        <w:tc>
          <w:tcPr>
            <w:tcW w:w="2268" w:type="dxa"/>
          </w:tcPr>
          <w:p>
            <w:pPr>
              <w:pStyle w:val="yTable"/>
            </w:pPr>
            <w:r>
              <w:t>Regulation 107</w:t>
            </w:r>
          </w:p>
        </w:tc>
        <w:tc>
          <w:tcPr>
            <w:tcW w:w="1843" w:type="dxa"/>
          </w:tcPr>
          <w:p>
            <w:pPr>
              <w:pStyle w:val="yTable"/>
              <w:tabs>
                <w:tab w:val="left" w:pos="318"/>
              </w:tabs>
              <w:ind w:left="318" w:hanging="318"/>
            </w:pPr>
            <w:r>
              <w:t>(a)</w:t>
            </w:r>
            <w:r>
              <w:tab/>
              <w:t>for a large packaging or overpack — 300</w:t>
            </w:r>
          </w:p>
        </w:tc>
        <w:tc>
          <w:tcPr>
            <w:tcW w:w="1843" w:type="dxa"/>
          </w:tcPr>
          <w:p>
            <w:pPr>
              <w:pStyle w:val="yTable"/>
              <w:tabs>
                <w:tab w:val="left" w:pos="318"/>
              </w:tabs>
              <w:ind w:left="318" w:hanging="318"/>
            </w:pPr>
            <w:r>
              <w:t>(a)</w:t>
            </w:r>
            <w:r>
              <w:tab/>
              <w:t>for a large packaging or overpack — 1 500</w:t>
            </w:r>
          </w:p>
        </w:tc>
      </w:tr>
      <w:tr>
        <w:trPr>
          <w:cantSplit/>
        </w:trPr>
        <w:tc>
          <w:tcPr>
            <w:tcW w:w="850" w:type="dxa"/>
          </w:tcPr>
          <w:p>
            <w:pPr>
              <w:pStyle w:val="yTable"/>
            </w:pPr>
          </w:p>
        </w:tc>
        <w:tc>
          <w:tcPr>
            <w:tcW w:w="2268" w:type="dxa"/>
          </w:tcPr>
          <w:p>
            <w:pPr>
              <w:pStyle w:val="yTable"/>
            </w:pPr>
          </w:p>
        </w:tc>
        <w:tc>
          <w:tcPr>
            <w:tcW w:w="1843" w:type="dxa"/>
          </w:tcPr>
          <w:p>
            <w:pPr>
              <w:pStyle w:val="yTable"/>
              <w:tabs>
                <w:tab w:val="left" w:pos="318"/>
              </w:tabs>
              <w:ind w:left="318" w:hanging="318"/>
            </w:pPr>
            <w:r>
              <w:t>(b)</w:t>
            </w:r>
            <w:r>
              <w:tab/>
              <w:t>in any other case — 100</w:t>
            </w:r>
          </w:p>
        </w:tc>
        <w:tc>
          <w:tcPr>
            <w:tcW w:w="1843" w:type="dxa"/>
          </w:tcPr>
          <w:p>
            <w:pPr>
              <w:pStyle w:val="yTable"/>
              <w:tabs>
                <w:tab w:val="left" w:pos="318"/>
              </w:tabs>
              <w:ind w:left="318" w:hanging="318"/>
            </w:pPr>
            <w:r>
              <w:t>(b)</w:t>
            </w:r>
            <w:r>
              <w:tab/>
              <w:t>in any other case — 500</w:t>
            </w:r>
          </w:p>
        </w:tc>
      </w:tr>
      <w:tr>
        <w:trPr>
          <w:cantSplit/>
        </w:trPr>
        <w:tc>
          <w:tcPr>
            <w:tcW w:w="850" w:type="dxa"/>
          </w:tcPr>
          <w:p>
            <w:pPr>
              <w:pStyle w:val="yTable"/>
            </w:pPr>
            <w:r>
              <w:t>22.</w:t>
            </w:r>
          </w:p>
        </w:tc>
        <w:tc>
          <w:tcPr>
            <w:tcW w:w="2268" w:type="dxa"/>
          </w:tcPr>
          <w:p>
            <w:pPr>
              <w:pStyle w:val="yTable"/>
            </w:pPr>
            <w:r>
              <w:t>Regulation 112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23.</w:t>
            </w:r>
          </w:p>
        </w:tc>
        <w:tc>
          <w:tcPr>
            <w:tcW w:w="2268" w:type="dxa"/>
          </w:tcPr>
          <w:p>
            <w:pPr>
              <w:pStyle w:val="yTable"/>
            </w:pPr>
            <w:r>
              <w:t>Regulation 116</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24.</w:t>
            </w:r>
          </w:p>
        </w:tc>
        <w:tc>
          <w:tcPr>
            <w:tcW w:w="2268" w:type="dxa"/>
          </w:tcPr>
          <w:p>
            <w:pPr>
              <w:pStyle w:val="yTable"/>
            </w:pPr>
            <w:r>
              <w:t>Regulation 119</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25.</w:t>
            </w:r>
          </w:p>
        </w:tc>
        <w:tc>
          <w:tcPr>
            <w:tcW w:w="2268" w:type="dxa"/>
          </w:tcPr>
          <w:p>
            <w:pPr>
              <w:pStyle w:val="yTable"/>
            </w:pPr>
            <w:r>
              <w:t>Regulation 123</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pPr>
            <w:r>
              <w:t>26.</w:t>
            </w:r>
          </w:p>
        </w:tc>
        <w:tc>
          <w:tcPr>
            <w:tcW w:w="2268" w:type="dxa"/>
          </w:tcPr>
          <w:p>
            <w:pPr>
              <w:pStyle w:val="yTable"/>
            </w:pPr>
            <w:r>
              <w:t>Regulation 127</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rPr>
                <w:color w:val="000000"/>
              </w:rPr>
            </w:pPr>
            <w:r>
              <w:rPr>
                <w:color w:val="000000"/>
              </w:rPr>
              <w:t>27.</w:t>
            </w:r>
          </w:p>
        </w:tc>
        <w:tc>
          <w:tcPr>
            <w:tcW w:w="2268" w:type="dxa"/>
          </w:tcPr>
          <w:p>
            <w:pPr>
              <w:pStyle w:val="yTable"/>
              <w:rPr>
                <w:color w:val="000000"/>
              </w:rPr>
            </w:pPr>
            <w:r>
              <w:rPr>
                <w:color w:val="000000"/>
              </w:rPr>
              <w:t>Regulation 138(3)</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rPr>
                <w:color w:val="000000"/>
              </w:rPr>
            </w:pPr>
            <w:r>
              <w:rPr>
                <w:color w:val="000000"/>
              </w:rPr>
              <w:t>28.</w:t>
            </w:r>
          </w:p>
        </w:tc>
        <w:tc>
          <w:tcPr>
            <w:tcW w:w="2268" w:type="dxa"/>
          </w:tcPr>
          <w:p>
            <w:pPr>
              <w:pStyle w:val="yTable"/>
              <w:rPr>
                <w:color w:val="000000"/>
              </w:rPr>
            </w:pPr>
            <w:r>
              <w:rPr>
                <w:color w:val="000000"/>
              </w:rPr>
              <w:t>Regulation 140(3)</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 xml:space="preserve"> — </w:t>
            </w:r>
          </w:p>
        </w:tc>
      </w:tr>
      <w:tr>
        <w:trPr>
          <w:cantSplit/>
        </w:trPr>
        <w:tc>
          <w:tcPr>
            <w:tcW w:w="850" w:type="dxa"/>
          </w:tcPr>
          <w:p>
            <w:pPr>
              <w:pStyle w:val="yTable"/>
            </w:pPr>
            <w:r>
              <w:t>29.</w:t>
            </w:r>
          </w:p>
        </w:tc>
        <w:tc>
          <w:tcPr>
            <w:tcW w:w="2268" w:type="dxa"/>
          </w:tcPr>
          <w:p>
            <w:pPr>
              <w:pStyle w:val="yTable"/>
            </w:pPr>
            <w:r>
              <w:t>Regulation 141(1)</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30.</w:t>
            </w:r>
          </w:p>
        </w:tc>
        <w:tc>
          <w:tcPr>
            <w:tcW w:w="2268" w:type="dxa"/>
          </w:tcPr>
          <w:p>
            <w:pPr>
              <w:pStyle w:val="yTable"/>
            </w:pPr>
            <w:r>
              <w:t>Regulation 141(3)</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31.</w:t>
            </w:r>
          </w:p>
        </w:tc>
        <w:tc>
          <w:tcPr>
            <w:tcW w:w="2268" w:type="dxa"/>
          </w:tcPr>
          <w:p>
            <w:pPr>
              <w:pStyle w:val="yTable"/>
            </w:pPr>
            <w:r>
              <w:t>Regulation 142(2)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32.</w:t>
            </w:r>
          </w:p>
        </w:tc>
        <w:tc>
          <w:tcPr>
            <w:tcW w:w="2268" w:type="dxa"/>
          </w:tcPr>
          <w:p>
            <w:pPr>
              <w:pStyle w:val="yTable"/>
            </w:pPr>
            <w:r>
              <w:t>Regulation 142(3)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33.</w:t>
            </w:r>
          </w:p>
        </w:tc>
        <w:tc>
          <w:tcPr>
            <w:tcW w:w="2268" w:type="dxa"/>
          </w:tcPr>
          <w:p>
            <w:pPr>
              <w:pStyle w:val="yTable"/>
            </w:pPr>
            <w:r>
              <w:t>Regulation 143(2)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34.</w:t>
            </w:r>
          </w:p>
        </w:tc>
        <w:tc>
          <w:tcPr>
            <w:tcW w:w="2268" w:type="dxa"/>
          </w:tcPr>
          <w:p>
            <w:pPr>
              <w:pStyle w:val="yTable"/>
            </w:pPr>
            <w:r>
              <w:t>Regulation 143(3)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35.</w:t>
            </w:r>
          </w:p>
        </w:tc>
        <w:tc>
          <w:tcPr>
            <w:tcW w:w="2268" w:type="dxa"/>
          </w:tcPr>
          <w:p>
            <w:pPr>
              <w:pStyle w:val="yTable"/>
            </w:pPr>
            <w:r>
              <w:t>Regulation 146</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36.</w:t>
            </w:r>
          </w:p>
        </w:tc>
        <w:tc>
          <w:tcPr>
            <w:tcW w:w="2268" w:type="dxa"/>
          </w:tcPr>
          <w:p>
            <w:pPr>
              <w:pStyle w:val="yTable"/>
            </w:pPr>
            <w:r>
              <w:t>Regulation 147</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rPr>
                <w:u w:val="single"/>
              </w:rPr>
            </w:pPr>
            <w:r>
              <w:t>37.</w:t>
            </w:r>
          </w:p>
        </w:tc>
        <w:tc>
          <w:tcPr>
            <w:tcW w:w="2268" w:type="dxa"/>
          </w:tcPr>
          <w:p>
            <w:pPr>
              <w:pStyle w:val="yTable"/>
            </w:pPr>
            <w:r>
              <w:t>Regulation 150(1)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38.</w:t>
            </w:r>
          </w:p>
        </w:tc>
        <w:tc>
          <w:tcPr>
            <w:tcW w:w="2268" w:type="dxa"/>
          </w:tcPr>
          <w:p>
            <w:pPr>
              <w:pStyle w:val="yTable"/>
            </w:pPr>
            <w:r>
              <w:t>Regulation 151(1)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39.</w:t>
            </w:r>
          </w:p>
        </w:tc>
        <w:tc>
          <w:tcPr>
            <w:tcW w:w="2268" w:type="dxa"/>
          </w:tcPr>
          <w:p>
            <w:pPr>
              <w:pStyle w:val="yTable"/>
            </w:pPr>
            <w:r>
              <w:t>Regulation 152</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40.</w:t>
            </w:r>
          </w:p>
        </w:tc>
        <w:tc>
          <w:tcPr>
            <w:tcW w:w="2268" w:type="dxa"/>
          </w:tcPr>
          <w:p>
            <w:pPr>
              <w:pStyle w:val="yTable"/>
              <w:rPr>
                <w:bCs/>
                <w:i/>
                <w:iCs/>
              </w:rPr>
            </w:pPr>
            <w:r>
              <w:t>Regulation 153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41.</w:t>
            </w:r>
          </w:p>
        </w:tc>
        <w:tc>
          <w:tcPr>
            <w:tcW w:w="2268" w:type="dxa"/>
          </w:tcPr>
          <w:p>
            <w:pPr>
              <w:pStyle w:val="yTable"/>
            </w:pPr>
            <w:r>
              <w:t xml:space="preserve">Regulation 154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42.</w:t>
            </w:r>
          </w:p>
        </w:tc>
        <w:tc>
          <w:tcPr>
            <w:tcW w:w="2268" w:type="dxa"/>
          </w:tcPr>
          <w:p>
            <w:pPr>
              <w:pStyle w:val="yTable"/>
            </w:pPr>
            <w:r>
              <w:t>Regulation 155(2)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43.</w:t>
            </w:r>
          </w:p>
        </w:tc>
        <w:tc>
          <w:tcPr>
            <w:tcW w:w="2268" w:type="dxa"/>
          </w:tcPr>
          <w:p>
            <w:pPr>
              <w:pStyle w:val="yTable"/>
            </w:pPr>
            <w:r>
              <w:t>Regulation 158</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44.</w:t>
            </w:r>
          </w:p>
        </w:tc>
        <w:tc>
          <w:tcPr>
            <w:tcW w:w="2268" w:type="dxa"/>
          </w:tcPr>
          <w:p>
            <w:pPr>
              <w:pStyle w:val="yTable"/>
            </w:pPr>
            <w:r>
              <w:t>Regulation 159(1)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45.</w:t>
            </w:r>
          </w:p>
        </w:tc>
        <w:tc>
          <w:tcPr>
            <w:tcW w:w="2268" w:type="dxa"/>
          </w:tcPr>
          <w:p>
            <w:pPr>
              <w:pStyle w:val="yTable"/>
            </w:pPr>
            <w:r>
              <w:t>Regulation 160(1)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46.</w:t>
            </w:r>
          </w:p>
        </w:tc>
        <w:tc>
          <w:tcPr>
            <w:tcW w:w="2268" w:type="dxa"/>
          </w:tcPr>
          <w:p>
            <w:pPr>
              <w:pStyle w:val="yTable"/>
            </w:pPr>
            <w:r>
              <w:t>Regulation 160(2)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47.</w:t>
            </w:r>
          </w:p>
        </w:tc>
        <w:tc>
          <w:tcPr>
            <w:tcW w:w="2268" w:type="dxa"/>
          </w:tcPr>
          <w:p>
            <w:pPr>
              <w:pStyle w:val="yTable"/>
            </w:pPr>
            <w:r>
              <w:t xml:space="preserve">Regulation 160(3)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48.</w:t>
            </w:r>
          </w:p>
        </w:tc>
        <w:tc>
          <w:tcPr>
            <w:tcW w:w="2268" w:type="dxa"/>
          </w:tcPr>
          <w:p>
            <w:pPr>
              <w:pStyle w:val="yTable"/>
            </w:pPr>
            <w:r>
              <w:t>Regulation 161(1)</w:t>
            </w:r>
          </w:p>
        </w:tc>
        <w:tc>
          <w:tcPr>
            <w:tcW w:w="1843" w:type="dxa"/>
          </w:tcPr>
          <w:p>
            <w:pPr>
              <w:pStyle w:val="yTable"/>
            </w:pPr>
            <w:r>
              <w:t>200</w:t>
            </w:r>
          </w:p>
        </w:tc>
        <w:tc>
          <w:tcPr>
            <w:tcW w:w="1843" w:type="dxa"/>
          </w:tcPr>
          <w:p>
            <w:pPr>
              <w:pStyle w:val="yTable"/>
            </w:pPr>
            <w:r>
              <w:t> —</w:t>
            </w:r>
          </w:p>
        </w:tc>
      </w:tr>
      <w:tr>
        <w:trPr>
          <w:cantSplit/>
        </w:trPr>
        <w:tc>
          <w:tcPr>
            <w:tcW w:w="850" w:type="dxa"/>
          </w:tcPr>
          <w:p>
            <w:pPr>
              <w:pStyle w:val="yTable"/>
            </w:pPr>
            <w:r>
              <w:t>49.</w:t>
            </w:r>
          </w:p>
        </w:tc>
        <w:tc>
          <w:tcPr>
            <w:tcW w:w="2268" w:type="dxa"/>
          </w:tcPr>
          <w:p>
            <w:pPr>
              <w:pStyle w:val="yTable"/>
            </w:pPr>
            <w:r>
              <w:t>Regulation 161(2)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50.</w:t>
            </w:r>
          </w:p>
        </w:tc>
        <w:tc>
          <w:tcPr>
            <w:tcW w:w="2268" w:type="dxa"/>
          </w:tcPr>
          <w:p>
            <w:pPr>
              <w:pStyle w:val="yTable"/>
            </w:pPr>
            <w:r>
              <w:t>Regulation 163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51.</w:t>
            </w:r>
          </w:p>
        </w:tc>
        <w:tc>
          <w:tcPr>
            <w:tcW w:w="2268" w:type="dxa"/>
          </w:tcPr>
          <w:p>
            <w:pPr>
              <w:pStyle w:val="yTable"/>
            </w:pPr>
            <w:r>
              <w:t>Regulation 164(1)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52.</w:t>
            </w:r>
          </w:p>
        </w:tc>
        <w:tc>
          <w:tcPr>
            <w:tcW w:w="2268" w:type="dxa"/>
          </w:tcPr>
          <w:p>
            <w:pPr>
              <w:pStyle w:val="yTable"/>
            </w:pPr>
            <w:r>
              <w:t>Regulation 165(1)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53.</w:t>
            </w:r>
          </w:p>
        </w:tc>
        <w:tc>
          <w:tcPr>
            <w:tcW w:w="2268" w:type="dxa"/>
          </w:tcPr>
          <w:p>
            <w:pPr>
              <w:pStyle w:val="yTable"/>
            </w:pPr>
            <w:r>
              <w:t>Regulation 166(2)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54.</w:t>
            </w:r>
          </w:p>
        </w:tc>
        <w:tc>
          <w:tcPr>
            <w:tcW w:w="2268" w:type="dxa"/>
          </w:tcPr>
          <w:p>
            <w:pPr>
              <w:pStyle w:val="yTable"/>
            </w:pPr>
            <w:r>
              <w:t>Regulation 169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55.</w:t>
            </w:r>
          </w:p>
        </w:tc>
        <w:tc>
          <w:tcPr>
            <w:tcW w:w="2268" w:type="dxa"/>
          </w:tcPr>
          <w:p>
            <w:pPr>
              <w:pStyle w:val="yTable"/>
            </w:pPr>
            <w:r>
              <w:t>Regulation 170</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56.</w:t>
            </w:r>
          </w:p>
        </w:tc>
        <w:tc>
          <w:tcPr>
            <w:tcW w:w="2268" w:type="dxa"/>
          </w:tcPr>
          <w:p>
            <w:pPr>
              <w:pStyle w:val="yTable"/>
            </w:pPr>
            <w:r>
              <w:t>Regulation 171(2)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57.</w:t>
            </w:r>
          </w:p>
        </w:tc>
        <w:tc>
          <w:tcPr>
            <w:tcW w:w="2268" w:type="dxa"/>
          </w:tcPr>
          <w:p>
            <w:pPr>
              <w:pStyle w:val="yTable"/>
            </w:pPr>
            <w:r>
              <w:t>Regulation 172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58.</w:t>
            </w:r>
          </w:p>
        </w:tc>
        <w:tc>
          <w:tcPr>
            <w:tcW w:w="2268" w:type="dxa"/>
          </w:tcPr>
          <w:p>
            <w:pPr>
              <w:pStyle w:val="yTable"/>
            </w:pPr>
            <w:r>
              <w:t>Regulation 173</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59.</w:t>
            </w:r>
          </w:p>
        </w:tc>
        <w:tc>
          <w:tcPr>
            <w:tcW w:w="2268" w:type="dxa"/>
          </w:tcPr>
          <w:p>
            <w:pPr>
              <w:pStyle w:val="yTable"/>
            </w:pPr>
            <w:r>
              <w:t>Regulation 174</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60.</w:t>
            </w:r>
          </w:p>
        </w:tc>
        <w:tc>
          <w:tcPr>
            <w:tcW w:w="2268" w:type="dxa"/>
          </w:tcPr>
          <w:p>
            <w:pPr>
              <w:pStyle w:val="yTable"/>
            </w:pPr>
            <w:r>
              <w:t>Regulation 177(2)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61.</w:t>
            </w:r>
          </w:p>
        </w:tc>
        <w:tc>
          <w:tcPr>
            <w:tcW w:w="2268" w:type="dxa"/>
          </w:tcPr>
          <w:p>
            <w:pPr>
              <w:pStyle w:val="yTable"/>
            </w:pPr>
            <w:r>
              <w:t>Regulation 177(3)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62.</w:t>
            </w:r>
          </w:p>
        </w:tc>
        <w:tc>
          <w:tcPr>
            <w:tcW w:w="2268" w:type="dxa"/>
          </w:tcPr>
          <w:p>
            <w:pPr>
              <w:pStyle w:val="yTable"/>
            </w:pPr>
            <w:r>
              <w:t>Regulation 178(4)</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63.</w:t>
            </w:r>
          </w:p>
        </w:tc>
        <w:tc>
          <w:tcPr>
            <w:tcW w:w="2268" w:type="dxa"/>
          </w:tcPr>
          <w:p>
            <w:pPr>
              <w:pStyle w:val="yTable"/>
            </w:pPr>
            <w:r>
              <w:t xml:space="preserve">Regulation 179(2) </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64.</w:t>
            </w:r>
          </w:p>
        </w:tc>
        <w:tc>
          <w:tcPr>
            <w:tcW w:w="2268" w:type="dxa"/>
          </w:tcPr>
          <w:p>
            <w:pPr>
              <w:pStyle w:val="yTable"/>
            </w:pPr>
            <w:r>
              <w:t>Regulation 179(3)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65.</w:t>
            </w:r>
          </w:p>
        </w:tc>
        <w:tc>
          <w:tcPr>
            <w:tcW w:w="2268" w:type="dxa"/>
          </w:tcPr>
          <w:p>
            <w:pPr>
              <w:pStyle w:val="yTable"/>
            </w:pPr>
            <w:r>
              <w:t>Regulation 185(1)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66.</w:t>
            </w:r>
          </w:p>
        </w:tc>
        <w:tc>
          <w:tcPr>
            <w:tcW w:w="2268" w:type="dxa"/>
          </w:tcPr>
          <w:p>
            <w:pPr>
              <w:pStyle w:val="yTable"/>
            </w:pPr>
            <w:r>
              <w:t>Regulation 237(2)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rPr>
                <w:color w:val="000000"/>
              </w:rPr>
            </w:pPr>
            <w:r>
              <w:rPr>
                <w:color w:val="000000"/>
              </w:rPr>
              <w:t>67.</w:t>
            </w:r>
          </w:p>
        </w:tc>
        <w:tc>
          <w:tcPr>
            <w:tcW w:w="2268" w:type="dxa"/>
          </w:tcPr>
          <w:p>
            <w:pPr>
              <w:pStyle w:val="yTable"/>
              <w:rPr>
                <w:color w:val="000000"/>
              </w:rPr>
            </w:pPr>
            <w:r>
              <w:rPr>
                <w:color w:val="000000"/>
              </w:rPr>
              <w:t>Regulation 237(3)</w:t>
            </w:r>
          </w:p>
        </w:tc>
        <w:tc>
          <w:tcPr>
            <w:tcW w:w="1843" w:type="dxa"/>
          </w:tcPr>
          <w:p>
            <w:pPr>
              <w:pStyle w:val="yTable"/>
              <w:rPr>
                <w:color w:val="000000"/>
              </w:rPr>
            </w:pPr>
            <w:r>
              <w:rPr>
                <w:color w:val="000000"/>
              </w:rPr>
              <w:t>100</w:t>
            </w:r>
          </w:p>
        </w:tc>
        <w:tc>
          <w:tcPr>
            <w:tcW w:w="1843" w:type="dxa"/>
          </w:tcPr>
          <w:p>
            <w:pPr>
              <w:pStyle w:val="yTable"/>
              <w:rPr>
                <w:color w:val="000000"/>
              </w:rPr>
            </w:pPr>
            <w:r>
              <w:rPr>
                <w:color w:val="000000"/>
              </w:rPr>
              <w:t>500</w:t>
            </w:r>
          </w:p>
        </w:tc>
      </w:tr>
      <w:tr>
        <w:trPr>
          <w:cantSplit/>
        </w:trPr>
        <w:tc>
          <w:tcPr>
            <w:tcW w:w="850" w:type="dxa"/>
          </w:tcPr>
          <w:p>
            <w:pPr>
              <w:pStyle w:val="yTable"/>
            </w:pPr>
            <w:r>
              <w:t>68.</w:t>
            </w:r>
          </w:p>
        </w:tc>
        <w:tc>
          <w:tcPr>
            <w:tcW w:w="2268" w:type="dxa"/>
          </w:tcPr>
          <w:p>
            <w:pPr>
              <w:pStyle w:val="yTable"/>
            </w:pPr>
            <w:r>
              <w:t>Regulation 237(6)</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69.</w:t>
            </w:r>
          </w:p>
        </w:tc>
        <w:tc>
          <w:tcPr>
            <w:tcW w:w="2268" w:type="dxa"/>
          </w:tcPr>
          <w:p>
            <w:pPr>
              <w:pStyle w:val="yTable"/>
            </w:pPr>
            <w:r>
              <w:t>Regulation 239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70.</w:t>
            </w:r>
          </w:p>
        </w:tc>
        <w:tc>
          <w:tcPr>
            <w:tcW w:w="2268" w:type="dxa"/>
          </w:tcPr>
          <w:p>
            <w:pPr>
              <w:pStyle w:val="yTable"/>
            </w:pPr>
            <w:r>
              <w:t>Regulation 240</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71.</w:t>
            </w:r>
          </w:p>
        </w:tc>
        <w:tc>
          <w:tcPr>
            <w:tcW w:w="2268" w:type="dxa"/>
          </w:tcPr>
          <w:p>
            <w:pPr>
              <w:pStyle w:val="yTable"/>
            </w:pPr>
            <w:r>
              <w:t>Regulation 243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72.</w:t>
            </w:r>
          </w:p>
        </w:tc>
        <w:tc>
          <w:tcPr>
            <w:tcW w:w="2268" w:type="dxa"/>
          </w:tcPr>
          <w:p>
            <w:pPr>
              <w:pStyle w:val="yTable"/>
            </w:pPr>
            <w:r>
              <w:t>Regulation 247(2)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73.</w:t>
            </w:r>
          </w:p>
        </w:tc>
        <w:tc>
          <w:tcPr>
            <w:tcW w:w="2268" w:type="dxa"/>
          </w:tcPr>
          <w:p>
            <w:pPr>
              <w:pStyle w:val="yTable"/>
            </w:pPr>
            <w:r>
              <w:t>Regulation 248(2)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74.</w:t>
            </w:r>
          </w:p>
        </w:tc>
        <w:tc>
          <w:tcPr>
            <w:tcW w:w="2268" w:type="dxa"/>
          </w:tcPr>
          <w:p>
            <w:pPr>
              <w:pStyle w:val="yTable"/>
            </w:pPr>
            <w:r>
              <w:t>Regulation 257(1)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75.</w:t>
            </w:r>
          </w:p>
        </w:tc>
        <w:tc>
          <w:tcPr>
            <w:tcW w:w="2268" w:type="dxa"/>
          </w:tcPr>
          <w:p>
            <w:pPr>
              <w:pStyle w:val="yTable"/>
            </w:pPr>
            <w:r>
              <w:t>Regulation 258(1)</w:t>
            </w:r>
          </w:p>
        </w:tc>
        <w:tc>
          <w:tcPr>
            <w:tcW w:w="1843" w:type="dxa"/>
          </w:tcPr>
          <w:p>
            <w:pPr>
              <w:pStyle w:val="yTable"/>
            </w:pPr>
            <w:r>
              <w:t>600</w:t>
            </w:r>
          </w:p>
        </w:tc>
        <w:tc>
          <w:tcPr>
            <w:tcW w:w="1843" w:type="dxa"/>
          </w:tcPr>
          <w:p>
            <w:pPr>
              <w:pStyle w:val="yTable"/>
            </w:pPr>
            <w:r>
              <w:t>3 000</w:t>
            </w:r>
          </w:p>
        </w:tc>
      </w:tr>
      <w:tr>
        <w:trPr>
          <w:cantSplit/>
        </w:trPr>
        <w:tc>
          <w:tcPr>
            <w:tcW w:w="850" w:type="dxa"/>
            <w:tcBorders>
              <w:bottom w:val="single" w:sz="4" w:space="0" w:color="auto"/>
            </w:tcBorders>
          </w:tcPr>
          <w:p>
            <w:pPr>
              <w:pStyle w:val="yTable"/>
            </w:pPr>
            <w:r>
              <w:t>76.</w:t>
            </w:r>
          </w:p>
        </w:tc>
        <w:tc>
          <w:tcPr>
            <w:tcW w:w="2268" w:type="dxa"/>
            <w:tcBorders>
              <w:bottom w:val="single" w:sz="4" w:space="0" w:color="auto"/>
            </w:tcBorders>
          </w:tcPr>
          <w:p>
            <w:pPr>
              <w:pStyle w:val="yTable"/>
            </w:pPr>
            <w:r>
              <w:t>Regulation 259(2)</w:t>
            </w:r>
          </w:p>
        </w:tc>
        <w:tc>
          <w:tcPr>
            <w:tcW w:w="1843" w:type="dxa"/>
            <w:tcBorders>
              <w:bottom w:val="single" w:sz="4" w:space="0" w:color="auto"/>
            </w:tcBorders>
          </w:tcPr>
          <w:p>
            <w:pPr>
              <w:pStyle w:val="yTable"/>
            </w:pPr>
            <w:r>
              <w:t>200</w:t>
            </w:r>
          </w:p>
        </w:tc>
        <w:tc>
          <w:tcPr>
            <w:tcW w:w="1843" w:type="dxa"/>
            <w:tcBorders>
              <w:bottom w:val="single" w:sz="4" w:space="0" w:color="auto"/>
            </w:tcBorders>
          </w:tcPr>
          <w:p>
            <w:pPr>
              <w:pStyle w:val="yTable"/>
            </w:pPr>
            <w:r>
              <w:t>1 000</w:t>
            </w:r>
          </w:p>
        </w:tc>
      </w:tr>
    </w:tbl>
    <w:p>
      <w:pPr>
        <w:sectPr>
          <w:headerReference w:type="even" r:id="rId20"/>
          <w:headerReference w:type="default" r:id="rId21"/>
          <w:footerReference w:type="even" r:id="rId22"/>
          <w:footerReference w:type="default" r:id="rId23"/>
          <w:headerReference w:type="first" r:id="rId24"/>
          <w:endnotePr>
            <w:numFmt w:val="decimal"/>
          </w:endnotePr>
          <w:pgSz w:w="11906" w:h="16838" w:code="9"/>
          <w:pgMar w:top="2376" w:right="2405" w:bottom="3542" w:left="2405" w:header="706" w:footer="3528" w:gutter="0"/>
          <w:cols w:space="720"/>
          <w:noEndnote/>
        </w:sectPr>
      </w:pPr>
      <w:bookmarkStart w:id="1012" w:name="_Toc113695922"/>
      <w:bookmarkStart w:id="1013" w:name="_Toc186857117"/>
      <w:bookmarkStart w:id="1014" w:name="_Toc186857186"/>
      <w:bookmarkStart w:id="1015" w:name="_Toc186857879"/>
      <w:bookmarkStart w:id="1016" w:name="_Toc186861540"/>
      <w:bookmarkStart w:id="1017" w:name="_Toc186861592"/>
      <w:bookmarkStart w:id="1018" w:name="_Toc186862549"/>
      <w:bookmarkStart w:id="1019" w:name="_Toc186864437"/>
      <w:bookmarkStart w:id="1020" w:name="_Toc186875451"/>
      <w:bookmarkStart w:id="1021" w:name="_Toc186875523"/>
    </w:p>
    <w:p>
      <w:pPr>
        <w:pStyle w:val="nHeading2"/>
      </w:pPr>
      <w:bookmarkStart w:id="1022" w:name="_Toc191959789"/>
      <w:bookmarkStart w:id="1023" w:name="_Toc191983700"/>
      <w:bookmarkStart w:id="1024" w:name="_Toc202346127"/>
      <w:bookmarkStart w:id="1025" w:name="_Toc220466975"/>
      <w:bookmarkStart w:id="1026" w:name="_Toc233694054"/>
      <w:r>
        <w:t>Notes</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del w:id="1027" w:author="Master Repository Process" w:date="2021-08-01T03:21:00Z">
        <w:r>
          <w:rPr>
            <w:snapToGrid w:val="0"/>
          </w:rPr>
          <w:delText> </w:delText>
        </w:r>
        <w:r>
          <w:rPr>
            <w:snapToGrid w:val="0"/>
            <w:vertAlign w:val="superscript"/>
          </w:rPr>
          <w:delText>1a</w:delText>
        </w:r>
      </w:del>
      <w:r>
        <w:rPr>
          <w:snapToGrid w:val="0"/>
        </w:rPr>
        <w:t>.</w:t>
      </w:r>
    </w:p>
    <w:p>
      <w:pPr>
        <w:pStyle w:val="nHeading3"/>
      </w:pPr>
      <w:bookmarkStart w:id="1028" w:name="_Toc70311430"/>
      <w:bookmarkStart w:id="1029" w:name="_Toc113695923"/>
      <w:bookmarkStart w:id="1030" w:name="_Toc186857880"/>
      <w:bookmarkStart w:id="1031" w:name="_Toc233694055"/>
      <w:bookmarkStart w:id="1032" w:name="_Toc220466976"/>
      <w:r>
        <w:t>Compilation table</w:t>
      </w:r>
      <w:bookmarkEnd w:id="1028"/>
      <w:bookmarkEnd w:id="1029"/>
      <w:bookmarkEnd w:id="1030"/>
      <w:bookmarkEnd w:id="1031"/>
      <w:bookmarkEnd w:id="1032"/>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bottom w:val="nil"/>
            </w:tcBorders>
          </w:tcPr>
          <w:p>
            <w:pPr>
              <w:pStyle w:val="nTable"/>
              <w:spacing w:after="40"/>
              <w:rPr>
                <w:sz w:val="19"/>
              </w:rPr>
            </w:pPr>
            <w:r>
              <w:rPr>
                <w:sz w:val="19"/>
              </w:rPr>
              <w:t>23 Jan 2009 p. 157</w:t>
            </w:r>
          </w:p>
        </w:tc>
        <w:tc>
          <w:tcPr>
            <w:tcW w:w="2693" w:type="dxa"/>
            <w:tcBorders>
              <w:top w:val="nil"/>
              <w:bottom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p>
        </w:tc>
      </w:tr>
    </w:tbl>
    <w:p>
      <w:pPr>
        <w:pStyle w:val="nSubsection"/>
        <w:tabs>
          <w:tab w:val="clear" w:pos="454"/>
          <w:tab w:val="left" w:pos="567"/>
        </w:tabs>
        <w:spacing w:before="120"/>
        <w:ind w:left="567" w:hanging="567"/>
        <w:rPr>
          <w:del w:id="1033" w:author="Master Repository Process" w:date="2021-08-01T03:21:00Z"/>
          <w:snapToGrid w:val="0"/>
        </w:rPr>
      </w:pPr>
      <w:bookmarkStart w:id="1034" w:name="UpToHere"/>
      <w:bookmarkEnd w:id="1034"/>
      <w:del w:id="1035" w:author="Master Repository Process" w:date="2021-08-01T03:21: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036" w:author="Master Repository Process" w:date="2021-08-01T03:21:00Z"/>
        </w:rPr>
      </w:pPr>
      <w:bookmarkStart w:id="1037" w:name="_Toc7405065"/>
      <w:bookmarkStart w:id="1038" w:name="_Toc181500909"/>
      <w:bookmarkStart w:id="1039" w:name="_Toc193100050"/>
      <w:del w:id="1040" w:author="Master Repository Process" w:date="2021-08-01T03:21:00Z">
        <w:r>
          <w:delText>Provisions that have not come into operation</w:delText>
        </w:r>
        <w:bookmarkEnd w:id="1037"/>
        <w:bookmarkEnd w:id="1038"/>
        <w:bookmarkEnd w:id="1039"/>
      </w:del>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del w:id="1041" w:author="Master Repository Process" w:date="2021-08-01T03:21:00Z"/>
        </w:trPr>
        <w:tc>
          <w:tcPr>
            <w:tcW w:w="3119" w:type="dxa"/>
            <w:tcBorders>
              <w:top w:val="single" w:sz="8" w:space="0" w:color="auto"/>
              <w:bottom w:val="single" w:sz="8" w:space="0" w:color="auto"/>
            </w:tcBorders>
          </w:tcPr>
          <w:p>
            <w:pPr>
              <w:pStyle w:val="nTable"/>
              <w:spacing w:after="40"/>
              <w:ind w:right="113"/>
              <w:rPr>
                <w:del w:id="1042" w:author="Master Repository Process" w:date="2021-08-01T03:21:00Z"/>
                <w:b/>
                <w:sz w:val="19"/>
              </w:rPr>
            </w:pPr>
            <w:del w:id="1043" w:author="Master Repository Process" w:date="2021-08-01T03:21:00Z">
              <w:r>
                <w:rPr>
                  <w:b/>
                  <w:sz w:val="19"/>
                </w:rPr>
                <w:delText>Citation</w:delText>
              </w:r>
            </w:del>
          </w:p>
        </w:tc>
        <w:tc>
          <w:tcPr>
            <w:tcW w:w="1276" w:type="dxa"/>
            <w:tcBorders>
              <w:top w:val="single" w:sz="8" w:space="0" w:color="auto"/>
              <w:bottom w:val="single" w:sz="8" w:space="0" w:color="auto"/>
            </w:tcBorders>
          </w:tcPr>
          <w:p>
            <w:pPr>
              <w:pStyle w:val="nTable"/>
              <w:spacing w:after="40"/>
              <w:rPr>
                <w:del w:id="1044" w:author="Master Repository Process" w:date="2021-08-01T03:21:00Z"/>
                <w:b/>
                <w:sz w:val="19"/>
              </w:rPr>
            </w:pPr>
            <w:del w:id="1045" w:author="Master Repository Process" w:date="2021-08-01T03:21:00Z">
              <w:r>
                <w:rPr>
                  <w:b/>
                  <w:sz w:val="19"/>
                </w:rPr>
                <w:delText>Gazettal</w:delText>
              </w:r>
            </w:del>
          </w:p>
        </w:tc>
        <w:tc>
          <w:tcPr>
            <w:tcW w:w="2693" w:type="dxa"/>
            <w:tcBorders>
              <w:top w:val="single" w:sz="8" w:space="0" w:color="auto"/>
              <w:bottom w:val="single" w:sz="8" w:space="0" w:color="auto"/>
            </w:tcBorders>
          </w:tcPr>
          <w:p>
            <w:pPr>
              <w:pStyle w:val="nTable"/>
              <w:spacing w:after="40"/>
              <w:rPr>
                <w:del w:id="1046" w:author="Master Repository Process" w:date="2021-08-01T03:21:00Z"/>
                <w:b/>
                <w:sz w:val="19"/>
              </w:rPr>
            </w:pPr>
            <w:del w:id="1047" w:author="Master Repository Process" w:date="2021-08-01T03:21:00Z">
              <w:r>
                <w:rPr>
                  <w:b/>
                  <w:sz w:val="19"/>
                </w:rPr>
                <w:delText>Commencement</w:delText>
              </w:r>
            </w:del>
          </w:p>
        </w:tc>
      </w:tr>
      <w:tr>
        <w:tblPrEx>
          <w:tblBorders>
            <w:top w:val="single" w:sz="4" w:space="0" w:color="auto"/>
            <w:bottom w:val="single" w:sz="4" w:space="0" w:color="auto"/>
            <w:insideH w:val="single" w:sz="4" w:space="0" w:color="auto"/>
          </w:tblBorders>
        </w:tblPrEx>
        <w:tc>
          <w:tcPr>
            <w:tcW w:w="3118" w:type="dxa"/>
            <w:tcBorders>
              <w:top w:val="nil"/>
            </w:tcBorders>
          </w:tcPr>
          <w:p>
            <w:pPr>
              <w:pStyle w:val="nTable"/>
              <w:spacing w:after="40"/>
              <w:rPr>
                <w:i/>
                <w:sz w:val="19"/>
              </w:rPr>
            </w:pPr>
            <w:r>
              <w:rPr>
                <w:i/>
                <w:sz w:val="19"/>
              </w:rPr>
              <w:t>Dangerous Goods Safety (Road and Rail Transport of Non-explosives) Amendment Regulations (No. 2) 2009</w:t>
            </w:r>
            <w:r>
              <w:rPr>
                <w:iCs/>
                <w:sz w:val="19"/>
              </w:rPr>
              <w:t xml:space="preserve"> </w:t>
            </w:r>
            <w:del w:id="1048" w:author="Master Repository Process" w:date="2021-08-01T03:21:00Z">
              <w:r>
                <w:rPr>
                  <w:iCs/>
                  <w:sz w:val="19"/>
                </w:rPr>
                <w:delText>r. 3 and 4 </w:delText>
              </w:r>
              <w:r>
                <w:rPr>
                  <w:iCs/>
                  <w:sz w:val="19"/>
                  <w:vertAlign w:val="superscript"/>
                </w:rPr>
                <w:delText>2</w:delText>
              </w:r>
            </w:del>
          </w:p>
        </w:tc>
        <w:tc>
          <w:tcPr>
            <w:tcW w:w="1276" w:type="dxa"/>
            <w:tcBorders>
              <w:top w:val="nil"/>
            </w:tcBorders>
          </w:tcPr>
          <w:p>
            <w:pPr>
              <w:pStyle w:val="nTable"/>
              <w:spacing w:after="40"/>
              <w:rPr>
                <w:sz w:val="19"/>
              </w:rPr>
            </w:pPr>
            <w:r>
              <w:rPr>
                <w:sz w:val="19"/>
              </w:rPr>
              <w:t>16 Jun 2009 p. 2193</w:t>
            </w:r>
            <w:r>
              <w:rPr>
                <w:sz w:val="19"/>
              </w:rPr>
              <w:noBreakHyphen/>
              <w:t>4</w:t>
            </w:r>
          </w:p>
        </w:tc>
        <w:tc>
          <w:tcPr>
            <w:tcW w:w="2693" w:type="dxa"/>
            <w:tcBorders>
              <w:top w:val="nil"/>
            </w:tcBorders>
          </w:tcPr>
          <w:p>
            <w:pPr>
              <w:pStyle w:val="nTable"/>
              <w:spacing w:after="40"/>
              <w:rPr>
                <w:snapToGrid w:val="0"/>
                <w:sz w:val="19"/>
                <w:lang w:val="en-US"/>
              </w:rPr>
            </w:pPr>
            <w:ins w:id="1049" w:author="Master Repository Process" w:date="2021-08-01T03:21:00Z">
              <w:r>
                <w:rPr>
                  <w:snapToGrid w:val="0"/>
                  <w:spacing w:val="-2"/>
                  <w:sz w:val="19"/>
                  <w:lang w:val="en-US"/>
                </w:rPr>
                <w:t xml:space="preserve">r. </w:t>
              </w:r>
            </w:ins>
            <w:r>
              <w:rPr>
                <w:snapToGrid w:val="0"/>
                <w:spacing w:val="-2"/>
                <w:sz w:val="19"/>
                <w:lang w:val="en-US"/>
              </w:rPr>
              <w:t xml:space="preserve">1 </w:t>
            </w:r>
            <w:ins w:id="1050" w:author="Master Repository Process" w:date="2021-08-01T03:21:00Z">
              <w:r>
                <w:rPr>
                  <w:snapToGrid w:val="0"/>
                  <w:spacing w:val="-2"/>
                  <w:sz w:val="19"/>
                  <w:lang w:val="en-US"/>
                </w:rPr>
                <w:t>and 2: 16 Jun 2009 (see r. 2(a));</w:t>
              </w:r>
              <w:r>
                <w:rPr>
                  <w:snapToGrid w:val="0"/>
                  <w:spacing w:val="-2"/>
                  <w:sz w:val="19"/>
                  <w:lang w:val="en-US"/>
                </w:rPr>
                <w:br/>
                <w:t>Regulations other than r. 1 and 2: 1 </w:t>
              </w:r>
            </w:ins>
            <w:r>
              <w:rPr>
                <w:snapToGrid w:val="0"/>
                <w:spacing w:val="-2"/>
                <w:sz w:val="19"/>
                <w:lang w:val="en-US"/>
              </w:rPr>
              <w:t>Jul 2009 (see r. 2(b))</w:t>
            </w:r>
          </w:p>
        </w:tc>
      </w:tr>
    </w:tbl>
    <w:p>
      <w:pPr>
        <w:pStyle w:val="nSubsection"/>
        <w:keepLines/>
        <w:rPr>
          <w:del w:id="1051" w:author="Master Repository Process" w:date="2021-08-01T03:21:00Z"/>
          <w:snapToGrid w:val="0"/>
        </w:rPr>
      </w:pPr>
      <w:del w:id="1052" w:author="Master Repository Process" w:date="2021-08-01T03:21:00Z">
        <w:r>
          <w:rPr>
            <w:snapToGrid w:val="0"/>
            <w:vertAlign w:val="superscript"/>
          </w:rPr>
          <w:delText>2</w:delText>
        </w:r>
        <w:r>
          <w:rPr>
            <w:snapToGrid w:val="0"/>
            <w:vertAlign w:val="superscript"/>
          </w:rPr>
          <w:tab/>
        </w:r>
        <w:r>
          <w:delText xml:space="preserve">On the date as at which this compilation was prepared, </w:delText>
        </w:r>
        <w:r>
          <w:rPr>
            <w:snapToGrid w:val="0"/>
          </w:rPr>
          <w:delText xml:space="preserve">the </w:delText>
        </w:r>
        <w:r>
          <w:rPr>
            <w:i/>
            <w:iCs/>
            <w:snapToGrid w:val="0"/>
          </w:rPr>
          <w:delText xml:space="preserve">Dangerous Goods Safety (Road and Rail Transport of Non-explosives) Amendment Regulations (No. 2) 2009 </w:delText>
        </w:r>
        <w:r>
          <w:rPr>
            <w:snapToGrid w:val="0"/>
          </w:rPr>
          <w:delText>r. 3 and 4 had not come into operation.  They read as follows:</w:delText>
        </w:r>
      </w:del>
    </w:p>
    <w:p>
      <w:pPr>
        <w:pStyle w:val="BlankOpen"/>
        <w:rPr>
          <w:del w:id="1053" w:author="Master Repository Process" w:date="2021-08-01T03:21:00Z"/>
        </w:rPr>
      </w:pPr>
    </w:p>
    <w:p>
      <w:pPr>
        <w:pStyle w:val="nzHeading5"/>
        <w:rPr>
          <w:del w:id="1054" w:author="Master Repository Process" w:date="2021-08-01T03:21:00Z"/>
          <w:snapToGrid w:val="0"/>
        </w:rPr>
      </w:pPr>
      <w:bookmarkStart w:id="1055" w:name="_Toc423332724"/>
      <w:bookmarkStart w:id="1056" w:name="_Toc425219443"/>
      <w:bookmarkStart w:id="1057" w:name="_Toc426249310"/>
      <w:bookmarkStart w:id="1058" w:name="_Toc449924706"/>
      <w:bookmarkStart w:id="1059" w:name="_Toc449947724"/>
      <w:bookmarkStart w:id="1060" w:name="_Toc454185715"/>
      <w:bookmarkStart w:id="1061" w:name="_Toc515958688"/>
      <w:del w:id="1062" w:author="Master Repository Process" w:date="2021-08-01T03:21:00Z">
        <w:r>
          <w:rPr>
            <w:rStyle w:val="CharSectno"/>
          </w:rPr>
          <w:delText>3</w:delText>
        </w:r>
        <w:r>
          <w:rPr>
            <w:snapToGrid w:val="0"/>
          </w:rPr>
          <w:delText>.</w:delText>
        </w:r>
        <w:r>
          <w:rPr>
            <w:snapToGrid w:val="0"/>
          </w:rPr>
          <w:tab/>
          <w:delText>Regulations amended</w:delText>
        </w:r>
        <w:bookmarkEnd w:id="1055"/>
        <w:bookmarkEnd w:id="1056"/>
        <w:bookmarkEnd w:id="1057"/>
        <w:bookmarkEnd w:id="1058"/>
        <w:bookmarkEnd w:id="1059"/>
        <w:bookmarkEnd w:id="1060"/>
        <w:bookmarkEnd w:id="1061"/>
      </w:del>
    </w:p>
    <w:p>
      <w:pPr>
        <w:pStyle w:val="nzSubsection"/>
        <w:rPr>
          <w:del w:id="1063" w:author="Master Repository Process" w:date="2021-08-01T03:21:00Z"/>
        </w:rPr>
      </w:pPr>
      <w:del w:id="1064" w:author="Master Repository Process" w:date="2021-08-01T03:21:00Z">
        <w:r>
          <w:tab/>
        </w:r>
        <w:r>
          <w:tab/>
        </w:r>
        <w:r>
          <w:rPr>
            <w:spacing w:val="-2"/>
          </w:rPr>
          <w:delText>These</w:delText>
        </w:r>
        <w:r>
          <w:delText xml:space="preserve"> regulations amend the </w:delText>
        </w:r>
        <w:r>
          <w:rPr>
            <w:i/>
          </w:rPr>
          <w:delText>Dangerous Goods Safety (Road and Rail Transport of Non</w:delText>
        </w:r>
        <w:r>
          <w:rPr>
            <w:i/>
          </w:rPr>
          <w:noBreakHyphen/>
          <w:delText>explosives) Regulations 2007</w:delText>
        </w:r>
        <w:r>
          <w:delText>.</w:delText>
        </w:r>
      </w:del>
    </w:p>
    <w:p>
      <w:pPr>
        <w:pStyle w:val="nzHeading5"/>
        <w:rPr>
          <w:del w:id="1065" w:author="Master Repository Process" w:date="2021-08-01T03:21:00Z"/>
        </w:rPr>
      </w:pPr>
      <w:del w:id="1066" w:author="Master Repository Process" w:date="2021-08-01T03:21:00Z">
        <w:r>
          <w:rPr>
            <w:rStyle w:val="CharSectno"/>
          </w:rPr>
          <w:delText>4</w:delText>
        </w:r>
        <w:r>
          <w:delText>.</w:delText>
        </w:r>
        <w:r>
          <w:tab/>
          <w:delText>Regulation 272 amended</w:delText>
        </w:r>
      </w:del>
    </w:p>
    <w:p>
      <w:pPr>
        <w:pStyle w:val="nzSubsection"/>
        <w:rPr>
          <w:del w:id="1067" w:author="Master Repository Process" w:date="2021-08-01T03:21:00Z"/>
        </w:rPr>
      </w:pPr>
      <w:del w:id="1068" w:author="Master Repository Process" w:date="2021-08-01T03:21:00Z">
        <w:r>
          <w:tab/>
        </w:r>
        <w:r>
          <w:tab/>
          <w:delText>In regulation 272 in the Table:</w:delText>
        </w:r>
      </w:del>
    </w:p>
    <w:p>
      <w:pPr>
        <w:pStyle w:val="nzIndenta"/>
        <w:rPr>
          <w:del w:id="1069" w:author="Master Repository Process" w:date="2021-08-01T03:21:00Z"/>
        </w:rPr>
      </w:pPr>
      <w:del w:id="1070" w:author="Master Repository Process" w:date="2021-08-01T03:21:00Z">
        <w:r>
          <w:tab/>
          <w:delText>(a)</w:delText>
        </w:r>
        <w:r>
          <w:tab/>
          <w:delText>in item 4 delete “</w:delText>
        </w:r>
        <w:r>
          <w:rPr>
            <w:sz w:val="22"/>
          </w:rPr>
          <w:delText>360</w:delText>
        </w:r>
        <w:r>
          <w:delText>” and insert:</w:delText>
        </w:r>
      </w:del>
    </w:p>
    <w:p>
      <w:pPr>
        <w:pStyle w:val="BlankOpen"/>
        <w:rPr>
          <w:del w:id="1071" w:author="Master Repository Process" w:date="2021-08-01T03:21:00Z"/>
        </w:rPr>
      </w:pPr>
    </w:p>
    <w:p>
      <w:pPr>
        <w:pStyle w:val="nzIndenta"/>
        <w:rPr>
          <w:del w:id="1072" w:author="Master Repository Process" w:date="2021-08-01T03:21:00Z"/>
        </w:rPr>
      </w:pPr>
      <w:del w:id="1073" w:author="Master Repository Process" w:date="2021-08-01T03:21:00Z">
        <w:r>
          <w:tab/>
        </w:r>
        <w:r>
          <w:tab/>
        </w:r>
        <w:r>
          <w:rPr>
            <w:sz w:val="22"/>
          </w:rPr>
          <w:delText>375</w:delText>
        </w:r>
      </w:del>
    </w:p>
    <w:p>
      <w:pPr>
        <w:pStyle w:val="BlankClose"/>
        <w:rPr>
          <w:del w:id="1074" w:author="Master Repository Process" w:date="2021-08-01T03:21:00Z"/>
        </w:rPr>
      </w:pPr>
    </w:p>
    <w:p>
      <w:pPr>
        <w:pStyle w:val="nzIndenta"/>
        <w:rPr>
          <w:del w:id="1075" w:author="Master Repository Process" w:date="2021-08-01T03:21:00Z"/>
        </w:rPr>
      </w:pPr>
      <w:del w:id="1076" w:author="Master Repository Process" w:date="2021-08-01T03:21:00Z">
        <w:r>
          <w:tab/>
          <w:delText>(b)</w:delText>
        </w:r>
        <w:r>
          <w:tab/>
          <w:delText>in item 5 delete “</w:delText>
        </w:r>
        <w:r>
          <w:rPr>
            <w:sz w:val="22"/>
          </w:rPr>
          <w:delText>360</w:delText>
        </w:r>
        <w:r>
          <w:delText>” and insert:</w:delText>
        </w:r>
      </w:del>
    </w:p>
    <w:p>
      <w:pPr>
        <w:pStyle w:val="BlankOpen"/>
        <w:rPr>
          <w:del w:id="1077" w:author="Master Repository Process" w:date="2021-08-01T03:21:00Z"/>
        </w:rPr>
      </w:pPr>
    </w:p>
    <w:p>
      <w:pPr>
        <w:pStyle w:val="nzIndenta"/>
        <w:rPr>
          <w:del w:id="1078" w:author="Master Repository Process" w:date="2021-08-01T03:21:00Z"/>
        </w:rPr>
      </w:pPr>
      <w:del w:id="1079" w:author="Master Repository Process" w:date="2021-08-01T03:21:00Z">
        <w:r>
          <w:tab/>
        </w:r>
        <w:r>
          <w:tab/>
        </w:r>
        <w:r>
          <w:rPr>
            <w:sz w:val="22"/>
          </w:rPr>
          <w:delText>375</w:delText>
        </w:r>
      </w:del>
    </w:p>
    <w:p>
      <w:pPr>
        <w:pStyle w:val="BlankClose"/>
        <w:rPr>
          <w:del w:id="1080" w:author="Master Repository Process" w:date="2021-08-01T03:21:00Z"/>
        </w:rPr>
      </w:pPr>
    </w:p>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sectPr>
      <w:headerReference w:type="even" r:id="rId28"/>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16 Jun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Jun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Jun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16 Jun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Jun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5"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 w:numId="32">
    <w:abstractNumId w:val="17"/>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0110727"/>
    <w:docVar w:name="WAFER_20151210110727" w:val="RemoveTrackChanges"/>
    <w:docVar w:name="WAFER_20151210110727_GUID" w:val="588a536f-e005-4f65-b0b4-e065e86da45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D654DD7A-A07C-490F-B936-9A0FCC7E9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32138</Words>
  <Characters>156191</Characters>
  <Application>Microsoft Office Word</Application>
  <DocSecurity>0</DocSecurity>
  <Lines>4462</Lines>
  <Paragraphs>2853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00-e0-02 - 00-f0-02</dc:title>
  <dc:subject/>
  <dc:creator/>
  <cp:keywords/>
  <dc:description/>
  <cp:lastModifiedBy>Master Repository Process</cp:lastModifiedBy>
  <cp:revision>2</cp:revision>
  <cp:lastPrinted>2007-12-31T07:17:00Z</cp:lastPrinted>
  <dcterms:created xsi:type="dcterms:W3CDTF">2021-07-31T19:21:00Z</dcterms:created>
  <dcterms:modified xsi:type="dcterms:W3CDTF">2021-07-31T19:21:00Z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20090701</vt:lpwstr>
  </property>
  <property fmtid="{D5CDD505-2E9C-101B-9397-08002B2CF9AE}" pid="4" name="DocumentType">
    <vt:lpwstr>Reg</vt:lpwstr>
  </property>
  <property fmtid="{D5CDD505-2E9C-101B-9397-08002B2CF9AE}" pid="5" name="OwlsUID">
    <vt:i4>38035</vt:i4>
  </property>
  <property fmtid="{D5CDD505-2E9C-101B-9397-08002B2CF9AE}" pid="6" name="FromSuffix">
    <vt:lpwstr>00-e0-02</vt:lpwstr>
  </property>
  <property fmtid="{D5CDD505-2E9C-101B-9397-08002B2CF9AE}" pid="7" name="FromAsAtDate">
    <vt:lpwstr>16 Jun 2009</vt:lpwstr>
  </property>
  <property fmtid="{D5CDD505-2E9C-101B-9397-08002B2CF9AE}" pid="8" name="ToSuffix">
    <vt:lpwstr>00-f0-02</vt:lpwstr>
  </property>
  <property fmtid="{D5CDD505-2E9C-101B-9397-08002B2CF9AE}" pid="9" name="ToAsAtDate">
    <vt:lpwstr>01 Jul 2009</vt:lpwstr>
  </property>
</Properties>
</file>