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n Act to provide for the registration of painters and for other purposes.</w:t>
      </w:r>
    </w:p>
    <w:p>
      <w:pPr>
        <w:pStyle w:val="Heading5"/>
        <w:spacing w:before="600"/>
        <w:rPr>
          <w:snapToGrid w:val="0"/>
        </w:rPr>
      </w:pPr>
      <w:bookmarkStart w:id="1" w:name="_Toc241055107"/>
      <w:bookmarkStart w:id="2" w:name="_Toc232397975"/>
      <w:r>
        <w:rPr>
          <w:rStyle w:val="CharSectno"/>
        </w:rPr>
        <w:t>1</w:t>
      </w:r>
      <w:r>
        <w:rPr>
          <w:snapToGrid w:val="0"/>
        </w:rPr>
        <w:t>.</w:t>
      </w:r>
      <w:r>
        <w:rPr>
          <w:snapToGrid w:val="0"/>
        </w:rPr>
        <w:tab/>
        <w:t>Short title</w:t>
      </w:r>
      <w:bookmarkEnd w:id="1"/>
      <w:bookmarkEnd w:id="2"/>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3" w:name="_Toc241055108"/>
      <w:bookmarkStart w:id="4" w:name="_Toc232397976"/>
      <w:r>
        <w:rPr>
          <w:rStyle w:val="CharSectno"/>
        </w:rPr>
        <w:t>2</w:t>
      </w:r>
      <w:r>
        <w:rPr>
          <w:snapToGrid w:val="0"/>
        </w:rPr>
        <w:t>.</w:t>
      </w:r>
      <w:r>
        <w:rPr>
          <w:snapToGrid w:val="0"/>
        </w:rPr>
        <w:tab/>
        <w:t>Terms used in this Act</w:t>
      </w:r>
      <w:bookmarkEnd w:id="3"/>
      <w:bookmarkEnd w:id="4"/>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5" w:name="_Toc241055109"/>
      <w:bookmarkStart w:id="6" w:name="_Toc232397977"/>
      <w:r>
        <w:rPr>
          <w:rStyle w:val="CharSectno"/>
        </w:rPr>
        <w:t>3</w:t>
      </w:r>
      <w:r>
        <w:rPr>
          <w:snapToGrid w:val="0"/>
        </w:rPr>
        <w:t>.</w:t>
      </w:r>
      <w:r>
        <w:rPr>
          <w:snapToGrid w:val="0"/>
        </w:rPr>
        <w:tab/>
        <w:t>Where this Act applies</w:t>
      </w:r>
      <w:bookmarkEnd w:id="5"/>
      <w:bookmarkEnd w:id="6"/>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7" w:name="_Toc241055110"/>
      <w:bookmarkStart w:id="8" w:name="_Toc232397978"/>
      <w:r>
        <w:rPr>
          <w:rStyle w:val="CharSectno"/>
        </w:rPr>
        <w:t>4</w:t>
      </w:r>
      <w:r>
        <w:rPr>
          <w:snapToGrid w:val="0"/>
        </w:rPr>
        <w:t>.</w:t>
      </w:r>
      <w:r>
        <w:rPr>
          <w:snapToGrid w:val="0"/>
        </w:rPr>
        <w:tab/>
        <w:t>Unregistered painters prohibited from painting for reward</w:t>
      </w:r>
      <w:bookmarkEnd w:id="7"/>
      <w:bookmarkEnd w:id="8"/>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9" w:name="_Toc241055111"/>
      <w:bookmarkStart w:id="10" w:name="_Toc232397979"/>
      <w:r>
        <w:rPr>
          <w:rStyle w:val="CharSectno"/>
        </w:rPr>
        <w:t>4A</w:t>
      </w:r>
      <w:r>
        <w:rPr>
          <w:snapToGrid w:val="0"/>
        </w:rPr>
        <w:t>.</w:t>
      </w:r>
      <w:r>
        <w:rPr>
          <w:snapToGrid w:val="0"/>
        </w:rPr>
        <w:tab/>
        <w:t>Unregistered persons not to pretend to be registered</w:t>
      </w:r>
      <w:bookmarkEnd w:id="9"/>
      <w:bookmarkEnd w:id="10"/>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11" w:name="_Toc241055112"/>
      <w:bookmarkStart w:id="12" w:name="_Toc232397980"/>
      <w:r>
        <w:rPr>
          <w:rStyle w:val="CharSectno"/>
        </w:rPr>
        <w:t>5</w:t>
      </w:r>
      <w:r>
        <w:rPr>
          <w:snapToGrid w:val="0"/>
        </w:rPr>
        <w:t>.</w:t>
      </w:r>
      <w:r>
        <w:rPr>
          <w:snapToGrid w:val="0"/>
        </w:rPr>
        <w:tab/>
        <w:t>Painters’ Registration Board established</w:t>
      </w:r>
      <w:bookmarkEnd w:id="11"/>
      <w:bookmarkEnd w:id="12"/>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13" w:name="_Toc241055113"/>
      <w:bookmarkStart w:id="14" w:name="_Toc232397981"/>
      <w:r>
        <w:rPr>
          <w:rStyle w:val="CharSectno"/>
        </w:rPr>
        <w:t>6</w:t>
      </w:r>
      <w:r>
        <w:rPr>
          <w:snapToGrid w:val="0"/>
        </w:rPr>
        <w:t>.</w:t>
      </w:r>
      <w:r>
        <w:rPr>
          <w:snapToGrid w:val="0"/>
        </w:rPr>
        <w:tab/>
        <w:t>Board to be body corporate</w:t>
      </w:r>
      <w:bookmarkEnd w:id="13"/>
      <w:bookmarkEnd w:id="14"/>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15" w:name="_Toc241055114"/>
      <w:bookmarkStart w:id="16" w:name="_Toc232397982"/>
      <w:r>
        <w:rPr>
          <w:rStyle w:val="CharSectno"/>
        </w:rPr>
        <w:t>7</w:t>
      </w:r>
      <w:r>
        <w:rPr>
          <w:snapToGrid w:val="0"/>
        </w:rPr>
        <w:t>.</w:t>
      </w:r>
      <w:r>
        <w:rPr>
          <w:snapToGrid w:val="0"/>
        </w:rPr>
        <w:tab/>
        <w:t>Constitution of Board</w:t>
      </w:r>
      <w:bookmarkEnd w:id="15"/>
      <w:bookmarkEnd w:id="16"/>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becomes</w:t>
      </w:r>
      <w:del w:id="17" w:author="svcMRProcess" w:date="2015-11-05T09:44:00Z">
        <w:r>
          <w:rPr>
            <w:snapToGrid w:val="0"/>
          </w:rPr>
          <w:delText xml:space="preserve"> bankrupt or compounds with his creditors</w:delText>
        </w:r>
      </w:del>
      <w:ins w:id="18" w:author="svcMRProcess" w:date="2015-11-05T09:44:00Z">
        <w:r>
          <w:t xml:space="preserve">, according to the </w:t>
        </w:r>
        <w:r>
          <w:rPr>
            <w:i/>
            <w:iCs/>
          </w:rPr>
          <w:t>Interpretation Act 1984</w:t>
        </w:r>
        <w:r>
          <w:t xml:space="preserve"> section 13D, a bankrupt or a person whose affairs are under insolvency laws</w:t>
        </w:r>
      </w:ins>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 No. 8 of 2009 s. </w:t>
      </w:r>
      <w:del w:id="19" w:author="svcMRProcess" w:date="2015-11-05T09:44:00Z">
        <w:r>
          <w:delText>97</w:delText>
        </w:r>
      </w:del>
      <w:ins w:id="20" w:author="svcMRProcess" w:date="2015-11-05T09:44:00Z">
        <w:r>
          <w:t>97; No. 18 of 2009 s. 61</w:t>
        </w:r>
      </w:ins>
      <w:r>
        <w:t>.]</w:t>
      </w:r>
    </w:p>
    <w:p>
      <w:pPr>
        <w:pStyle w:val="Heading5"/>
        <w:rPr>
          <w:snapToGrid w:val="0"/>
        </w:rPr>
      </w:pPr>
      <w:bookmarkStart w:id="21" w:name="_Toc241055115"/>
      <w:bookmarkStart w:id="22" w:name="_Toc232397983"/>
      <w:r>
        <w:rPr>
          <w:rStyle w:val="CharSectno"/>
        </w:rPr>
        <w:t>7A</w:t>
      </w:r>
      <w:r>
        <w:rPr>
          <w:snapToGrid w:val="0"/>
        </w:rPr>
        <w:t>.</w:t>
      </w:r>
      <w:r>
        <w:rPr>
          <w:snapToGrid w:val="0"/>
        </w:rPr>
        <w:tab/>
        <w:t>Deputies of chairman and members</w:t>
      </w:r>
      <w:bookmarkEnd w:id="21"/>
      <w:bookmarkEnd w:id="22"/>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23" w:name="_Toc241055116"/>
      <w:bookmarkStart w:id="24" w:name="_Toc232397984"/>
      <w:r>
        <w:rPr>
          <w:rStyle w:val="CharSectno"/>
        </w:rPr>
        <w:t>8</w:t>
      </w:r>
      <w:r>
        <w:rPr>
          <w:snapToGrid w:val="0"/>
        </w:rPr>
        <w:t>.</w:t>
      </w:r>
      <w:r>
        <w:rPr>
          <w:snapToGrid w:val="0"/>
        </w:rPr>
        <w:tab/>
        <w:t>Remuneration of Board members</w:t>
      </w:r>
      <w:bookmarkEnd w:id="23"/>
      <w:bookmarkEnd w:id="24"/>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25" w:name="_Toc241055117"/>
      <w:bookmarkStart w:id="26" w:name="_Toc232397985"/>
      <w:r>
        <w:rPr>
          <w:rStyle w:val="CharSectno"/>
        </w:rPr>
        <w:t>9</w:t>
      </w:r>
      <w:r>
        <w:rPr>
          <w:snapToGrid w:val="0"/>
        </w:rPr>
        <w:t>.</w:t>
      </w:r>
      <w:r>
        <w:rPr>
          <w:snapToGrid w:val="0"/>
        </w:rPr>
        <w:tab/>
        <w:t>Registrar and other officers of the Board</w:t>
      </w:r>
      <w:bookmarkEnd w:id="25"/>
      <w:bookmarkEnd w:id="26"/>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27" w:name="_Toc241055118"/>
      <w:bookmarkStart w:id="28" w:name="_Toc232397986"/>
      <w:r>
        <w:rPr>
          <w:rStyle w:val="CharSectno"/>
        </w:rPr>
        <w:t>10</w:t>
      </w:r>
      <w:r>
        <w:rPr>
          <w:snapToGrid w:val="0"/>
        </w:rPr>
        <w:t>.</w:t>
      </w:r>
      <w:r>
        <w:rPr>
          <w:snapToGrid w:val="0"/>
        </w:rPr>
        <w:tab/>
        <w:t>Register of painters</w:t>
      </w:r>
      <w:bookmarkEnd w:id="27"/>
      <w:bookmarkEnd w:id="28"/>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29" w:name="_Toc241055119"/>
      <w:bookmarkStart w:id="30" w:name="_Toc232397987"/>
      <w:r>
        <w:rPr>
          <w:rStyle w:val="CharSectno"/>
        </w:rPr>
        <w:t>11</w:t>
      </w:r>
      <w:r>
        <w:rPr>
          <w:snapToGrid w:val="0"/>
        </w:rPr>
        <w:t>.</w:t>
      </w:r>
      <w:r>
        <w:rPr>
          <w:snapToGrid w:val="0"/>
        </w:rPr>
        <w:tab/>
        <w:t>Application for registration</w:t>
      </w:r>
      <w:bookmarkEnd w:id="29"/>
      <w:bookmarkEnd w:id="30"/>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31" w:name="_Toc241055120"/>
      <w:bookmarkStart w:id="32" w:name="_Toc232397988"/>
      <w:r>
        <w:rPr>
          <w:rStyle w:val="CharSectno"/>
        </w:rPr>
        <w:t>12</w:t>
      </w:r>
      <w:r>
        <w:rPr>
          <w:snapToGrid w:val="0"/>
        </w:rPr>
        <w:t>.</w:t>
      </w:r>
      <w:r>
        <w:rPr>
          <w:snapToGrid w:val="0"/>
        </w:rPr>
        <w:tab/>
        <w:t>Who can apply to be registered</w:t>
      </w:r>
      <w:bookmarkEnd w:id="31"/>
      <w:bookmarkEnd w:id="32"/>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6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33" w:name="_Toc241055121"/>
      <w:bookmarkStart w:id="34" w:name="_Toc232397989"/>
      <w:r>
        <w:rPr>
          <w:rStyle w:val="CharSectno"/>
        </w:rPr>
        <w:t>13</w:t>
      </w:r>
      <w:r>
        <w:rPr>
          <w:snapToGrid w:val="0"/>
        </w:rPr>
        <w:t>.</w:t>
      </w:r>
      <w:r>
        <w:rPr>
          <w:snapToGrid w:val="0"/>
        </w:rPr>
        <w:tab/>
        <w:t>Examinations</w:t>
      </w:r>
      <w:bookmarkEnd w:id="33"/>
      <w:bookmarkEnd w:id="34"/>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35" w:name="_Toc241055122"/>
      <w:bookmarkStart w:id="36" w:name="_Toc232397990"/>
      <w:r>
        <w:rPr>
          <w:rStyle w:val="CharSectno"/>
        </w:rPr>
        <w:t>14</w:t>
      </w:r>
      <w:r>
        <w:rPr>
          <w:snapToGrid w:val="0"/>
        </w:rPr>
        <w:t>.</w:t>
      </w:r>
      <w:r>
        <w:rPr>
          <w:snapToGrid w:val="0"/>
        </w:rPr>
        <w:tab/>
        <w:t>When partnership or body corporate can apply to be registered</w:t>
      </w:r>
      <w:bookmarkEnd w:id="35"/>
      <w:bookmarkEnd w:id="36"/>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37" w:name="_Toc241055123"/>
      <w:bookmarkStart w:id="38" w:name="_Toc232397991"/>
      <w:r>
        <w:rPr>
          <w:rStyle w:val="CharSectno"/>
        </w:rPr>
        <w:t>14A</w:t>
      </w:r>
      <w:r>
        <w:rPr>
          <w:snapToGrid w:val="0"/>
        </w:rPr>
        <w:t>.</w:t>
      </w:r>
      <w:r>
        <w:rPr>
          <w:snapToGrid w:val="0"/>
        </w:rPr>
        <w:tab/>
        <w:t>Signs and advertisements to show registration details</w:t>
      </w:r>
      <w:bookmarkEnd w:id="37"/>
      <w:bookmarkEnd w:id="38"/>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39" w:name="_Toc241055124"/>
      <w:bookmarkStart w:id="40" w:name="_Toc232397992"/>
      <w:r>
        <w:rPr>
          <w:rStyle w:val="CharSectno"/>
        </w:rPr>
        <w:t>14B</w:t>
      </w:r>
      <w:r>
        <w:rPr>
          <w:snapToGrid w:val="0"/>
        </w:rPr>
        <w:t>.</w:t>
      </w:r>
      <w:r>
        <w:rPr>
          <w:snapToGrid w:val="0"/>
        </w:rPr>
        <w:tab/>
        <w:t>Painting carried out by partnership, company etc.</w:t>
      </w:r>
      <w:bookmarkEnd w:id="39"/>
      <w:bookmarkEnd w:id="40"/>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41" w:name="_Toc241055125"/>
      <w:bookmarkStart w:id="42" w:name="_Toc232397993"/>
      <w:r>
        <w:rPr>
          <w:rStyle w:val="CharSectno"/>
        </w:rPr>
        <w:t>15</w:t>
      </w:r>
      <w:r>
        <w:rPr>
          <w:snapToGrid w:val="0"/>
        </w:rPr>
        <w:t>.</w:t>
      </w:r>
      <w:r>
        <w:rPr>
          <w:snapToGrid w:val="0"/>
        </w:rPr>
        <w:tab/>
        <w:t>Board to supply reasons for refusal to register</w:t>
      </w:r>
      <w:bookmarkEnd w:id="41"/>
      <w:bookmarkEnd w:id="42"/>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43" w:name="_Toc241055126"/>
      <w:bookmarkStart w:id="44" w:name="_Toc232397994"/>
      <w:r>
        <w:rPr>
          <w:rStyle w:val="CharSectno"/>
        </w:rPr>
        <w:t>16</w:t>
      </w:r>
      <w:r>
        <w:rPr>
          <w:snapToGrid w:val="0"/>
        </w:rPr>
        <w:t>.</w:t>
      </w:r>
      <w:r>
        <w:rPr>
          <w:snapToGrid w:val="0"/>
        </w:rPr>
        <w:tab/>
        <w:t>Disciplinary action against registered painters by State Administrative Tribunal</w:t>
      </w:r>
      <w:bookmarkEnd w:id="43"/>
      <w:bookmarkEnd w:id="44"/>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45" w:name="_Toc241055127"/>
      <w:bookmarkStart w:id="46" w:name="_Toc232397995"/>
      <w:r>
        <w:rPr>
          <w:rStyle w:val="CharSectno"/>
        </w:rPr>
        <w:t>16B</w:t>
      </w:r>
      <w:r>
        <w:t>.</w:t>
      </w:r>
      <w:r>
        <w:tab/>
      </w:r>
      <w:r>
        <w:rPr>
          <w:snapToGrid w:val="0"/>
        </w:rPr>
        <w:t>Re</w:t>
      </w:r>
      <w:r>
        <w:rPr>
          <w:snapToGrid w:val="0"/>
        </w:rPr>
        <w:noBreakHyphen/>
        <w:t>registration of painter</w:t>
      </w:r>
      <w:bookmarkEnd w:id="45"/>
      <w:bookmarkEnd w:id="46"/>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47" w:name="_Toc241055128"/>
      <w:bookmarkStart w:id="48" w:name="_Toc232397996"/>
      <w:r>
        <w:rPr>
          <w:rStyle w:val="CharSectno"/>
        </w:rPr>
        <w:t>16C</w:t>
      </w:r>
      <w:r>
        <w:rPr>
          <w:snapToGrid w:val="0"/>
        </w:rPr>
        <w:t>.</w:t>
      </w:r>
      <w:r>
        <w:rPr>
          <w:snapToGrid w:val="0"/>
        </w:rPr>
        <w:tab/>
        <w:t>Board’s power to inspect painting</w:t>
      </w:r>
      <w:bookmarkEnd w:id="47"/>
      <w:bookmarkEnd w:id="48"/>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49" w:name="_Toc241055129"/>
      <w:bookmarkStart w:id="50" w:name="_Toc232397997"/>
      <w:r>
        <w:rPr>
          <w:rStyle w:val="CharSectno"/>
        </w:rPr>
        <w:t>16D</w:t>
      </w:r>
      <w:r>
        <w:rPr>
          <w:snapToGrid w:val="0"/>
        </w:rPr>
        <w:t>.</w:t>
      </w:r>
      <w:r>
        <w:rPr>
          <w:snapToGrid w:val="0"/>
        </w:rPr>
        <w:tab/>
        <w:t>Order to remedy or pay for remediation of unsatisfactory painting work</w:t>
      </w:r>
      <w:bookmarkEnd w:id="49"/>
      <w:bookmarkEnd w:id="50"/>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51" w:name="_Toc241055130"/>
      <w:bookmarkStart w:id="52" w:name="_Toc232397998"/>
      <w:r>
        <w:rPr>
          <w:rStyle w:val="CharSectno"/>
        </w:rPr>
        <w:t>16E</w:t>
      </w:r>
      <w:r>
        <w:rPr>
          <w:snapToGrid w:val="0"/>
        </w:rPr>
        <w:t>.</w:t>
      </w:r>
      <w:r>
        <w:rPr>
          <w:snapToGrid w:val="0"/>
        </w:rPr>
        <w:tab/>
        <w:t>Order to remedy may be revoked and substituted</w:t>
      </w:r>
      <w:bookmarkEnd w:id="51"/>
      <w:bookmarkEnd w:id="52"/>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53" w:name="_Toc241055131"/>
      <w:bookmarkStart w:id="54" w:name="_Toc232397999"/>
      <w:r>
        <w:rPr>
          <w:rStyle w:val="CharSectno"/>
        </w:rPr>
        <w:t>16F</w:t>
      </w:r>
      <w:r>
        <w:rPr>
          <w:snapToGrid w:val="0"/>
        </w:rPr>
        <w:t>.</w:t>
      </w:r>
      <w:r>
        <w:rPr>
          <w:snapToGrid w:val="0"/>
        </w:rPr>
        <w:tab/>
        <w:t>Person to be afforded opportunity to be heard</w:t>
      </w:r>
      <w:bookmarkEnd w:id="53"/>
      <w:bookmarkEnd w:id="54"/>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55" w:name="_Toc241055132"/>
      <w:bookmarkStart w:id="56" w:name="_Toc232398000"/>
      <w:r>
        <w:rPr>
          <w:rStyle w:val="CharSectno"/>
        </w:rPr>
        <w:t>16G</w:t>
      </w:r>
      <w:r>
        <w:rPr>
          <w:snapToGrid w:val="0"/>
        </w:rPr>
        <w:t>.</w:t>
      </w:r>
      <w:r>
        <w:rPr>
          <w:snapToGrid w:val="0"/>
        </w:rPr>
        <w:tab/>
        <w:t>Offence to fail to comply with Board’s order</w:t>
      </w:r>
      <w:bookmarkEnd w:id="55"/>
      <w:bookmarkEnd w:id="56"/>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57" w:name="_Toc241055133"/>
      <w:bookmarkStart w:id="58" w:name="_Toc232398001"/>
      <w:r>
        <w:rPr>
          <w:rStyle w:val="CharSectno"/>
        </w:rPr>
        <w:t>16H</w:t>
      </w:r>
      <w:r>
        <w:rPr>
          <w:snapToGrid w:val="0"/>
        </w:rPr>
        <w:t>.</w:t>
      </w:r>
      <w:r>
        <w:rPr>
          <w:snapToGrid w:val="0"/>
        </w:rPr>
        <w:tab/>
        <w:t>Saving of other remedies</w:t>
      </w:r>
      <w:bookmarkEnd w:id="57"/>
      <w:bookmarkEnd w:id="58"/>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59" w:name="_Toc241055134"/>
      <w:bookmarkStart w:id="60" w:name="_Toc232398002"/>
      <w:r>
        <w:rPr>
          <w:rStyle w:val="CharSectno"/>
        </w:rPr>
        <w:t>16I</w:t>
      </w:r>
      <w:r>
        <w:rPr>
          <w:snapToGrid w:val="0"/>
        </w:rPr>
        <w:t>.</w:t>
      </w:r>
      <w:r>
        <w:rPr>
          <w:snapToGrid w:val="0"/>
        </w:rPr>
        <w:tab/>
        <w:t>Board may recover costs of investigation of frivolous or vexatious complaints</w:t>
      </w:r>
      <w:bookmarkEnd w:id="59"/>
      <w:bookmarkEnd w:id="6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61" w:name="_Toc241055135"/>
      <w:bookmarkStart w:id="62" w:name="_Toc232398003"/>
      <w:r>
        <w:rPr>
          <w:rStyle w:val="CharSectno"/>
        </w:rPr>
        <w:t>16J</w:t>
      </w:r>
      <w:r>
        <w:rPr>
          <w:snapToGrid w:val="0"/>
        </w:rPr>
        <w:t>.</w:t>
      </w:r>
      <w:r>
        <w:rPr>
          <w:snapToGrid w:val="0"/>
        </w:rPr>
        <w:tab/>
        <w:t>Painter may request Board to investigate work</w:t>
      </w:r>
      <w:bookmarkEnd w:id="61"/>
      <w:bookmarkEnd w:id="62"/>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63" w:name="_Toc241055136"/>
      <w:bookmarkStart w:id="64" w:name="_Toc232398004"/>
      <w:r>
        <w:rPr>
          <w:rStyle w:val="CharSectno"/>
        </w:rPr>
        <w:t>18</w:t>
      </w:r>
      <w:r>
        <w:t>.</w:t>
      </w:r>
      <w:r>
        <w:tab/>
        <w:t>Application to State Administrative Tribunal for review</w:t>
      </w:r>
      <w:bookmarkEnd w:id="63"/>
      <w:bookmarkEnd w:id="64"/>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65" w:name="_Toc241055137"/>
      <w:bookmarkStart w:id="66" w:name="_Toc232398005"/>
      <w:r>
        <w:rPr>
          <w:rStyle w:val="CharSectno"/>
        </w:rPr>
        <w:t>18A</w:t>
      </w:r>
      <w:r>
        <w:t>.</w:t>
      </w:r>
      <w:r>
        <w:tab/>
        <w:t>Surrender of registration does not prevent investigation</w:t>
      </w:r>
      <w:bookmarkEnd w:id="65"/>
      <w:bookmarkEnd w:id="66"/>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67" w:name="_Toc241055138"/>
      <w:bookmarkStart w:id="68" w:name="_Toc232398006"/>
      <w:r>
        <w:rPr>
          <w:rStyle w:val="CharSectno"/>
        </w:rPr>
        <w:t>18B</w:t>
      </w:r>
      <w:r>
        <w:t>.</w:t>
      </w:r>
      <w:r>
        <w:tab/>
        <w:t>Suspension of registration by State Administrative Tribunal</w:t>
      </w:r>
      <w:bookmarkEnd w:id="67"/>
      <w:bookmarkEnd w:id="68"/>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69" w:name="_Toc241055139"/>
      <w:bookmarkStart w:id="70" w:name="_Toc232398007"/>
      <w:r>
        <w:rPr>
          <w:rStyle w:val="CharSectno"/>
        </w:rPr>
        <w:t>19</w:t>
      </w:r>
      <w:r>
        <w:rPr>
          <w:snapToGrid w:val="0"/>
        </w:rPr>
        <w:t>.</w:t>
      </w:r>
      <w:r>
        <w:rPr>
          <w:snapToGrid w:val="0"/>
        </w:rPr>
        <w:tab/>
        <w:t>Signature of Chairman and Registrar, proof of</w:t>
      </w:r>
      <w:bookmarkEnd w:id="69"/>
      <w:bookmarkEnd w:id="70"/>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71" w:name="_Toc241055140"/>
      <w:bookmarkStart w:id="72" w:name="_Toc232398008"/>
      <w:r>
        <w:rPr>
          <w:rStyle w:val="CharSectno"/>
        </w:rPr>
        <w:t>20</w:t>
      </w:r>
      <w:r>
        <w:rPr>
          <w:snapToGrid w:val="0"/>
        </w:rPr>
        <w:t>.</w:t>
      </w:r>
      <w:r>
        <w:rPr>
          <w:snapToGrid w:val="0"/>
        </w:rPr>
        <w:tab/>
        <w:t>Proceedings under this Act</w:t>
      </w:r>
      <w:bookmarkEnd w:id="71"/>
      <w:bookmarkEnd w:id="72"/>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73" w:name="_Toc241055141"/>
      <w:bookmarkStart w:id="74" w:name="_Toc232398009"/>
      <w:r>
        <w:rPr>
          <w:rStyle w:val="CharSectno"/>
        </w:rPr>
        <w:t>21</w:t>
      </w:r>
      <w:r>
        <w:rPr>
          <w:snapToGrid w:val="0"/>
        </w:rPr>
        <w:t>.</w:t>
      </w:r>
      <w:r>
        <w:rPr>
          <w:snapToGrid w:val="0"/>
        </w:rPr>
        <w:tab/>
        <w:t>Fees payable on registration and annual fee</w:t>
      </w:r>
      <w:bookmarkEnd w:id="73"/>
      <w:bookmarkEnd w:id="74"/>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75" w:name="_Toc241055142"/>
      <w:bookmarkStart w:id="76" w:name="_Toc232398010"/>
      <w:r>
        <w:rPr>
          <w:rStyle w:val="CharSectno"/>
        </w:rPr>
        <w:t>22</w:t>
      </w:r>
      <w:r>
        <w:rPr>
          <w:snapToGrid w:val="0"/>
        </w:rPr>
        <w:t>.</w:t>
      </w:r>
      <w:r>
        <w:rPr>
          <w:snapToGrid w:val="0"/>
        </w:rPr>
        <w:tab/>
        <w:t>Funds of Board</w:t>
      </w:r>
      <w:bookmarkEnd w:id="75"/>
      <w:bookmarkEnd w:id="76"/>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77" w:name="_Toc241055143"/>
      <w:bookmarkStart w:id="78" w:name="_Toc232398011"/>
      <w:r>
        <w:rPr>
          <w:rStyle w:val="CharSectno"/>
        </w:rPr>
        <w:t>23</w:t>
      </w:r>
      <w:r>
        <w:rPr>
          <w:snapToGrid w:val="0"/>
        </w:rPr>
        <w:t>.</w:t>
      </w:r>
      <w:r>
        <w:rPr>
          <w:snapToGrid w:val="0"/>
        </w:rPr>
        <w:tab/>
        <w:t>Accounts of Board</w:t>
      </w:r>
      <w:bookmarkEnd w:id="77"/>
      <w:bookmarkEnd w:id="78"/>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79" w:name="_Toc241055144"/>
      <w:bookmarkStart w:id="80" w:name="_Toc232398012"/>
      <w:r>
        <w:rPr>
          <w:rStyle w:val="CharSectno"/>
        </w:rPr>
        <w:t>23A</w:t>
      </w:r>
      <w:r>
        <w:rPr>
          <w:snapToGrid w:val="0"/>
        </w:rPr>
        <w:t>.</w:t>
      </w:r>
      <w:r>
        <w:rPr>
          <w:snapToGrid w:val="0"/>
        </w:rPr>
        <w:tab/>
        <w:t>Audit of Board’s accounts</w:t>
      </w:r>
      <w:bookmarkEnd w:id="79"/>
      <w:bookmarkEnd w:id="80"/>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81" w:name="_Toc241055145"/>
      <w:bookmarkStart w:id="82" w:name="_Toc232398013"/>
      <w:r>
        <w:rPr>
          <w:rStyle w:val="CharSectno"/>
        </w:rPr>
        <w:t>23B</w:t>
      </w:r>
      <w:r>
        <w:rPr>
          <w:snapToGrid w:val="0"/>
        </w:rPr>
        <w:t>.</w:t>
      </w:r>
      <w:r>
        <w:rPr>
          <w:snapToGrid w:val="0"/>
        </w:rPr>
        <w:tab/>
        <w:t>Annual report of Board</w:t>
      </w:r>
      <w:bookmarkEnd w:id="81"/>
      <w:bookmarkEnd w:id="82"/>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83" w:name="_Toc241055146"/>
      <w:bookmarkStart w:id="84" w:name="_Toc232398014"/>
      <w:r>
        <w:rPr>
          <w:rStyle w:val="CharSectno"/>
        </w:rPr>
        <w:t>24</w:t>
      </w:r>
      <w:r>
        <w:rPr>
          <w:snapToGrid w:val="0"/>
        </w:rPr>
        <w:t>.</w:t>
      </w:r>
      <w:r>
        <w:rPr>
          <w:snapToGrid w:val="0"/>
        </w:rPr>
        <w:tab/>
        <w:t>Board’s power to make rules</w:t>
      </w:r>
      <w:bookmarkEnd w:id="83"/>
      <w:bookmarkEnd w:id="84"/>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85" w:name="_Toc241055147"/>
      <w:bookmarkStart w:id="86" w:name="_Toc232398015"/>
      <w:r>
        <w:rPr>
          <w:rStyle w:val="CharSectno"/>
        </w:rPr>
        <w:t>25</w:t>
      </w:r>
      <w:r>
        <w:rPr>
          <w:snapToGrid w:val="0"/>
        </w:rPr>
        <w:t>.</w:t>
      </w:r>
      <w:r>
        <w:rPr>
          <w:snapToGrid w:val="0"/>
        </w:rPr>
        <w:tab/>
        <w:t>Registrations not to be transferred or assigned</w:t>
      </w:r>
      <w:bookmarkEnd w:id="85"/>
      <w:bookmarkEnd w:id="86"/>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87" w:name="_Toc241055148"/>
      <w:bookmarkStart w:id="88" w:name="_Toc232398016"/>
      <w:r>
        <w:rPr>
          <w:rStyle w:val="CharSectno"/>
        </w:rPr>
        <w:t>26</w:t>
      </w:r>
      <w:r>
        <w:rPr>
          <w:snapToGrid w:val="0"/>
        </w:rPr>
        <w:t>.</w:t>
      </w:r>
      <w:r>
        <w:rPr>
          <w:snapToGrid w:val="0"/>
        </w:rPr>
        <w:tab/>
        <w:t>Offences</w:t>
      </w:r>
      <w:bookmarkEnd w:id="87"/>
      <w:bookmarkEnd w:id="88"/>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89" w:name="_Toc241055149"/>
      <w:bookmarkStart w:id="90" w:name="_Toc232398017"/>
      <w:r>
        <w:rPr>
          <w:rStyle w:val="CharSectno"/>
        </w:rPr>
        <w:t>26A</w:t>
      </w:r>
      <w:r>
        <w:rPr>
          <w:snapToGrid w:val="0"/>
        </w:rPr>
        <w:t>.</w:t>
      </w:r>
      <w:r>
        <w:rPr>
          <w:snapToGrid w:val="0"/>
        </w:rPr>
        <w:tab/>
        <w:t>Offences by body corporate</w:t>
      </w:r>
      <w:bookmarkEnd w:id="89"/>
      <w:bookmarkEnd w:id="90"/>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91" w:name="_Toc241055150"/>
      <w:bookmarkStart w:id="92" w:name="_Toc232398018"/>
      <w:r>
        <w:rPr>
          <w:rStyle w:val="CharSectno"/>
        </w:rPr>
        <w:t>26B</w:t>
      </w:r>
      <w:r>
        <w:rPr>
          <w:snapToGrid w:val="0"/>
        </w:rPr>
        <w:t>.</w:t>
      </w:r>
      <w:r>
        <w:rPr>
          <w:snapToGrid w:val="0"/>
        </w:rPr>
        <w:tab/>
        <w:t>Averment as to application of Act</w:t>
      </w:r>
      <w:bookmarkEnd w:id="91"/>
      <w:bookmarkEnd w:id="92"/>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93" w:name="_Toc241055151"/>
      <w:bookmarkStart w:id="94" w:name="_Toc232398019"/>
      <w:r>
        <w:rPr>
          <w:rStyle w:val="CharSectno"/>
        </w:rPr>
        <w:t>27</w:t>
      </w:r>
      <w:r>
        <w:rPr>
          <w:snapToGrid w:val="0"/>
        </w:rPr>
        <w:t>.</w:t>
      </w:r>
      <w:r>
        <w:rPr>
          <w:snapToGrid w:val="0"/>
        </w:rPr>
        <w:tab/>
        <w:t>Act not to affect Union coverage</w:t>
      </w:r>
      <w:bookmarkEnd w:id="93"/>
      <w:bookmarkEnd w:id="94"/>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5" w:name="_Toc191178956"/>
      <w:bookmarkStart w:id="96" w:name="_Toc191778558"/>
      <w:bookmarkStart w:id="97" w:name="_Toc192560780"/>
      <w:bookmarkStart w:id="98" w:name="_Toc196802359"/>
      <w:bookmarkStart w:id="99" w:name="_Toc232398020"/>
      <w:bookmarkStart w:id="100" w:name="_Toc241055048"/>
      <w:bookmarkStart w:id="101" w:name="_Toc241055152"/>
      <w:r>
        <w:rPr>
          <w:rStyle w:val="CharSchNo"/>
        </w:rPr>
        <w:t>Schedule</w:t>
      </w:r>
      <w:bookmarkEnd w:id="95"/>
      <w:bookmarkEnd w:id="96"/>
      <w:bookmarkEnd w:id="97"/>
      <w:bookmarkEnd w:id="98"/>
      <w:bookmarkEnd w:id="99"/>
      <w:bookmarkEnd w:id="100"/>
      <w:bookmarkEnd w:id="101"/>
    </w:p>
    <w:p>
      <w:pPr>
        <w:pStyle w:val="yShoulderClause"/>
        <w:rPr>
          <w:snapToGrid w:val="0"/>
        </w:rPr>
      </w:pPr>
      <w:r>
        <w:rPr>
          <w:snapToGrid w:val="0"/>
        </w:rPr>
        <w:t>[Section 3]</w:t>
      </w:r>
    </w:p>
    <w:p>
      <w:pPr>
        <w:pStyle w:val="yScheduleHeading2"/>
      </w:pPr>
      <w:r>
        <w:rPr>
          <w:rStyle w:val="CharSchText"/>
        </w:rPr>
        <w:t>Areas within which this Act applies</w:t>
      </w:r>
    </w:p>
    <w:p>
      <w:pPr>
        <w:pStyle w:val="yHeading5"/>
        <w:rPr>
          <w:snapToGrid w:val="0"/>
        </w:rPr>
      </w:pPr>
      <w:bookmarkStart w:id="102" w:name="_Toc241055153"/>
      <w:bookmarkStart w:id="103" w:name="_Toc232398021"/>
      <w:r>
        <w:rPr>
          <w:snapToGrid w:val="0"/>
        </w:rPr>
        <w:t>1.</w:t>
      </w:r>
      <w:r>
        <w:rPr>
          <w:snapToGrid w:val="0"/>
        </w:rPr>
        <w:tab/>
      </w:r>
      <w:r>
        <w:rPr>
          <w:i/>
          <w:iCs/>
          <w:snapToGrid w:val="0"/>
        </w:rPr>
        <w:t>The Metropolitan area</w:t>
      </w:r>
      <w:bookmarkEnd w:id="102"/>
      <w:bookmarkEnd w:id="103"/>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104" w:name="_Toc241055154"/>
      <w:bookmarkStart w:id="105" w:name="_Toc232398022"/>
      <w:r>
        <w:rPr>
          <w:snapToGrid w:val="0"/>
        </w:rPr>
        <w:t>2.</w:t>
      </w:r>
      <w:r>
        <w:rPr>
          <w:snapToGrid w:val="0"/>
        </w:rPr>
        <w:tab/>
      </w:r>
      <w:r>
        <w:rPr>
          <w:i/>
          <w:iCs/>
          <w:snapToGrid w:val="0"/>
        </w:rPr>
        <w:t>Mandurah</w:t>
      </w:r>
      <w:bookmarkEnd w:id="104"/>
      <w:bookmarkEnd w:id="105"/>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6" w:name="_Toc191178959"/>
      <w:bookmarkStart w:id="107" w:name="_Toc191778561"/>
      <w:bookmarkStart w:id="108" w:name="_Toc192560783"/>
      <w:bookmarkStart w:id="109" w:name="_Toc196802362"/>
      <w:bookmarkStart w:id="110" w:name="_Toc232398023"/>
      <w:bookmarkStart w:id="111" w:name="_Toc241055051"/>
      <w:bookmarkStart w:id="112" w:name="_Toc241055155"/>
      <w:r>
        <w:t>Notes</w:t>
      </w:r>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rPr>
          <w:snapToGrid w:val="0"/>
        </w:rPr>
      </w:pPr>
      <w:bookmarkStart w:id="113" w:name="_Toc241055156"/>
      <w:bookmarkStart w:id="114" w:name="_Toc232398024"/>
      <w:r>
        <w:rPr>
          <w:snapToGrid w:val="0"/>
        </w:rPr>
        <w:t>Compilation table</w:t>
      </w:r>
      <w:bookmarkEnd w:id="113"/>
      <w:bookmarkEnd w:id="11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Painters’ Registration Act 1961</w:t>
            </w:r>
          </w:p>
        </w:tc>
        <w:tc>
          <w:tcPr>
            <w:tcW w:w="1134" w:type="dxa"/>
          </w:tcPr>
          <w:p>
            <w:pPr>
              <w:pStyle w:val="nTable"/>
              <w:spacing w:after="40"/>
              <w:rPr>
                <w:sz w:val="19"/>
              </w:rPr>
            </w:pPr>
            <w:r>
              <w:rPr>
                <w:sz w:val="19"/>
              </w:rPr>
              <w:t>61 of 1961</w:t>
            </w:r>
            <w:r>
              <w:rPr>
                <w:sz w:val="19"/>
              </w:rPr>
              <w:br/>
              <w:t>(10 Eliz. II No. 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68" w:type="dxa"/>
          </w:tcPr>
          <w:p>
            <w:pPr>
              <w:pStyle w:val="nTable"/>
              <w:spacing w:after="40"/>
              <w:ind w:right="170"/>
              <w:rPr>
                <w:sz w:val="19"/>
              </w:rPr>
            </w:pPr>
            <w:r>
              <w:rPr>
                <w:i/>
                <w:sz w:val="19"/>
              </w:rPr>
              <w:t>Painters’ Registration Act Amendment Act 1962</w:t>
            </w:r>
          </w:p>
        </w:tc>
        <w:tc>
          <w:tcPr>
            <w:tcW w:w="1134" w:type="dxa"/>
          </w:tcPr>
          <w:p>
            <w:pPr>
              <w:pStyle w:val="nTable"/>
              <w:spacing w:after="40"/>
              <w:rPr>
                <w:sz w:val="19"/>
              </w:rPr>
            </w:pPr>
            <w:r>
              <w:rPr>
                <w:sz w:val="19"/>
              </w:rPr>
              <w:t>42 of 1962</w:t>
            </w:r>
            <w:r>
              <w:rPr>
                <w:sz w:val="19"/>
              </w:rPr>
              <w:br/>
              <w:t>(11 Eliz. II No. 42)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70"/>
              <w:rPr>
                <w:sz w:val="19"/>
              </w:rPr>
            </w:pPr>
            <w:r>
              <w:rPr>
                <w:i/>
                <w:sz w:val="19"/>
              </w:rPr>
              <w:t>Painters’ Registration Act Amendment Act 1963</w:t>
            </w:r>
          </w:p>
        </w:tc>
        <w:tc>
          <w:tcPr>
            <w:tcW w:w="1134" w:type="dxa"/>
          </w:tcPr>
          <w:p>
            <w:pPr>
              <w:pStyle w:val="nTable"/>
              <w:spacing w:after="40"/>
              <w:rPr>
                <w:sz w:val="19"/>
              </w:rPr>
            </w:pPr>
            <w:r>
              <w:rPr>
                <w:sz w:val="19"/>
              </w:rPr>
              <w:t>35 of 1963</w:t>
            </w:r>
            <w:r>
              <w:rPr>
                <w:sz w:val="19"/>
              </w:rPr>
              <w:br/>
              <w:t>(12 Eliz. II No. 35)</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19 Nov 1963</w:t>
            </w:r>
          </w:p>
        </w:tc>
      </w:tr>
      <w:tr>
        <w:trPr>
          <w:cantSplit/>
        </w:trPr>
        <w:tc>
          <w:tcPr>
            <w:tcW w:w="2268" w:type="dxa"/>
          </w:tcPr>
          <w:p>
            <w:pPr>
              <w:pStyle w:val="nTable"/>
              <w:spacing w:after="40"/>
              <w:ind w:right="170"/>
              <w:rPr>
                <w:sz w:val="19"/>
              </w:rPr>
            </w:pPr>
            <w:r>
              <w:rPr>
                <w:i/>
                <w:sz w:val="19"/>
              </w:rPr>
              <w:t>Painters’ Registration Act Amendment Act 1965</w:t>
            </w:r>
          </w:p>
        </w:tc>
        <w:tc>
          <w:tcPr>
            <w:tcW w:w="1134" w:type="dxa"/>
          </w:tcPr>
          <w:p>
            <w:pPr>
              <w:pStyle w:val="nTable"/>
              <w:spacing w:after="40"/>
              <w:rPr>
                <w:sz w:val="19"/>
              </w:rPr>
            </w:pPr>
            <w:r>
              <w:rPr>
                <w:sz w:val="19"/>
              </w:rPr>
              <w:t>75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25 Nov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Painters’ Registration Act Amendment Act 1966</w:t>
            </w:r>
          </w:p>
        </w:tc>
        <w:tc>
          <w:tcPr>
            <w:tcW w:w="1134" w:type="dxa"/>
          </w:tcPr>
          <w:p>
            <w:pPr>
              <w:pStyle w:val="nTable"/>
              <w:spacing w:after="40"/>
              <w:rPr>
                <w:sz w:val="19"/>
              </w:rPr>
            </w:pPr>
            <w:r>
              <w:rPr>
                <w:sz w:val="19"/>
              </w:rPr>
              <w:t>6 of 1966</w:t>
            </w:r>
          </w:p>
        </w:tc>
        <w:tc>
          <w:tcPr>
            <w:tcW w:w="1134" w:type="dxa"/>
          </w:tcPr>
          <w:p>
            <w:pPr>
              <w:pStyle w:val="nTable"/>
              <w:spacing w:after="40"/>
              <w:rPr>
                <w:sz w:val="19"/>
              </w:rPr>
            </w:pPr>
            <w:r>
              <w:rPr>
                <w:sz w:val="19"/>
              </w:rPr>
              <w:t>16 Sep 1966</w:t>
            </w:r>
          </w:p>
        </w:tc>
        <w:tc>
          <w:tcPr>
            <w:tcW w:w="2551" w:type="dxa"/>
          </w:tcPr>
          <w:p>
            <w:pPr>
              <w:pStyle w:val="nTable"/>
              <w:spacing w:after="40"/>
              <w:rPr>
                <w:sz w:val="19"/>
              </w:rPr>
            </w:pPr>
            <w:r>
              <w:rPr>
                <w:sz w:val="19"/>
              </w:rPr>
              <w:t>16 Sep 1966</w:t>
            </w:r>
          </w:p>
        </w:tc>
      </w:tr>
      <w:tr>
        <w:trPr>
          <w:cantSplit/>
        </w:trPr>
        <w:tc>
          <w:tcPr>
            <w:tcW w:w="2268" w:type="dxa"/>
          </w:tcPr>
          <w:p>
            <w:pPr>
              <w:pStyle w:val="nTable"/>
              <w:spacing w:after="40"/>
              <w:ind w:right="170"/>
              <w:rPr>
                <w:sz w:val="19"/>
              </w:rPr>
            </w:pPr>
            <w:r>
              <w:rPr>
                <w:i/>
                <w:sz w:val="19"/>
              </w:rPr>
              <w:t>Painters’ Registration Act Amendment Act 1970</w:t>
            </w:r>
          </w:p>
        </w:tc>
        <w:tc>
          <w:tcPr>
            <w:tcW w:w="1134" w:type="dxa"/>
          </w:tcPr>
          <w:p>
            <w:pPr>
              <w:pStyle w:val="nTable"/>
              <w:spacing w:after="40"/>
              <w:rPr>
                <w:sz w:val="19"/>
              </w:rPr>
            </w:pPr>
            <w:r>
              <w:rPr>
                <w:sz w:val="19"/>
              </w:rPr>
              <w:t>59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cantSplit/>
        </w:trPr>
        <w:tc>
          <w:tcPr>
            <w:tcW w:w="2268" w:type="dxa"/>
          </w:tcPr>
          <w:p>
            <w:pPr>
              <w:pStyle w:val="nTable"/>
              <w:spacing w:after="40"/>
              <w:ind w:right="170"/>
              <w:rPr>
                <w:sz w:val="19"/>
              </w:rPr>
            </w:pPr>
            <w:r>
              <w:rPr>
                <w:i/>
                <w:sz w:val="19"/>
              </w:rPr>
              <w:t>Painters’ Registration Act Amendment Act 1974</w:t>
            </w:r>
          </w:p>
        </w:tc>
        <w:tc>
          <w:tcPr>
            <w:tcW w:w="1134" w:type="dxa"/>
          </w:tcPr>
          <w:p>
            <w:pPr>
              <w:pStyle w:val="nTable"/>
              <w:spacing w:after="40"/>
              <w:rPr>
                <w:sz w:val="19"/>
              </w:rPr>
            </w:pPr>
            <w:r>
              <w:rPr>
                <w:sz w:val="19"/>
              </w:rPr>
              <w:t>68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68" w:type="dxa"/>
          </w:tcPr>
          <w:p>
            <w:pPr>
              <w:pStyle w:val="nTable"/>
              <w:spacing w:after="40"/>
              <w:ind w:right="170"/>
              <w:rPr>
                <w:sz w:val="19"/>
              </w:rPr>
            </w:pPr>
            <w:r>
              <w:rPr>
                <w:i/>
                <w:sz w:val="19"/>
              </w:rPr>
              <w:t>Painters’ Registration Act Amendment Act 1976</w:t>
            </w:r>
          </w:p>
        </w:tc>
        <w:tc>
          <w:tcPr>
            <w:tcW w:w="1134" w:type="dxa"/>
          </w:tcPr>
          <w:p>
            <w:pPr>
              <w:pStyle w:val="nTable"/>
              <w:spacing w:after="40"/>
              <w:rPr>
                <w:sz w:val="19"/>
              </w:rPr>
            </w:pPr>
            <w:r>
              <w:rPr>
                <w:sz w:val="19"/>
              </w:rPr>
              <w:t>78 of 1976</w:t>
            </w:r>
          </w:p>
        </w:tc>
        <w:tc>
          <w:tcPr>
            <w:tcW w:w="1134" w:type="dxa"/>
          </w:tcPr>
          <w:p>
            <w:pPr>
              <w:pStyle w:val="nTable"/>
              <w:spacing w:after="40"/>
              <w:rPr>
                <w:sz w:val="19"/>
              </w:rPr>
            </w:pPr>
            <w:r>
              <w:rPr>
                <w:sz w:val="19"/>
              </w:rPr>
              <w:t>18 Oct 1976</w:t>
            </w:r>
          </w:p>
        </w:tc>
        <w:tc>
          <w:tcPr>
            <w:tcW w:w="2551" w:type="dxa"/>
          </w:tcPr>
          <w:p>
            <w:pPr>
              <w:pStyle w:val="nTable"/>
              <w:spacing w:after="40"/>
              <w:rPr>
                <w:sz w:val="19"/>
              </w:rPr>
            </w:pPr>
            <w:r>
              <w:rPr>
                <w:sz w:val="19"/>
              </w:rPr>
              <w:t>18 Oct 1976</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68"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pPr>
              <w:pStyle w:val="nTable"/>
              <w:spacing w:after="40"/>
              <w:rPr>
                <w:sz w:val="19"/>
              </w:rPr>
            </w:pPr>
            <w:r>
              <w:rPr>
                <w:sz w:val="19"/>
              </w:rPr>
              <w:t>33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68"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36"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pPr>
              <w:pStyle w:val="nTable"/>
              <w:spacing w:after="40"/>
              <w:rPr>
                <w:sz w:val="19"/>
              </w:rPr>
            </w:pPr>
            <w:r>
              <w:rPr>
                <w:sz w:val="19"/>
              </w:rPr>
              <w:t>5 Jan 1993</w:t>
            </w:r>
          </w:p>
        </w:tc>
      </w:tr>
      <w:tr>
        <w:trPr>
          <w:cantSplit/>
        </w:trPr>
        <w:tc>
          <w:tcPr>
            <w:tcW w:w="4536"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pPr>
              <w:pStyle w:val="nTable"/>
              <w:spacing w:after="40"/>
              <w:rPr>
                <w:sz w:val="19"/>
              </w:rPr>
            </w:pPr>
            <w:r>
              <w:rPr>
                <w:sz w:val="19"/>
              </w:rPr>
              <w:t>25 Mar 1994</w:t>
            </w:r>
          </w:p>
        </w:tc>
      </w:tr>
      <w:tr>
        <w:trPr>
          <w:cantSplit/>
        </w:trPr>
        <w:tc>
          <w:tcPr>
            <w:tcW w:w="4536"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pPr>
              <w:pStyle w:val="nTable"/>
              <w:spacing w:after="40"/>
              <w:rPr>
                <w:sz w:val="19"/>
              </w:rPr>
            </w:pPr>
            <w:r>
              <w:rPr>
                <w:sz w:val="19"/>
              </w:rPr>
              <w:t>20 May 1994</w:t>
            </w:r>
          </w:p>
        </w:tc>
      </w:tr>
      <w:tr>
        <w:trPr>
          <w:cantSplit/>
        </w:trPr>
        <w:tc>
          <w:tcPr>
            <w:tcW w:w="4536"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pPr>
              <w:pStyle w:val="nTable"/>
              <w:spacing w:after="40"/>
              <w:rPr>
                <w:sz w:val="19"/>
              </w:rPr>
            </w:pPr>
            <w:r>
              <w:rPr>
                <w:sz w:val="19"/>
              </w:rPr>
              <w:t>1 Feb 1995 (see r.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47</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68"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1"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115" w:author="svcMRProcess" w:date="2015-11-05T09:44:00Z"/>
        </w:trPr>
        <w:tc>
          <w:tcPr>
            <w:tcW w:w="2269" w:type="dxa"/>
            <w:tcBorders>
              <w:bottom w:val="single" w:sz="4" w:space="0" w:color="auto"/>
            </w:tcBorders>
          </w:tcPr>
          <w:p>
            <w:pPr>
              <w:pStyle w:val="nTable"/>
              <w:spacing w:after="40"/>
              <w:rPr>
                <w:ins w:id="116" w:author="svcMRProcess" w:date="2015-11-05T09:44:00Z"/>
                <w:iCs/>
                <w:snapToGrid w:val="0"/>
                <w:sz w:val="19"/>
              </w:rPr>
            </w:pPr>
            <w:ins w:id="117" w:author="svcMRProcess" w:date="2015-11-05T09:44:00Z">
              <w:r>
                <w:rPr>
                  <w:i/>
                  <w:snapToGrid w:val="0"/>
                  <w:sz w:val="19"/>
                </w:rPr>
                <w:t>Acts Amendment (Bankruptcy) Act 2009</w:t>
              </w:r>
              <w:r>
                <w:rPr>
                  <w:iCs/>
                  <w:snapToGrid w:val="0"/>
                  <w:sz w:val="19"/>
                </w:rPr>
                <w:t xml:space="preserve"> s. 61</w:t>
              </w:r>
            </w:ins>
          </w:p>
        </w:tc>
        <w:tc>
          <w:tcPr>
            <w:tcW w:w="1134" w:type="dxa"/>
            <w:tcBorders>
              <w:bottom w:val="single" w:sz="4" w:space="0" w:color="auto"/>
            </w:tcBorders>
          </w:tcPr>
          <w:p>
            <w:pPr>
              <w:pStyle w:val="nTable"/>
              <w:spacing w:after="40"/>
              <w:rPr>
                <w:ins w:id="118" w:author="svcMRProcess" w:date="2015-11-05T09:44:00Z"/>
                <w:sz w:val="19"/>
              </w:rPr>
            </w:pPr>
            <w:ins w:id="119" w:author="svcMRProcess" w:date="2015-11-05T09:44:00Z">
              <w:r>
                <w:rPr>
                  <w:sz w:val="19"/>
                </w:rPr>
                <w:t>18 of 2009</w:t>
              </w:r>
            </w:ins>
          </w:p>
        </w:tc>
        <w:tc>
          <w:tcPr>
            <w:tcW w:w="1134" w:type="dxa"/>
            <w:tcBorders>
              <w:bottom w:val="single" w:sz="4" w:space="0" w:color="auto"/>
            </w:tcBorders>
          </w:tcPr>
          <w:p>
            <w:pPr>
              <w:pStyle w:val="nTable"/>
              <w:spacing w:after="40"/>
              <w:rPr>
                <w:ins w:id="120" w:author="svcMRProcess" w:date="2015-11-05T09:44:00Z"/>
                <w:sz w:val="19"/>
              </w:rPr>
            </w:pPr>
            <w:ins w:id="121" w:author="svcMRProcess" w:date="2015-11-05T09:44:00Z">
              <w:r>
                <w:rPr>
                  <w:sz w:val="19"/>
                </w:rPr>
                <w:t>16 Sep 2009</w:t>
              </w:r>
            </w:ins>
          </w:p>
        </w:tc>
        <w:tc>
          <w:tcPr>
            <w:tcW w:w="2552" w:type="dxa"/>
            <w:tcBorders>
              <w:bottom w:val="single" w:sz="4" w:space="0" w:color="auto"/>
            </w:tcBorders>
          </w:tcPr>
          <w:p>
            <w:pPr>
              <w:pStyle w:val="nTable"/>
              <w:spacing w:after="40"/>
              <w:rPr>
                <w:ins w:id="122" w:author="svcMRProcess" w:date="2015-11-05T09:44:00Z"/>
                <w:sz w:val="19"/>
              </w:rPr>
            </w:pPr>
            <w:ins w:id="123" w:author="svcMRProcess" w:date="2015-11-05T09:44:00Z">
              <w:r>
                <w:rPr>
                  <w:sz w:val="19"/>
                </w:rPr>
                <w:t>17 Sep 2009 (see s. 2(b))</w:t>
              </w:r>
            </w:ins>
          </w:p>
        </w:tc>
      </w:tr>
    </w:tbl>
    <w:p>
      <w:pPr>
        <w:pStyle w:val="nSubsection"/>
        <w:rPr>
          <w:ins w:id="124" w:author="svcMRProcess" w:date="2015-11-05T09:44:00Z"/>
          <w:vertAlign w:val="superscript"/>
        </w:rPr>
      </w:pPr>
    </w:p>
    <w:p>
      <w:pPr>
        <w:pStyle w:val="nSubsection"/>
        <w:rPr>
          <w:snapToGrid w:val="0"/>
        </w:rPr>
      </w:pPr>
      <w:bookmarkStart w:id="125" w:name="UpToHere"/>
      <w:bookmarkEnd w:id="125"/>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pPr>
        <w:pStyle w:val="MiscOpen"/>
        <w:keepNext w:val="0"/>
        <w:spacing w:before="60"/>
        <w:rPr>
          <w:sz w:val="20"/>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8937</Words>
  <Characters>42635</Characters>
  <Application>Microsoft Office Word</Application>
  <DocSecurity>0</DocSecurity>
  <Lines>1093</Lines>
  <Paragraphs>491</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04-f0-02 - 04-g0-01</dc:title>
  <dc:subject/>
  <dc:creator/>
  <cp:keywords/>
  <dc:description/>
  <cp:lastModifiedBy>svcMRProcess</cp:lastModifiedBy>
  <cp:revision>2</cp:revision>
  <cp:lastPrinted>2008-02-26T00:40:00Z</cp:lastPrinted>
  <dcterms:created xsi:type="dcterms:W3CDTF">2015-11-05T01:44:00Z</dcterms:created>
  <dcterms:modified xsi:type="dcterms:W3CDTF">2015-11-05T01:44:00Z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566</vt:i4>
  </property>
  <property fmtid="{D5CDD505-2E9C-101B-9397-08002B2CF9AE}" pid="6" name="ReprintNo">
    <vt:lpwstr>4</vt:lpwstr>
  </property>
  <property fmtid="{D5CDD505-2E9C-101B-9397-08002B2CF9AE}" pid="7" name="FromSuffix">
    <vt:lpwstr>04-f0-02</vt:lpwstr>
  </property>
  <property fmtid="{D5CDD505-2E9C-101B-9397-08002B2CF9AE}" pid="8" name="FromAsAtDate">
    <vt:lpwstr>10 Jun 2009</vt:lpwstr>
  </property>
  <property fmtid="{D5CDD505-2E9C-101B-9397-08002B2CF9AE}" pid="9" name="ToSuffix">
    <vt:lpwstr>04-g0-01</vt:lpwstr>
  </property>
  <property fmtid="{D5CDD505-2E9C-101B-9397-08002B2CF9AE}" pid="10" name="ToAsAtDate">
    <vt:lpwstr>17 Sep 2009</vt:lpwstr>
  </property>
</Properties>
</file>