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Plant Diseases Act 1914 </w:t>
      </w:r>
    </w:p>
    <w:p>
      <w:pPr>
        <w:pStyle w:val="LongTitle"/>
        <w:rPr>
          <w:snapToGrid w:val="0"/>
        </w:rPr>
      </w:pPr>
      <w:r>
        <w:rPr>
          <w:snapToGrid w:val="0"/>
        </w:rPr>
        <w:t>A</w:t>
      </w:r>
      <w:bookmarkStart w:id="0" w:name="_GoBack"/>
      <w:bookmarkEnd w:id="0"/>
      <w:r>
        <w:rPr>
          <w:snapToGrid w:val="0"/>
        </w:rPr>
        <w:t xml:space="preserve">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1" w:name="_Toc529679965"/>
      <w:bookmarkStart w:id="2" w:name="_Toc530447785"/>
      <w:bookmarkStart w:id="3" w:name="_Toc102907655"/>
      <w:bookmarkStart w:id="4" w:name="_Toc157938840"/>
      <w:bookmarkStart w:id="5" w:name="_Toc155598956"/>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Repealed by No. 51 of 1984 s. 3.] </w:t>
      </w:r>
    </w:p>
    <w:p>
      <w:pPr>
        <w:pStyle w:val="Heading5"/>
        <w:rPr>
          <w:snapToGrid w:val="0"/>
        </w:rPr>
      </w:pPr>
      <w:bookmarkStart w:id="6" w:name="_Toc529679967"/>
      <w:bookmarkStart w:id="7" w:name="_Toc530447787"/>
      <w:bookmarkStart w:id="8" w:name="_Toc102907656"/>
      <w:bookmarkStart w:id="9" w:name="_Toc157938841"/>
      <w:bookmarkStart w:id="10" w:name="_Toc155598957"/>
      <w:r>
        <w:rPr>
          <w:rStyle w:val="CharSectno"/>
        </w:rPr>
        <w:t>4</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authorised inspector</w:t>
      </w:r>
      <w:r>
        <w:rPr>
          <w:b/>
        </w:rPr>
        <w:t>”</w:t>
      </w:r>
      <w:r>
        <w:t xml:space="preserve"> means an inspector appointed under section 7A;</w:t>
      </w:r>
    </w:p>
    <w:p>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pPr>
        <w:pStyle w:val="Defstart"/>
      </w:pPr>
      <w:r>
        <w:rPr>
          <w:b/>
        </w:rPr>
        <w:tab/>
        <w:t>“</w:t>
      </w:r>
      <w:r>
        <w:rPr>
          <w:rStyle w:val="CharDefText"/>
        </w:rPr>
        <w:t>Director General</w:t>
      </w:r>
      <w:r>
        <w:rPr>
          <w:b/>
        </w:rPr>
        <w:t>”</w:t>
      </w:r>
      <w:r>
        <w:t xml:space="preserve"> means Director General of Agriculture or a person authorised by him;</w:t>
      </w:r>
    </w:p>
    <w:p>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pPr>
        <w:pStyle w:val="Defstart"/>
      </w:pPr>
      <w:r>
        <w:rPr>
          <w:b/>
        </w:rPr>
        <w:tab/>
        <w:t>“</w:t>
      </w:r>
      <w:r>
        <w:rPr>
          <w:rStyle w:val="CharDefText"/>
        </w:rPr>
        <w:t>infected</w:t>
      </w:r>
      <w:r>
        <w:rPr>
          <w:b/>
        </w:rPr>
        <w:t>”</w:t>
      </w:r>
      <w:r>
        <w:t xml:space="preserve"> means actually infected with disease or liable, by reason of contact or proximity, to be infected;</w:t>
      </w:r>
    </w:p>
    <w:p>
      <w:pPr>
        <w:pStyle w:val="Defstart"/>
      </w:pPr>
      <w:r>
        <w:rPr>
          <w:b/>
        </w:rPr>
        <w:tab/>
        <w:t>“</w:t>
      </w:r>
      <w:r>
        <w:rPr>
          <w:rStyle w:val="CharDefText"/>
        </w:rPr>
        <w:t>inspector</w:t>
      </w:r>
      <w:r>
        <w:rPr>
          <w:b/>
        </w:rPr>
        <w:t>”</w:t>
      </w:r>
      <w:r>
        <w:t xml:space="preserve"> means a person appointed as an inspector under or for the purposes of this Act;</w:t>
      </w:r>
    </w:p>
    <w:p>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pPr>
      <w:r>
        <w:rPr>
          <w:b/>
        </w:rPr>
        <w:tab/>
        <w:t>“</w:t>
      </w:r>
      <w:r>
        <w:rPr>
          <w:rStyle w:val="CharDefText"/>
        </w:rPr>
        <w:t>plant</w:t>
      </w:r>
      <w:r>
        <w:rPr>
          <w:b/>
        </w:rPr>
        <w:t>”</w:t>
      </w:r>
      <w:r>
        <w:t xml:space="preserve"> includes any part of a plant, and extends to fruit;</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pPr>
        <w:pStyle w:val="Footnotesection"/>
      </w:pPr>
      <w:r>
        <w:tab/>
        <w:t xml:space="preserve">[Section 4 amended by No. 3 of 1949 s. 3; No. 3 of 1974 s. 3; No. 51 of 1984 s. 4; No. 40 of 1993 s. 4.] </w:t>
      </w:r>
    </w:p>
    <w:p>
      <w:pPr>
        <w:pStyle w:val="Heading5"/>
        <w:rPr>
          <w:snapToGrid w:val="0"/>
        </w:rPr>
      </w:pPr>
      <w:bookmarkStart w:id="11" w:name="_Toc529679968"/>
      <w:bookmarkStart w:id="12" w:name="_Toc530447788"/>
      <w:bookmarkStart w:id="13" w:name="_Toc102907657"/>
      <w:bookmarkStart w:id="14" w:name="_Toc157938842"/>
      <w:bookmarkStart w:id="15" w:name="_Toc155598958"/>
      <w:r>
        <w:rPr>
          <w:rStyle w:val="CharSectno"/>
        </w:rPr>
        <w:t>5</w:t>
      </w:r>
      <w:r>
        <w:rPr>
          <w:snapToGrid w:val="0"/>
        </w:rPr>
        <w:t>.</w:t>
      </w:r>
      <w:r>
        <w:rPr>
          <w:snapToGrid w:val="0"/>
        </w:rPr>
        <w:tab/>
        <w:t>Purposes of this Act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Repealed by No. 51 of 1984 s. 6.] </w:t>
      </w:r>
    </w:p>
    <w:p>
      <w:pPr>
        <w:pStyle w:val="Heading5"/>
        <w:rPr>
          <w:snapToGrid w:val="0"/>
        </w:rPr>
      </w:pPr>
      <w:bookmarkStart w:id="16" w:name="_Toc529679969"/>
      <w:bookmarkStart w:id="17" w:name="_Toc530447789"/>
      <w:bookmarkStart w:id="18" w:name="_Toc102907658"/>
      <w:bookmarkStart w:id="19" w:name="_Toc157938843"/>
      <w:bookmarkStart w:id="20" w:name="_Toc155598959"/>
      <w:r>
        <w:rPr>
          <w:rStyle w:val="CharSectno"/>
        </w:rPr>
        <w:t>6A</w:t>
      </w:r>
      <w:r>
        <w:rPr>
          <w:snapToGrid w:val="0"/>
        </w:rPr>
        <w:t>.</w:t>
      </w:r>
      <w:r>
        <w:rPr>
          <w:snapToGrid w:val="0"/>
        </w:rPr>
        <w:tab/>
        <w:t>Inspector’s powers of detention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21" w:name="_Toc529679970"/>
      <w:bookmarkStart w:id="22" w:name="_Toc530447790"/>
      <w:bookmarkStart w:id="23" w:name="_Toc102907659"/>
      <w:bookmarkStart w:id="24" w:name="_Toc157938844"/>
      <w:bookmarkStart w:id="25" w:name="_Toc155598960"/>
      <w:r>
        <w:rPr>
          <w:rStyle w:val="CharSectno"/>
        </w:rPr>
        <w:t>7</w:t>
      </w:r>
      <w:r>
        <w:rPr>
          <w:snapToGrid w:val="0"/>
        </w:rPr>
        <w:t>.</w:t>
      </w:r>
      <w:r>
        <w:rPr>
          <w:snapToGrid w:val="0"/>
        </w:rPr>
        <w:tab/>
        <w:t>Appointment of officers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26" w:name="_Toc529679971"/>
      <w:bookmarkStart w:id="27" w:name="_Toc530447791"/>
      <w:bookmarkStart w:id="28" w:name="_Toc102907660"/>
      <w:bookmarkStart w:id="29" w:name="_Toc157938845"/>
      <w:bookmarkStart w:id="30" w:name="_Toc155598961"/>
      <w:r>
        <w:rPr>
          <w:rStyle w:val="CharSectno"/>
        </w:rPr>
        <w:t>7A</w:t>
      </w:r>
      <w:r>
        <w:rPr>
          <w:snapToGrid w:val="0"/>
        </w:rPr>
        <w:t>.</w:t>
      </w:r>
      <w:r>
        <w:rPr>
          <w:snapToGrid w:val="0"/>
        </w:rPr>
        <w:tab/>
        <w:t>Authorised inspector</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spacing w:before="120"/>
        <w:rPr>
          <w:snapToGrid w:val="0"/>
        </w:rPr>
      </w:pPr>
      <w:bookmarkStart w:id="31" w:name="_Toc529679972"/>
      <w:bookmarkStart w:id="32" w:name="_Toc530447792"/>
      <w:bookmarkStart w:id="33" w:name="_Toc102907661"/>
      <w:bookmarkStart w:id="34" w:name="_Toc157938846"/>
      <w:bookmarkStart w:id="35" w:name="_Toc155598962"/>
      <w:r>
        <w:rPr>
          <w:rStyle w:val="CharSectno"/>
        </w:rPr>
        <w:t>7B</w:t>
      </w:r>
      <w:r>
        <w:rPr>
          <w:snapToGrid w:val="0"/>
        </w:rPr>
        <w:t>.</w:t>
      </w:r>
      <w:r>
        <w:rPr>
          <w:snapToGrid w:val="0"/>
        </w:rPr>
        <w:tab/>
        <w:t>Relationship to Public Service</w:t>
      </w:r>
      <w:bookmarkEnd w:id="31"/>
      <w:bookmarkEnd w:id="32"/>
      <w:bookmarkEnd w:id="33"/>
      <w:bookmarkEnd w:id="34"/>
      <w:bookmarkEnd w:id="35"/>
      <w:r>
        <w:rPr>
          <w:snapToGrid w:val="0"/>
        </w:rPr>
        <w:t xml:space="preserve"> </w:t>
      </w:r>
    </w:p>
    <w:p>
      <w:pPr>
        <w:pStyle w:val="Subsection"/>
        <w:spacing w:before="100"/>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spacing w:before="120"/>
        <w:rPr>
          <w:snapToGrid w:val="0"/>
        </w:rPr>
      </w:pPr>
      <w:bookmarkStart w:id="36" w:name="_Toc529679973"/>
      <w:bookmarkStart w:id="37" w:name="_Toc530447793"/>
      <w:bookmarkStart w:id="38" w:name="_Toc102907662"/>
      <w:bookmarkStart w:id="39" w:name="_Toc157938847"/>
      <w:bookmarkStart w:id="40" w:name="_Toc155598963"/>
      <w:r>
        <w:rPr>
          <w:rStyle w:val="CharSectno"/>
        </w:rPr>
        <w:t>7C</w:t>
      </w:r>
      <w:r>
        <w:rPr>
          <w:snapToGrid w:val="0"/>
        </w:rPr>
        <w:t>.</w:t>
      </w:r>
      <w:r>
        <w:rPr>
          <w:snapToGrid w:val="0"/>
        </w:rPr>
        <w:tab/>
        <w:t>Arrangements for services</w:t>
      </w:r>
      <w:bookmarkEnd w:id="36"/>
      <w:bookmarkEnd w:id="37"/>
      <w:bookmarkEnd w:id="38"/>
      <w:bookmarkEnd w:id="39"/>
      <w:bookmarkEnd w:id="40"/>
      <w:r>
        <w:rPr>
          <w:snapToGrid w:val="0"/>
        </w:rPr>
        <w:t xml:space="preserve"> </w:t>
      </w:r>
    </w:p>
    <w:p>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spacing w:before="120"/>
        <w:ind w:left="890" w:hanging="890"/>
      </w:pPr>
      <w:r>
        <w:t>[</w:t>
      </w:r>
      <w:r>
        <w:rPr>
          <w:b/>
        </w:rPr>
        <w:t>8.</w:t>
      </w:r>
      <w:r>
        <w:tab/>
      </w:r>
      <w:r>
        <w:tab/>
        <w:t xml:space="preserve">Repealed by No. 55 of 1981 s. 2.] </w:t>
      </w:r>
    </w:p>
    <w:p>
      <w:pPr>
        <w:pStyle w:val="Ednotesection"/>
        <w:spacing w:before="120"/>
        <w:ind w:left="890" w:hanging="890"/>
      </w:pPr>
      <w:r>
        <w:t>[</w:t>
      </w:r>
      <w:r>
        <w:rPr>
          <w:b/>
        </w:rPr>
        <w:t>9.</w:t>
      </w:r>
      <w:r>
        <w:tab/>
      </w:r>
      <w:r>
        <w:tab/>
        <w:t xml:space="preserve">Repealed by No. 40 of 1993 s. 6.] </w:t>
      </w:r>
    </w:p>
    <w:p>
      <w:pPr>
        <w:pStyle w:val="Heading5"/>
        <w:spacing w:before="120"/>
        <w:rPr>
          <w:snapToGrid w:val="0"/>
        </w:rPr>
      </w:pPr>
      <w:bookmarkStart w:id="41" w:name="_Toc529679974"/>
      <w:bookmarkStart w:id="42" w:name="_Toc530447794"/>
      <w:bookmarkStart w:id="43" w:name="_Toc102907663"/>
      <w:bookmarkStart w:id="44" w:name="_Toc157938848"/>
      <w:bookmarkStart w:id="45" w:name="_Toc155598964"/>
      <w:r>
        <w:rPr>
          <w:rStyle w:val="CharSectno"/>
        </w:rPr>
        <w:t>10</w:t>
      </w:r>
      <w:r>
        <w:rPr>
          <w:snapToGrid w:val="0"/>
        </w:rPr>
        <w:t>.</w:t>
      </w:r>
      <w:r>
        <w:rPr>
          <w:snapToGrid w:val="0"/>
        </w:rPr>
        <w:tab/>
        <w:t>Notice to be given of appearance of disease</w:t>
      </w:r>
      <w:bookmarkEnd w:id="41"/>
      <w:bookmarkEnd w:id="42"/>
      <w:bookmarkEnd w:id="43"/>
      <w:bookmarkEnd w:id="44"/>
      <w:bookmarkEnd w:id="45"/>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46" w:name="_Toc529679975"/>
      <w:bookmarkStart w:id="47" w:name="_Toc530447795"/>
      <w:bookmarkStart w:id="48" w:name="_Toc102907664"/>
      <w:bookmarkStart w:id="49" w:name="_Toc157938849"/>
      <w:bookmarkStart w:id="50" w:name="_Toc155598965"/>
      <w:r>
        <w:rPr>
          <w:rStyle w:val="CharSectno"/>
        </w:rPr>
        <w:t>11</w:t>
      </w:r>
      <w:r>
        <w:rPr>
          <w:snapToGrid w:val="0"/>
        </w:rPr>
        <w:t>.</w:t>
      </w:r>
      <w:r>
        <w:rPr>
          <w:snapToGrid w:val="0"/>
        </w:rPr>
        <w:tab/>
        <w:t>Obligation to carry out treatment for plant diseases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spacing w:before="120"/>
        <w:rPr>
          <w:snapToGrid w:val="0"/>
        </w:rPr>
      </w:pPr>
      <w:bookmarkStart w:id="51" w:name="_Toc529679976"/>
      <w:bookmarkStart w:id="52" w:name="_Toc530447796"/>
      <w:bookmarkStart w:id="53" w:name="_Toc102907665"/>
      <w:bookmarkStart w:id="54" w:name="_Toc157938850"/>
      <w:bookmarkStart w:id="55" w:name="_Toc155598966"/>
      <w:r>
        <w:rPr>
          <w:rStyle w:val="CharSectno"/>
        </w:rPr>
        <w:t>12</w:t>
      </w:r>
      <w:r>
        <w:rPr>
          <w:snapToGrid w:val="0"/>
        </w:rPr>
        <w:t>.</w:t>
      </w:r>
      <w:r>
        <w:rPr>
          <w:snapToGrid w:val="0"/>
        </w:rPr>
        <w:tab/>
        <w:t>Minister may declare certain areas to be infected</w:t>
      </w:r>
      <w:bookmarkEnd w:id="51"/>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spacing w:before="120"/>
        <w:ind w:left="890" w:hanging="890"/>
      </w:pPr>
      <w:r>
        <w:t>[</w:t>
      </w:r>
      <w:r>
        <w:rPr>
          <w:b/>
        </w:rPr>
        <w:t>12A-12F.</w:t>
      </w:r>
      <w:r>
        <w:tab/>
        <w:t>Repealed by No. 40 of 1993 s. 9.]</w:t>
      </w:r>
    </w:p>
    <w:p>
      <w:pPr>
        <w:pStyle w:val="Heading5"/>
        <w:spacing w:before="120"/>
        <w:rPr>
          <w:snapToGrid w:val="0"/>
        </w:rPr>
      </w:pPr>
      <w:bookmarkStart w:id="56" w:name="_Toc529679977"/>
      <w:bookmarkStart w:id="57" w:name="_Toc530447797"/>
      <w:bookmarkStart w:id="58" w:name="_Toc102907666"/>
      <w:bookmarkStart w:id="59" w:name="_Toc157938851"/>
      <w:bookmarkStart w:id="60" w:name="_Toc155598967"/>
      <w:r>
        <w:rPr>
          <w:rStyle w:val="CharSectno"/>
        </w:rPr>
        <w:t>13</w:t>
      </w:r>
      <w:r>
        <w:rPr>
          <w:snapToGrid w:val="0"/>
        </w:rPr>
        <w:t>.</w:t>
      </w:r>
      <w:r>
        <w:rPr>
          <w:snapToGrid w:val="0"/>
        </w:rPr>
        <w:tab/>
        <w:t>Power of entry and search</w:t>
      </w:r>
      <w:bookmarkEnd w:id="56"/>
      <w:bookmarkEnd w:id="57"/>
      <w:bookmarkEnd w:id="58"/>
      <w:bookmarkEnd w:id="59"/>
      <w:bookmarkEnd w:id="60"/>
      <w:r>
        <w:rPr>
          <w:snapToGrid w:val="0"/>
        </w:rPr>
        <w:t xml:space="preserve"> </w:t>
      </w:r>
    </w:p>
    <w:p>
      <w:pPr>
        <w:pStyle w:val="Subsection"/>
        <w:spacing w:before="100"/>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54 of 1981 s. 13; No. 40 of 1993 s. 10.] </w:t>
      </w:r>
    </w:p>
    <w:p>
      <w:pPr>
        <w:pStyle w:val="Heading5"/>
        <w:rPr>
          <w:snapToGrid w:val="0"/>
        </w:rPr>
      </w:pPr>
      <w:bookmarkStart w:id="61" w:name="_Toc529679978"/>
      <w:bookmarkStart w:id="62" w:name="_Toc530447798"/>
      <w:bookmarkStart w:id="63" w:name="_Toc102907667"/>
      <w:bookmarkStart w:id="64" w:name="_Toc157938852"/>
      <w:bookmarkStart w:id="65" w:name="_Toc155598968"/>
      <w:r>
        <w:rPr>
          <w:rStyle w:val="CharSectno"/>
        </w:rPr>
        <w:t>14</w:t>
      </w:r>
      <w:r>
        <w:rPr>
          <w:snapToGrid w:val="0"/>
        </w:rPr>
        <w:t>.</w:t>
      </w:r>
      <w:r>
        <w:rPr>
          <w:snapToGrid w:val="0"/>
        </w:rPr>
        <w:tab/>
        <w:t>Steps to be taken by inspector when orchard infected</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66" w:name="_Toc529679979"/>
      <w:bookmarkStart w:id="67" w:name="_Toc530447799"/>
      <w:bookmarkStart w:id="68" w:name="_Toc102907668"/>
      <w:bookmarkStart w:id="69" w:name="_Toc157938853"/>
      <w:bookmarkStart w:id="70" w:name="_Toc155598969"/>
      <w:r>
        <w:rPr>
          <w:rStyle w:val="CharSectno"/>
        </w:rPr>
        <w:t>15</w:t>
      </w:r>
      <w:r>
        <w:rPr>
          <w:snapToGrid w:val="0"/>
        </w:rPr>
        <w:t>.</w:t>
      </w:r>
      <w:r>
        <w:rPr>
          <w:snapToGrid w:val="0"/>
        </w:rPr>
        <w:tab/>
        <w:t>Declaration of infected places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71" w:name="_Toc529679980"/>
      <w:bookmarkStart w:id="72" w:name="_Toc530447800"/>
      <w:bookmarkStart w:id="73" w:name="_Toc102907669"/>
      <w:bookmarkStart w:id="74" w:name="_Toc157938854"/>
      <w:bookmarkStart w:id="75" w:name="_Toc155598970"/>
      <w:r>
        <w:rPr>
          <w:rStyle w:val="CharSectno"/>
        </w:rPr>
        <w:t>16</w:t>
      </w:r>
      <w:r>
        <w:rPr>
          <w:snapToGrid w:val="0"/>
        </w:rPr>
        <w:t>.</w:t>
      </w:r>
      <w:r>
        <w:rPr>
          <w:snapToGrid w:val="0"/>
        </w:rPr>
        <w:tab/>
        <w:t>Power to order infected things to be dealt with so as to eradicate disease</w:t>
      </w:r>
      <w:bookmarkEnd w:id="71"/>
      <w:bookmarkEnd w:id="72"/>
      <w:r>
        <w:rPr>
          <w:snapToGrid w:val="0"/>
          <w:vertAlign w:val="superscript"/>
        </w:rPr>
        <w:t> 4</w:t>
      </w:r>
      <w:bookmarkEnd w:id="73"/>
      <w:bookmarkEnd w:id="74"/>
      <w:bookmarkEnd w:id="75"/>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spacing w:before="120"/>
        <w:rPr>
          <w:snapToGrid w:val="0"/>
        </w:rPr>
      </w:pPr>
      <w:bookmarkStart w:id="76" w:name="_Toc529679981"/>
      <w:bookmarkStart w:id="77" w:name="_Toc530447801"/>
      <w:bookmarkStart w:id="78" w:name="_Toc102907670"/>
      <w:bookmarkStart w:id="79" w:name="_Toc157938855"/>
      <w:bookmarkStart w:id="80" w:name="_Toc155598971"/>
      <w:r>
        <w:rPr>
          <w:rStyle w:val="CharSectno"/>
        </w:rPr>
        <w:t>17</w:t>
      </w:r>
      <w:r>
        <w:rPr>
          <w:snapToGrid w:val="0"/>
        </w:rPr>
        <w:t>.</w:t>
      </w:r>
      <w:r>
        <w:rPr>
          <w:snapToGrid w:val="0"/>
        </w:rPr>
        <w:tab/>
        <w:t>Power to destroy infected plants, coverings etc.</w:t>
      </w:r>
      <w:bookmarkEnd w:id="76"/>
      <w:bookmarkEnd w:id="77"/>
      <w:bookmarkEnd w:id="78"/>
      <w:bookmarkEnd w:id="79"/>
      <w:bookmarkEnd w:id="80"/>
      <w:r>
        <w:rPr>
          <w:snapToGrid w:val="0"/>
        </w:rPr>
        <w:t xml:space="preserve"> </w:t>
      </w:r>
    </w:p>
    <w:p>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spacing w:before="120"/>
        <w:rPr>
          <w:snapToGrid w:val="0"/>
        </w:rPr>
      </w:pPr>
      <w:bookmarkStart w:id="81" w:name="_Toc529679982"/>
      <w:bookmarkStart w:id="82" w:name="_Toc530447802"/>
      <w:bookmarkStart w:id="83" w:name="_Toc102907671"/>
      <w:bookmarkStart w:id="84" w:name="_Toc157938856"/>
      <w:bookmarkStart w:id="85" w:name="_Toc155598972"/>
      <w:r>
        <w:rPr>
          <w:rStyle w:val="CharSectno"/>
        </w:rPr>
        <w:t>17A</w:t>
      </w:r>
      <w:r>
        <w:rPr>
          <w:snapToGrid w:val="0"/>
        </w:rPr>
        <w:t>.</w:t>
      </w:r>
      <w:r>
        <w:rPr>
          <w:snapToGrid w:val="0"/>
        </w:rPr>
        <w:tab/>
        <w:t xml:space="preserve">Powers under the </w:t>
      </w:r>
      <w:bookmarkEnd w:id="81"/>
      <w:bookmarkEnd w:id="82"/>
      <w:r>
        <w:rPr>
          <w:i/>
          <w:snapToGrid w:val="0"/>
        </w:rPr>
        <w:t>Agricultural Produce Commission Act 1988</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spacing w:before="120"/>
        <w:rPr>
          <w:snapToGrid w:val="0"/>
        </w:rPr>
      </w:pPr>
      <w:bookmarkStart w:id="86" w:name="_Toc529679983"/>
      <w:bookmarkStart w:id="87" w:name="_Toc530447803"/>
      <w:bookmarkStart w:id="88" w:name="_Toc102907672"/>
      <w:bookmarkStart w:id="89" w:name="_Toc157938857"/>
      <w:bookmarkStart w:id="90" w:name="_Toc155598973"/>
      <w:r>
        <w:rPr>
          <w:rStyle w:val="CharSectno"/>
        </w:rPr>
        <w:t>18</w:t>
      </w:r>
      <w:r>
        <w:rPr>
          <w:snapToGrid w:val="0"/>
        </w:rPr>
        <w:t>.</w:t>
      </w:r>
      <w:r>
        <w:rPr>
          <w:snapToGrid w:val="0"/>
        </w:rPr>
        <w:tab/>
        <w:t>Power to require owner or occupier of orchard to take steps to prevent spread of disease</w:t>
      </w:r>
      <w:bookmarkEnd w:id="86"/>
      <w:bookmarkEnd w:id="87"/>
      <w:r>
        <w:rPr>
          <w:snapToGrid w:val="0"/>
          <w:vertAlign w:val="superscript"/>
        </w:rPr>
        <w:t> 4</w:t>
      </w:r>
      <w:bookmarkEnd w:id="88"/>
      <w:bookmarkEnd w:id="89"/>
      <w:bookmarkEnd w:id="90"/>
    </w:p>
    <w:p>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 amended by No. 55 of 2004 s. 945.]</w:t>
      </w:r>
    </w:p>
    <w:p>
      <w:pPr>
        <w:pStyle w:val="Ednotesection"/>
        <w:ind w:left="890" w:hanging="890"/>
      </w:pPr>
      <w:r>
        <w:t>[</w:t>
      </w:r>
      <w:r>
        <w:rPr>
          <w:b/>
        </w:rPr>
        <w:t>19 and 20.</w:t>
      </w:r>
      <w:r>
        <w:tab/>
        <w:t>Repealed by No. 40 of 1993 s. 12.]</w:t>
      </w:r>
    </w:p>
    <w:p>
      <w:pPr>
        <w:pStyle w:val="Heading5"/>
        <w:rPr>
          <w:snapToGrid w:val="0"/>
        </w:rPr>
      </w:pPr>
      <w:bookmarkStart w:id="91" w:name="_Toc529679984"/>
      <w:bookmarkStart w:id="92" w:name="_Toc530447804"/>
      <w:bookmarkStart w:id="93" w:name="_Toc102907673"/>
      <w:bookmarkStart w:id="94" w:name="_Toc157938858"/>
      <w:bookmarkStart w:id="95" w:name="_Toc155598974"/>
      <w:r>
        <w:rPr>
          <w:rStyle w:val="CharSectno"/>
        </w:rPr>
        <w:t>21</w:t>
      </w:r>
      <w:r>
        <w:rPr>
          <w:snapToGrid w:val="0"/>
        </w:rPr>
        <w:t>.</w:t>
      </w:r>
      <w:r>
        <w:rPr>
          <w:snapToGrid w:val="0"/>
        </w:rPr>
        <w:tab/>
        <w:t>Power to require information</w:t>
      </w:r>
      <w:bookmarkEnd w:id="91"/>
      <w:bookmarkEnd w:id="92"/>
      <w:bookmarkEnd w:id="93"/>
      <w:bookmarkEnd w:id="94"/>
      <w:bookmarkEnd w:id="95"/>
      <w:r>
        <w:rPr>
          <w:snapToGrid w:val="0"/>
        </w:rPr>
        <w:t xml:space="preserve"> </w:t>
      </w:r>
    </w:p>
    <w:p>
      <w:pPr>
        <w:pStyle w:val="Subsection"/>
        <w:spacing w:before="100"/>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96" w:name="_Toc529679985"/>
      <w:bookmarkStart w:id="97" w:name="_Toc530447805"/>
      <w:bookmarkStart w:id="98" w:name="_Toc102907674"/>
      <w:bookmarkStart w:id="99" w:name="_Toc157938859"/>
      <w:bookmarkStart w:id="100" w:name="_Toc155598975"/>
      <w:r>
        <w:rPr>
          <w:rStyle w:val="CharSectno"/>
        </w:rPr>
        <w:t>22</w:t>
      </w:r>
      <w:r>
        <w:rPr>
          <w:snapToGrid w:val="0"/>
        </w:rPr>
        <w:t>.</w:t>
      </w:r>
      <w:r>
        <w:rPr>
          <w:snapToGrid w:val="0"/>
        </w:rPr>
        <w:tab/>
        <w:t>Power to destroy plants in neglected orchards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repealed]</w:t>
      </w:r>
    </w:p>
    <w:p>
      <w:pPr>
        <w:pStyle w:val="Subsection"/>
        <w:rPr>
          <w:snapToGrid w:val="0"/>
        </w:rPr>
      </w:pPr>
      <w:r>
        <w:rPr>
          <w:snapToGrid w:val="0"/>
        </w:rPr>
        <w:tab/>
        <w:t>(7)</w:t>
      </w:r>
      <w:r>
        <w:rPr>
          <w:snapToGrid w:val="0"/>
        </w:rPr>
        <w:tab/>
        <w:t>The making of an application under subsection (5) operates to stay any action by the Minister under subsection (2).</w:t>
      </w:r>
    </w:p>
    <w:p>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20"/>
        <w:rPr>
          <w:snapToGrid w:val="0"/>
        </w:rPr>
      </w:pPr>
      <w:bookmarkStart w:id="101" w:name="_Toc529679986"/>
      <w:bookmarkStart w:id="102" w:name="_Toc530447806"/>
      <w:bookmarkStart w:id="103" w:name="_Toc102907675"/>
      <w:bookmarkStart w:id="104" w:name="_Toc157938860"/>
      <w:bookmarkStart w:id="105" w:name="_Toc155598976"/>
      <w:r>
        <w:rPr>
          <w:rStyle w:val="CharSectno"/>
        </w:rPr>
        <w:t>22A</w:t>
      </w:r>
      <w:r>
        <w:rPr>
          <w:snapToGrid w:val="0"/>
        </w:rPr>
        <w:t>.</w:t>
      </w:r>
      <w:r>
        <w:rPr>
          <w:snapToGrid w:val="0"/>
        </w:rPr>
        <w:tab/>
        <w:t>Private inspection and treatment premises may be used</w:t>
      </w:r>
      <w:bookmarkEnd w:id="101"/>
      <w:bookmarkEnd w:id="102"/>
      <w:bookmarkEnd w:id="103"/>
      <w:bookmarkEnd w:id="104"/>
      <w:bookmarkEnd w:id="105"/>
      <w:r>
        <w:rPr>
          <w:snapToGrid w:val="0"/>
        </w:rPr>
        <w:t xml:space="preserve"> </w:t>
      </w:r>
    </w:p>
    <w:p>
      <w:pPr>
        <w:pStyle w:val="Subsection"/>
        <w:spacing w:before="10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20"/>
        <w:rPr>
          <w:snapToGrid w:val="0"/>
        </w:rPr>
      </w:pPr>
      <w:bookmarkStart w:id="106" w:name="_Toc529679987"/>
      <w:bookmarkStart w:id="107" w:name="_Toc530447807"/>
      <w:bookmarkStart w:id="108" w:name="_Toc102907676"/>
      <w:bookmarkStart w:id="109" w:name="_Toc157938861"/>
      <w:bookmarkStart w:id="110" w:name="_Toc155598977"/>
      <w:r>
        <w:rPr>
          <w:rStyle w:val="CharSectno"/>
        </w:rPr>
        <w:t>22B</w:t>
      </w:r>
      <w:r>
        <w:rPr>
          <w:snapToGrid w:val="0"/>
        </w:rPr>
        <w:t>.</w:t>
      </w:r>
      <w:r>
        <w:rPr>
          <w:snapToGrid w:val="0"/>
        </w:rPr>
        <w:tab/>
        <w:t>Prescribed standards, conduct and registration of private inspection and treatment premises</w:t>
      </w:r>
      <w:bookmarkEnd w:id="106"/>
      <w:bookmarkEnd w:id="107"/>
      <w:bookmarkEnd w:id="108"/>
      <w:bookmarkEnd w:id="109"/>
      <w:bookmarkEnd w:id="110"/>
      <w:r>
        <w:rPr>
          <w:snapToGrid w:val="0"/>
        </w:rPr>
        <w:t xml:space="preserve"> </w:t>
      </w:r>
    </w:p>
    <w:p>
      <w:pPr>
        <w:pStyle w:val="Subsection"/>
        <w:spacing w:before="10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0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0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11" w:name="_Toc529679988"/>
      <w:bookmarkStart w:id="112" w:name="_Toc530447808"/>
      <w:bookmarkStart w:id="113" w:name="_Toc102907677"/>
      <w:bookmarkStart w:id="114" w:name="_Toc157938862"/>
      <w:bookmarkStart w:id="115" w:name="_Toc155598978"/>
      <w:r>
        <w:rPr>
          <w:rStyle w:val="CharSectno"/>
        </w:rPr>
        <w:t>23</w:t>
      </w:r>
      <w:r>
        <w:rPr>
          <w:snapToGrid w:val="0"/>
        </w:rPr>
        <w:t>.</w:t>
      </w:r>
      <w:r>
        <w:rPr>
          <w:snapToGrid w:val="0"/>
        </w:rPr>
        <w:tab/>
        <w:t>Powers to prevent introduction and spread of disease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16" w:name="_Toc529679989"/>
      <w:bookmarkStart w:id="117" w:name="_Toc530447809"/>
      <w:bookmarkStart w:id="118" w:name="_Toc102907678"/>
      <w:bookmarkStart w:id="119" w:name="_Toc157938863"/>
      <w:bookmarkStart w:id="120" w:name="_Toc155598979"/>
      <w:r>
        <w:rPr>
          <w:rStyle w:val="CharSectno"/>
        </w:rPr>
        <w:t>23A</w:t>
      </w:r>
      <w:r>
        <w:rPr>
          <w:snapToGrid w:val="0"/>
        </w:rPr>
        <w:t>.</w:t>
      </w:r>
      <w:r>
        <w:rPr>
          <w:snapToGrid w:val="0"/>
        </w:rPr>
        <w:tab/>
        <w:t>Minister may give directions for urgent measures to control disease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21" w:name="_Toc529679990"/>
      <w:bookmarkStart w:id="122" w:name="_Toc530447810"/>
      <w:bookmarkStart w:id="123" w:name="_Toc102907679"/>
      <w:bookmarkStart w:id="124" w:name="_Toc157938864"/>
      <w:bookmarkStart w:id="125" w:name="_Toc155598980"/>
      <w:r>
        <w:rPr>
          <w:rStyle w:val="CharSectno"/>
        </w:rPr>
        <w:t>23B</w:t>
      </w:r>
      <w:r>
        <w:rPr>
          <w:snapToGrid w:val="0"/>
        </w:rPr>
        <w:t>.</w:t>
      </w:r>
      <w:r>
        <w:rPr>
          <w:snapToGrid w:val="0"/>
        </w:rPr>
        <w:tab/>
        <w:t>The Minister may approve an alternative procedure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repealed]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26" w:name="_Toc529679991"/>
      <w:bookmarkStart w:id="127" w:name="_Toc530447811"/>
      <w:bookmarkStart w:id="128" w:name="_Toc102907680"/>
      <w:bookmarkStart w:id="129" w:name="_Toc157938865"/>
      <w:bookmarkStart w:id="130" w:name="_Toc155598981"/>
      <w:r>
        <w:rPr>
          <w:rStyle w:val="CharSectno"/>
        </w:rPr>
        <w:t>23C</w:t>
      </w:r>
      <w:r>
        <w:rPr>
          <w:snapToGrid w:val="0"/>
        </w:rPr>
        <w:t>.</w:t>
      </w:r>
      <w:r>
        <w:rPr>
          <w:snapToGrid w:val="0"/>
        </w:rPr>
        <w:tab/>
        <w:t>Procedures specified under section 23A or 23B may be prescribed in regulations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31" w:name="_Toc529679992"/>
      <w:bookmarkStart w:id="132" w:name="_Toc530447812"/>
      <w:bookmarkStart w:id="133" w:name="_Toc102907681"/>
      <w:bookmarkStart w:id="134" w:name="_Toc157938866"/>
      <w:bookmarkStart w:id="135" w:name="_Toc155598982"/>
      <w:r>
        <w:rPr>
          <w:rStyle w:val="CharSectno"/>
        </w:rPr>
        <w:t>23D</w:t>
      </w:r>
      <w:r>
        <w:rPr>
          <w:snapToGrid w:val="0"/>
        </w:rPr>
        <w:t>.</w:t>
      </w:r>
      <w:r>
        <w:rPr>
          <w:snapToGrid w:val="0"/>
        </w:rPr>
        <w:tab/>
        <w:t>Person to declare any plants or potential carriers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rPr>
          <w:snapToGrid w:val="0"/>
        </w:rPr>
      </w:pPr>
      <w:r>
        <w:rPr>
          <w:snapToGrid w:val="0"/>
        </w:rPr>
        <w:tab/>
        <w:t>(5)</w:t>
      </w:r>
      <w:r>
        <w:rPr>
          <w:snapToGrid w:val="0"/>
        </w:rPr>
        <w:tab/>
        <w:t>For the purposes of this section — </w:t>
      </w:r>
    </w:p>
    <w:p>
      <w:pPr>
        <w:pStyle w:val="Defstart"/>
      </w:pPr>
      <w:r>
        <w:rPr>
          <w:b/>
        </w:rPr>
        <w:tab/>
        <w:t>“</w:t>
      </w:r>
      <w:r>
        <w:rPr>
          <w:rStyle w:val="CharDefText"/>
        </w:rPr>
        <w:t>nearest point of entry</w:t>
      </w:r>
      <w:r>
        <w:rPr>
          <w:b/>
        </w:rPr>
        <w:t>”</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t>“</w:t>
      </w:r>
      <w:r>
        <w:rPr>
          <w:rStyle w:val="CharDefText"/>
        </w:rPr>
        <w:t>vessel</w:t>
      </w:r>
      <w:r>
        <w:rPr>
          <w:b/>
        </w:rPr>
        <w:t>”</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36" w:name="_Toc529679993"/>
      <w:bookmarkStart w:id="137" w:name="_Toc530447813"/>
      <w:bookmarkStart w:id="138" w:name="_Toc102907682"/>
      <w:bookmarkStart w:id="139" w:name="_Toc157938867"/>
      <w:bookmarkStart w:id="140" w:name="_Toc155598983"/>
      <w:r>
        <w:rPr>
          <w:rStyle w:val="CharSectno"/>
        </w:rPr>
        <w:t>24</w:t>
      </w:r>
      <w:r>
        <w:rPr>
          <w:snapToGrid w:val="0"/>
        </w:rPr>
        <w:t>.</w:t>
      </w:r>
      <w:r>
        <w:rPr>
          <w:snapToGrid w:val="0"/>
        </w:rPr>
        <w:tab/>
        <w:t>Recovery of expenses</w:t>
      </w:r>
      <w:bookmarkEnd w:id="136"/>
      <w:bookmarkEnd w:id="137"/>
      <w:bookmarkEnd w:id="138"/>
      <w:bookmarkEnd w:id="139"/>
      <w:bookmarkEnd w:id="140"/>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41" w:name="_Toc529679994"/>
      <w:bookmarkStart w:id="142" w:name="_Toc530447814"/>
      <w:bookmarkStart w:id="143" w:name="_Toc102907683"/>
      <w:bookmarkStart w:id="144" w:name="_Toc157938868"/>
      <w:bookmarkStart w:id="145" w:name="_Toc155598984"/>
      <w:r>
        <w:rPr>
          <w:rStyle w:val="CharSectno"/>
        </w:rPr>
        <w:t>25</w:t>
      </w:r>
      <w:r>
        <w:rPr>
          <w:snapToGrid w:val="0"/>
        </w:rPr>
        <w:t>.</w:t>
      </w:r>
      <w:r>
        <w:rPr>
          <w:snapToGrid w:val="0"/>
        </w:rPr>
        <w:tab/>
        <w:t>Payment for work done as between owner and occupier</w:t>
      </w:r>
      <w:bookmarkEnd w:id="141"/>
      <w:bookmarkEnd w:id="142"/>
      <w:r>
        <w:rPr>
          <w:snapToGrid w:val="0"/>
          <w:vertAlign w:val="superscript"/>
        </w:rPr>
        <w:t> 4</w:t>
      </w:r>
      <w:bookmarkEnd w:id="143"/>
      <w:bookmarkEnd w:id="144"/>
      <w:bookmarkEnd w:id="145"/>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46" w:name="_Toc529679995"/>
      <w:bookmarkStart w:id="147" w:name="_Toc530447815"/>
      <w:bookmarkStart w:id="148" w:name="_Toc102907684"/>
      <w:bookmarkStart w:id="149" w:name="_Toc157938869"/>
      <w:bookmarkStart w:id="150" w:name="_Toc155598985"/>
      <w:r>
        <w:rPr>
          <w:rStyle w:val="CharSectno"/>
        </w:rPr>
        <w:t>26</w:t>
      </w:r>
      <w:r>
        <w:rPr>
          <w:snapToGrid w:val="0"/>
        </w:rPr>
        <w:t>.</w:t>
      </w:r>
      <w:r>
        <w:rPr>
          <w:snapToGrid w:val="0"/>
        </w:rPr>
        <w:tab/>
        <w:t>Penalty if owner or occupier hinders the other</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snapToGrid w:val="0"/>
        </w:rPr>
      </w:pPr>
      <w:bookmarkStart w:id="151" w:name="_Toc529679996"/>
      <w:bookmarkStart w:id="152" w:name="_Toc530447816"/>
      <w:bookmarkStart w:id="153" w:name="_Toc102907685"/>
      <w:bookmarkStart w:id="154" w:name="_Toc157938870"/>
      <w:bookmarkStart w:id="155" w:name="_Toc155598986"/>
      <w:r>
        <w:rPr>
          <w:rStyle w:val="CharSectno"/>
        </w:rPr>
        <w:t>27</w:t>
      </w:r>
      <w:r>
        <w:rPr>
          <w:snapToGrid w:val="0"/>
        </w:rPr>
        <w:t>.</w:t>
      </w:r>
      <w:r>
        <w:rPr>
          <w:snapToGrid w:val="0"/>
        </w:rPr>
        <w:tab/>
        <w:t>Employment of assistants</w:t>
      </w:r>
      <w:bookmarkEnd w:id="151"/>
      <w:bookmarkEnd w:id="152"/>
      <w:r>
        <w:rPr>
          <w:snapToGrid w:val="0"/>
          <w:vertAlign w:val="superscript"/>
        </w:rPr>
        <w:t> 4</w:t>
      </w:r>
      <w:bookmarkEnd w:id="153"/>
      <w:bookmarkEnd w:id="154"/>
      <w:bookmarkEnd w:id="155"/>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snapToGrid w:val="0"/>
        </w:rPr>
      </w:pPr>
      <w:bookmarkStart w:id="156" w:name="_Toc529679997"/>
      <w:bookmarkStart w:id="157" w:name="_Toc530447817"/>
      <w:bookmarkStart w:id="158" w:name="_Toc102907686"/>
      <w:bookmarkStart w:id="159" w:name="_Toc157938871"/>
      <w:bookmarkStart w:id="160" w:name="_Toc155598987"/>
      <w:r>
        <w:rPr>
          <w:rStyle w:val="CharSectno"/>
        </w:rPr>
        <w:t>28</w:t>
      </w:r>
      <w:r>
        <w:rPr>
          <w:snapToGrid w:val="0"/>
        </w:rPr>
        <w:t>.</w:t>
      </w:r>
      <w:r>
        <w:rPr>
          <w:snapToGrid w:val="0"/>
        </w:rPr>
        <w:tab/>
        <w:t>Use of force in case of resistance</w:t>
      </w:r>
      <w:bookmarkEnd w:id="156"/>
      <w:bookmarkEnd w:id="157"/>
      <w:r>
        <w:rPr>
          <w:snapToGrid w:val="0"/>
          <w:vertAlign w:val="superscript"/>
        </w:rPr>
        <w:t> 4</w:t>
      </w:r>
      <w:bookmarkEnd w:id="158"/>
      <w:bookmarkEnd w:id="159"/>
      <w:bookmarkEnd w:id="160"/>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61" w:name="_Toc529679998"/>
      <w:bookmarkStart w:id="162" w:name="_Toc530447818"/>
      <w:bookmarkStart w:id="163" w:name="_Toc102907687"/>
      <w:bookmarkStart w:id="164" w:name="_Toc157938872"/>
      <w:bookmarkStart w:id="165" w:name="_Toc155598988"/>
      <w:r>
        <w:rPr>
          <w:rStyle w:val="CharSectno"/>
        </w:rPr>
        <w:t>29</w:t>
      </w:r>
      <w:r>
        <w:rPr>
          <w:snapToGrid w:val="0"/>
        </w:rPr>
        <w:t>.</w:t>
      </w:r>
      <w:r>
        <w:rPr>
          <w:snapToGrid w:val="0"/>
        </w:rPr>
        <w:tab/>
        <w:t>Persons obstructing officers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166" w:name="_Toc529679999"/>
      <w:bookmarkStart w:id="167" w:name="_Toc530447819"/>
      <w:bookmarkStart w:id="168" w:name="_Toc102907688"/>
      <w:bookmarkStart w:id="169" w:name="_Toc157938873"/>
      <w:bookmarkStart w:id="170" w:name="_Toc155598989"/>
      <w:r>
        <w:rPr>
          <w:rStyle w:val="CharSectno"/>
        </w:rPr>
        <w:t>30</w:t>
      </w:r>
      <w:r>
        <w:rPr>
          <w:snapToGrid w:val="0"/>
        </w:rPr>
        <w:t>.</w:t>
      </w:r>
      <w:r>
        <w:rPr>
          <w:snapToGrid w:val="0"/>
        </w:rPr>
        <w:tab/>
        <w:t>Officers not to be trespassers</w:t>
      </w:r>
      <w:bookmarkEnd w:id="166"/>
      <w:bookmarkEnd w:id="167"/>
      <w:r>
        <w:rPr>
          <w:snapToGrid w:val="0"/>
          <w:vertAlign w:val="superscript"/>
        </w:rPr>
        <w:t> 4</w:t>
      </w:r>
      <w:bookmarkEnd w:id="168"/>
      <w:bookmarkEnd w:id="169"/>
      <w:bookmarkEnd w:id="170"/>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snapToGrid w:val="0"/>
        </w:rPr>
      </w:pPr>
      <w:bookmarkStart w:id="171" w:name="_Toc529680000"/>
      <w:bookmarkStart w:id="172" w:name="_Toc530447820"/>
      <w:bookmarkStart w:id="173" w:name="_Toc102907689"/>
      <w:bookmarkStart w:id="174" w:name="_Toc157938874"/>
      <w:bookmarkStart w:id="175" w:name="_Toc155598990"/>
      <w:r>
        <w:rPr>
          <w:rStyle w:val="CharSectno"/>
        </w:rPr>
        <w:t>31</w:t>
      </w:r>
      <w:r>
        <w:rPr>
          <w:snapToGrid w:val="0"/>
        </w:rPr>
        <w:t>.</w:t>
      </w:r>
      <w:r>
        <w:rPr>
          <w:snapToGrid w:val="0"/>
        </w:rPr>
        <w:tab/>
        <w:t>Notices to be given in writing</w:t>
      </w:r>
      <w:bookmarkEnd w:id="171"/>
      <w:bookmarkEnd w:id="172"/>
      <w:r>
        <w:rPr>
          <w:snapToGrid w:val="0"/>
          <w:vertAlign w:val="superscript"/>
        </w:rPr>
        <w:t> 4</w:t>
      </w:r>
      <w:bookmarkEnd w:id="173"/>
      <w:bookmarkEnd w:id="174"/>
      <w:bookmarkEnd w:id="175"/>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snapToGrid w:val="0"/>
        </w:rPr>
      </w:pPr>
      <w:bookmarkStart w:id="176" w:name="_Toc529680001"/>
      <w:bookmarkStart w:id="177" w:name="_Toc530447821"/>
      <w:bookmarkStart w:id="178" w:name="_Toc102907690"/>
      <w:bookmarkStart w:id="179" w:name="_Toc157938875"/>
      <w:bookmarkStart w:id="180" w:name="_Toc155598991"/>
      <w:r>
        <w:rPr>
          <w:rStyle w:val="CharSectno"/>
        </w:rPr>
        <w:t>32</w:t>
      </w:r>
      <w:r>
        <w:rPr>
          <w:snapToGrid w:val="0"/>
        </w:rPr>
        <w:t>.</w:t>
      </w:r>
      <w:r>
        <w:rPr>
          <w:snapToGrid w:val="0"/>
        </w:rPr>
        <w:tab/>
        <w:t>Persons not entitled to compensation</w:t>
      </w:r>
      <w:bookmarkEnd w:id="176"/>
      <w:bookmarkEnd w:id="177"/>
      <w:r>
        <w:rPr>
          <w:snapToGrid w:val="0"/>
          <w:vertAlign w:val="superscript"/>
        </w:rPr>
        <w:t> 4</w:t>
      </w:r>
      <w:bookmarkEnd w:id="178"/>
      <w:bookmarkEnd w:id="179"/>
      <w:bookmarkEnd w:id="180"/>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181" w:name="_Toc529680002"/>
      <w:bookmarkStart w:id="182" w:name="_Toc530447822"/>
      <w:bookmarkStart w:id="183" w:name="_Toc102907691"/>
      <w:bookmarkStart w:id="184" w:name="_Toc157938876"/>
      <w:bookmarkStart w:id="185" w:name="_Toc155598992"/>
      <w:r>
        <w:rPr>
          <w:rStyle w:val="CharSectno"/>
        </w:rPr>
        <w:t>32A</w:t>
      </w:r>
      <w:r>
        <w:rPr>
          <w:snapToGrid w:val="0"/>
        </w:rPr>
        <w:t>.</w:t>
      </w:r>
      <w:r>
        <w:rPr>
          <w:snapToGrid w:val="0"/>
        </w:rPr>
        <w:tab/>
        <w:t>Removal of plants from quarantine prohibited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186" w:name="_Toc529680003"/>
      <w:bookmarkStart w:id="187" w:name="_Toc530447823"/>
      <w:bookmarkStart w:id="188" w:name="_Toc102907692"/>
      <w:bookmarkStart w:id="189" w:name="_Toc157938877"/>
      <w:bookmarkStart w:id="190" w:name="_Toc155598993"/>
      <w:r>
        <w:rPr>
          <w:rStyle w:val="CharSectno"/>
        </w:rPr>
        <w:t>33</w:t>
      </w:r>
      <w:r>
        <w:rPr>
          <w:snapToGrid w:val="0"/>
        </w:rPr>
        <w:t>.</w:t>
      </w:r>
      <w:r>
        <w:rPr>
          <w:snapToGrid w:val="0"/>
        </w:rPr>
        <w:tab/>
        <w:t>Offences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191" w:name="_Toc529680004"/>
      <w:bookmarkStart w:id="192" w:name="_Toc530447824"/>
      <w:bookmarkStart w:id="193" w:name="_Toc102907693"/>
      <w:bookmarkStart w:id="194" w:name="_Toc157938878"/>
      <w:bookmarkStart w:id="195" w:name="_Toc155598994"/>
      <w:r>
        <w:rPr>
          <w:rStyle w:val="CharSectno"/>
        </w:rPr>
        <w:t>34</w:t>
      </w:r>
      <w:r>
        <w:rPr>
          <w:snapToGrid w:val="0"/>
        </w:rPr>
        <w:t>.</w:t>
      </w:r>
      <w:r>
        <w:rPr>
          <w:snapToGrid w:val="0"/>
        </w:rPr>
        <w:tab/>
        <w:t>Penalties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196" w:name="_Toc529680005"/>
      <w:bookmarkStart w:id="197" w:name="_Toc530447825"/>
      <w:bookmarkStart w:id="198" w:name="_Toc102907694"/>
      <w:bookmarkStart w:id="199" w:name="_Toc157938879"/>
      <w:bookmarkStart w:id="200" w:name="_Toc155598995"/>
      <w:r>
        <w:rPr>
          <w:rStyle w:val="CharSectno"/>
        </w:rPr>
        <w:t>35</w:t>
      </w:r>
      <w:r>
        <w:rPr>
          <w:snapToGrid w:val="0"/>
        </w:rPr>
        <w:t>.</w:t>
      </w:r>
      <w:r>
        <w:rPr>
          <w:snapToGrid w:val="0"/>
        </w:rPr>
        <w:tab/>
        <w:t>Infringement notices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 xml:space="preserve">An amount paid as a modified penalty must, subject to subsection (8), be credited to the Plant Diseases Modified Penalties Revenue </w:t>
      </w:r>
      <w:del w:id="201" w:author="svcMRProcess" w:date="2015-11-04T21:37:00Z">
        <w:r>
          <w:rPr>
            <w:snapToGrid w:val="0"/>
          </w:rPr>
          <w:delText>Fund</w:delText>
        </w:r>
      </w:del>
      <w:ins w:id="202" w:author="svcMRProcess" w:date="2015-11-04T21:37:00Z">
        <w:r>
          <w:rPr>
            <w:snapToGrid w:val="0"/>
          </w:rPr>
          <w:t>Account</w:t>
        </w:r>
      </w:ins>
      <w:r>
        <w:rPr>
          <w:snapToGrid w:val="0"/>
        </w:rPr>
        <w:t xml:space="preserve">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[Section 35 inserted by No. 40 of 1993 s. 17; amended by No. 49 of 1996 s. 64; No. 84 of 2004 s. </w:t>
      </w:r>
      <w:del w:id="203" w:author="svcMRProcess" w:date="2015-11-04T21:37:00Z">
        <w:r>
          <w:delText>80</w:delText>
        </w:r>
      </w:del>
      <w:ins w:id="204" w:author="svcMRProcess" w:date="2015-11-04T21:37:00Z">
        <w:r>
          <w:t>80; No. 77 of 2006 s. 17</w:t>
        </w:r>
      </w:ins>
      <w:r>
        <w:t xml:space="preserve">.] </w:t>
      </w:r>
    </w:p>
    <w:p>
      <w:pPr>
        <w:pStyle w:val="Heading5"/>
        <w:rPr>
          <w:snapToGrid w:val="0"/>
        </w:rPr>
      </w:pPr>
      <w:bookmarkStart w:id="205" w:name="_Toc155598996"/>
      <w:bookmarkStart w:id="206" w:name="_Toc529680006"/>
      <w:bookmarkStart w:id="207" w:name="_Toc530447826"/>
      <w:bookmarkStart w:id="208" w:name="_Toc102907695"/>
      <w:bookmarkStart w:id="209" w:name="_Toc157938880"/>
      <w:r>
        <w:rPr>
          <w:rStyle w:val="CharSectno"/>
        </w:rPr>
        <w:t>35AA</w:t>
      </w:r>
      <w:r>
        <w:rPr>
          <w:snapToGrid w:val="0"/>
        </w:rPr>
        <w:t>.</w:t>
      </w:r>
      <w:r>
        <w:rPr>
          <w:snapToGrid w:val="0"/>
        </w:rPr>
        <w:tab/>
        <w:t xml:space="preserve">Modified penalties revenue </w:t>
      </w:r>
      <w:del w:id="210" w:author="svcMRProcess" w:date="2015-11-04T21:37:00Z">
        <w:r>
          <w:rPr>
            <w:snapToGrid w:val="0"/>
          </w:rPr>
          <w:delText>fund</w:delText>
        </w:r>
        <w:bookmarkEnd w:id="205"/>
        <w:r>
          <w:rPr>
            <w:snapToGrid w:val="0"/>
          </w:rPr>
          <w:delText xml:space="preserve"> </w:delText>
        </w:r>
      </w:del>
      <w:ins w:id="211" w:author="svcMRProcess" w:date="2015-11-04T21:37:00Z">
        <w:r>
          <w:rPr>
            <w:snapToGrid w:val="0"/>
          </w:rPr>
          <w:t>Account</w:t>
        </w:r>
      </w:ins>
      <w:bookmarkEnd w:id="206"/>
      <w:bookmarkEnd w:id="207"/>
      <w:bookmarkEnd w:id="208"/>
      <w:bookmarkEnd w:id="209"/>
    </w:p>
    <w:p>
      <w:pPr>
        <w:pStyle w:val="Subsection"/>
      </w:pPr>
      <w:r>
        <w:tab/>
        <w:t>(1)</w:t>
      </w:r>
      <w:r>
        <w:tab/>
      </w:r>
      <w:del w:id="212" w:author="svcMRProcess" w:date="2015-11-04T21:37:00Z">
        <w:r>
          <w:rPr>
            <w:snapToGrid w:val="0"/>
          </w:rPr>
          <w:delText xml:space="preserve">There is to be established and kept at the Treasury, forming part of the Trust Fund constituted under section 9 of the </w:delText>
        </w:r>
        <w:r>
          <w:rPr>
            <w:i/>
            <w:snapToGrid w:val="0"/>
          </w:rPr>
          <w:delText>Financial Administration and Audit Act 1985</w:delText>
        </w:r>
        <w:r>
          <w:rPr>
            <w:snapToGrid w:val="0"/>
          </w:rPr>
          <w:delText>, an</w:delText>
        </w:r>
      </w:del>
      <w:ins w:id="213" w:author="svcMRProcess" w:date="2015-11-04T21:37:00Z">
        <w:r>
          <w:t>An agency special purpose</w:t>
        </w:r>
      </w:ins>
      <w:r>
        <w:t xml:space="preserve"> account called the </w:t>
      </w:r>
      <w:del w:id="214" w:author="svcMRProcess" w:date="2015-11-04T21:37:00Z">
        <w:r>
          <w:rPr>
            <w:snapToGrid w:val="0"/>
          </w:rPr>
          <w:delText>“</w:delText>
        </w:r>
      </w:del>
      <w:r>
        <w:t xml:space="preserve">Plant Diseases Modified Penalties Revenue </w:t>
      </w:r>
      <w:del w:id="215" w:author="svcMRProcess" w:date="2015-11-04T21:37:00Z">
        <w:r>
          <w:rPr>
            <w:snapToGrid w:val="0"/>
          </w:rPr>
          <w:delText xml:space="preserve">Fund” (referred to </w:delText>
        </w:r>
      </w:del>
      <w:ins w:id="216" w:author="svcMRProcess" w:date="2015-11-04T21:37:00Z">
        <w:r>
          <w:t>Account (</w:t>
        </w:r>
      </w:ins>
      <w:r>
        <w:t xml:space="preserve">in this section and section 35AB </w:t>
      </w:r>
      <w:ins w:id="217" w:author="svcMRProcess" w:date="2015-11-04T21:37:00Z">
        <w:r>
          <w:t xml:space="preserve">referred to </w:t>
        </w:r>
      </w:ins>
      <w:r>
        <w:t xml:space="preserve">as the </w:t>
      </w:r>
      <w:r>
        <w:rPr>
          <w:b/>
        </w:rPr>
        <w:t>“</w:t>
      </w:r>
      <w:del w:id="218" w:author="svcMRProcess" w:date="2015-11-04T21:37:00Z">
        <w:r>
          <w:rPr>
            <w:rStyle w:val="CharDefText"/>
          </w:rPr>
          <w:delText>Fund</w:delText>
        </w:r>
        <w:r>
          <w:rPr>
            <w:b/>
            <w:snapToGrid w:val="0"/>
          </w:rPr>
          <w:delText>”</w:delText>
        </w:r>
        <w:r>
          <w:rPr>
            <w:snapToGrid w:val="0"/>
          </w:rPr>
          <w:delText>).</w:delText>
        </w:r>
      </w:del>
      <w:ins w:id="219" w:author="svcMRProcess" w:date="2015-11-04T21:37:00Z">
        <w:r>
          <w:rPr>
            <w:rStyle w:val="CharDefText"/>
          </w:rPr>
          <w:t>Account</w:t>
        </w:r>
        <w:r>
          <w:rPr>
            <w:b/>
          </w:rPr>
          <w:t>”</w:t>
        </w:r>
        <w:r>
          <w:rPr>
            <w:bCs/>
          </w:rPr>
          <w:t xml:space="preserve">) </w:t>
        </w:r>
        <w:r>
          <w:t xml:space="preserve">is established under section 16 of the </w:t>
        </w:r>
        <w:r>
          <w:rPr>
            <w:i/>
            <w:iCs/>
          </w:rPr>
          <w:t>Financial Management Act 2006</w:t>
        </w:r>
        <w:r>
          <w:t>.</w:t>
        </w:r>
      </w:ins>
    </w:p>
    <w:p>
      <w:pPr>
        <w:pStyle w:val="Subsection"/>
        <w:keepNext/>
        <w:rPr>
          <w:snapToGrid w:val="0"/>
        </w:rPr>
      </w:pPr>
      <w:r>
        <w:rPr>
          <w:snapToGrid w:val="0"/>
        </w:rPr>
        <w:tab/>
        <w:t>(2)</w:t>
      </w:r>
      <w:r>
        <w:rPr>
          <w:snapToGrid w:val="0"/>
        </w:rPr>
        <w:tab/>
        <w:t xml:space="preserve">The Director General must ensure that all money received in the Department of Agriculture as payment of modified penalties or other amounts in connection with infringement notices given under section 35 is credited to the </w:t>
      </w:r>
      <w:del w:id="220" w:author="svcMRProcess" w:date="2015-11-04T21:37:00Z">
        <w:r>
          <w:rPr>
            <w:snapToGrid w:val="0"/>
          </w:rPr>
          <w:delText>Fund</w:delText>
        </w:r>
      </w:del>
      <w:ins w:id="221" w:author="svcMRProcess" w:date="2015-11-04T21:37:00Z">
        <w:r>
          <w:rPr>
            <w:snapToGrid w:val="0"/>
          </w:rPr>
          <w:t>Account</w:t>
        </w:r>
      </w:ins>
      <w:r>
        <w:rPr>
          <w:snapToGrid w:val="0"/>
        </w:rPr>
        <w:t>.</w:t>
      </w:r>
    </w:p>
    <w:p>
      <w:pPr>
        <w:pStyle w:val="Footnotesection"/>
      </w:pPr>
      <w:r>
        <w:tab/>
        <w:t>[Section 35AA inserted by No. 40 of 1993 s. 17; amended by No. 49 of 1996 s. 64; No. 57 of 1997 s. </w:t>
      </w:r>
      <w:del w:id="222" w:author="svcMRProcess" w:date="2015-11-04T21:37:00Z">
        <w:r>
          <w:delText>95</w:delText>
        </w:r>
      </w:del>
      <w:ins w:id="223" w:author="svcMRProcess" w:date="2015-11-04T21:37:00Z">
        <w:r>
          <w:t>95; No. 77 of 2006 s. 17</w:t>
        </w:r>
      </w:ins>
      <w:r>
        <w:t xml:space="preserve">.] </w:t>
      </w:r>
    </w:p>
    <w:p>
      <w:pPr>
        <w:pStyle w:val="Heading5"/>
        <w:rPr>
          <w:snapToGrid w:val="0"/>
        </w:rPr>
      </w:pPr>
      <w:bookmarkStart w:id="224" w:name="_Toc529680007"/>
      <w:bookmarkStart w:id="225" w:name="_Toc530447827"/>
      <w:bookmarkStart w:id="226" w:name="_Toc102907696"/>
      <w:bookmarkStart w:id="227" w:name="_Toc155598997"/>
      <w:bookmarkStart w:id="228" w:name="_Toc157938881"/>
      <w:r>
        <w:rPr>
          <w:rStyle w:val="CharSectno"/>
        </w:rPr>
        <w:t>35AB</w:t>
      </w:r>
      <w:r>
        <w:rPr>
          <w:snapToGrid w:val="0"/>
        </w:rPr>
        <w:t>.</w:t>
      </w:r>
      <w:r>
        <w:rPr>
          <w:snapToGrid w:val="0"/>
        </w:rPr>
        <w:tab/>
        <w:t xml:space="preserve">Use of money in the </w:t>
      </w:r>
      <w:bookmarkEnd w:id="224"/>
      <w:bookmarkEnd w:id="225"/>
      <w:bookmarkEnd w:id="226"/>
      <w:del w:id="229" w:author="svcMRProcess" w:date="2015-11-04T21:37:00Z">
        <w:r>
          <w:rPr>
            <w:snapToGrid w:val="0"/>
          </w:rPr>
          <w:delText>Fund</w:delText>
        </w:r>
        <w:bookmarkEnd w:id="227"/>
        <w:r>
          <w:rPr>
            <w:snapToGrid w:val="0"/>
          </w:rPr>
          <w:delText xml:space="preserve"> </w:delText>
        </w:r>
      </w:del>
      <w:ins w:id="230" w:author="svcMRProcess" w:date="2015-11-04T21:37:00Z">
        <w:r>
          <w:rPr>
            <w:snapToGrid w:val="0"/>
          </w:rPr>
          <w:t>Account</w:t>
        </w:r>
      </w:ins>
      <w:bookmarkEnd w:id="228"/>
    </w:p>
    <w:p>
      <w:pPr>
        <w:pStyle w:val="Subsection"/>
        <w:rPr>
          <w:snapToGrid w:val="0"/>
        </w:rPr>
      </w:pPr>
      <w:r>
        <w:rPr>
          <w:snapToGrid w:val="0"/>
        </w:rPr>
        <w:tab/>
        <w:t>(1)</w:t>
      </w:r>
      <w:r>
        <w:rPr>
          <w:snapToGrid w:val="0"/>
        </w:rPr>
        <w:tab/>
        <w:t xml:space="preserve">Money standing to the credit of the </w:t>
      </w:r>
      <w:del w:id="231" w:author="svcMRProcess" w:date="2015-11-04T21:37:00Z">
        <w:r>
          <w:rPr>
            <w:snapToGrid w:val="0"/>
          </w:rPr>
          <w:delText>Fund</w:delText>
        </w:r>
      </w:del>
      <w:ins w:id="232" w:author="svcMRProcess" w:date="2015-11-04T21:37:00Z">
        <w:r>
          <w:rPr>
            <w:snapToGrid w:val="0"/>
          </w:rPr>
          <w:t>Account</w:t>
        </w:r>
      </w:ins>
      <w:r>
        <w:rPr>
          <w:snapToGrid w:val="0"/>
        </w:rPr>
        <w:t xml:space="preserve">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 xml:space="preserve">The amount that is to be charged to the </w:t>
      </w:r>
      <w:del w:id="233" w:author="svcMRProcess" w:date="2015-11-04T21:37:00Z">
        <w:r>
          <w:rPr>
            <w:snapToGrid w:val="0"/>
          </w:rPr>
          <w:delText>Fund</w:delText>
        </w:r>
      </w:del>
      <w:ins w:id="234" w:author="svcMRProcess" w:date="2015-11-04T21:37:00Z">
        <w:r>
          <w:rPr>
            <w:snapToGrid w:val="0"/>
          </w:rPr>
          <w:t>Account</w:t>
        </w:r>
      </w:ins>
      <w:r>
        <w:rPr>
          <w:snapToGrid w:val="0"/>
        </w:rPr>
        <w:t xml:space="preserve">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 xml:space="preserve">No amount is to be charged to the </w:t>
      </w:r>
      <w:del w:id="235" w:author="svcMRProcess" w:date="2015-11-04T21:37:00Z">
        <w:r>
          <w:rPr>
            <w:snapToGrid w:val="0"/>
          </w:rPr>
          <w:delText>Fund</w:delText>
        </w:r>
      </w:del>
      <w:ins w:id="236" w:author="svcMRProcess" w:date="2015-11-04T21:37:00Z">
        <w:r>
          <w:rPr>
            <w:snapToGrid w:val="0"/>
          </w:rPr>
          <w:t>Account</w:t>
        </w:r>
      </w:ins>
      <w:r>
        <w:rPr>
          <w:snapToGrid w:val="0"/>
        </w:rPr>
        <w:t xml:space="preserve"> for any purpose specified in subsection (1)(b) to (d) except as determined by the Minister.</w:t>
      </w:r>
    </w:p>
    <w:p>
      <w:pPr>
        <w:pStyle w:val="Footnotesection"/>
      </w:pPr>
      <w:r>
        <w:tab/>
        <w:t>[Section 35AB inserted by No. 40 of 1993 s. 17; amended by No. 49 of 1996 s. </w:t>
      </w:r>
      <w:del w:id="237" w:author="svcMRProcess" w:date="2015-11-04T21:37:00Z">
        <w:r>
          <w:delText>64</w:delText>
        </w:r>
      </w:del>
      <w:ins w:id="238" w:author="svcMRProcess" w:date="2015-11-04T21:37:00Z">
        <w:r>
          <w:t>64; No. 77 of 2006 s. 17</w:t>
        </w:r>
      </w:ins>
      <w:r>
        <w:t xml:space="preserve">.] </w:t>
      </w:r>
    </w:p>
    <w:p>
      <w:pPr>
        <w:pStyle w:val="Heading5"/>
        <w:rPr>
          <w:snapToGrid w:val="0"/>
        </w:rPr>
      </w:pPr>
      <w:bookmarkStart w:id="239" w:name="_Toc529680008"/>
      <w:bookmarkStart w:id="240" w:name="_Toc530447828"/>
      <w:bookmarkStart w:id="241" w:name="_Toc102907697"/>
      <w:bookmarkStart w:id="242" w:name="_Toc157938882"/>
      <w:bookmarkStart w:id="243" w:name="_Toc155598998"/>
      <w:r>
        <w:rPr>
          <w:rStyle w:val="CharSectno"/>
        </w:rPr>
        <w:t>35AC</w:t>
      </w:r>
      <w:r>
        <w:rPr>
          <w:snapToGrid w:val="0"/>
        </w:rPr>
        <w:t>.</w:t>
      </w:r>
      <w:r>
        <w:rPr>
          <w:snapToGrid w:val="0"/>
        </w:rPr>
        <w:tab/>
        <w:t>Limitation period</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rPr>
          <w:snapToGrid w:val="0"/>
        </w:rPr>
      </w:pPr>
      <w:bookmarkStart w:id="244" w:name="_Toc529680009"/>
      <w:bookmarkStart w:id="245" w:name="_Toc530447829"/>
      <w:bookmarkStart w:id="246" w:name="_Toc102907698"/>
      <w:bookmarkStart w:id="247" w:name="_Toc157938883"/>
      <w:bookmarkStart w:id="248" w:name="_Toc155598999"/>
      <w:r>
        <w:rPr>
          <w:rStyle w:val="CharSectno"/>
        </w:rPr>
        <w:t>35A</w:t>
      </w:r>
      <w:r>
        <w:rPr>
          <w:snapToGrid w:val="0"/>
        </w:rPr>
        <w:t>.</w:t>
      </w:r>
      <w:r>
        <w:rPr>
          <w:snapToGrid w:val="0"/>
        </w:rPr>
        <w:tab/>
        <w:t>Liability of directors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35A inserted by No. 51 of 1984 s. 21; amended by No. 84 of 2004 s. 80.] </w:t>
      </w:r>
    </w:p>
    <w:p>
      <w:pPr>
        <w:pStyle w:val="Heading5"/>
        <w:rPr>
          <w:snapToGrid w:val="0"/>
        </w:rPr>
      </w:pPr>
      <w:bookmarkStart w:id="249" w:name="_Toc529680010"/>
      <w:bookmarkStart w:id="250" w:name="_Toc530447830"/>
      <w:bookmarkStart w:id="251" w:name="_Toc102907699"/>
      <w:bookmarkStart w:id="252" w:name="_Toc157938884"/>
      <w:bookmarkStart w:id="253" w:name="_Toc155599000"/>
      <w:r>
        <w:rPr>
          <w:rStyle w:val="CharSectno"/>
        </w:rPr>
        <w:t>35B</w:t>
      </w:r>
      <w:r>
        <w:rPr>
          <w:snapToGrid w:val="0"/>
        </w:rPr>
        <w:t>.</w:t>
      </w:r>
      <w:r>
        <w:rPr>
          <w:snapToGrid w:val="0"/>
        </w:rPr>
        <w:tab/>
        <w:t>Liability of principal for acts of agent</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spacing w:before="120"/>
        <w:rPr>
          <w:snapToGrid w:val="0"/>
        </w:rPr>
      </w:pPr>
      <w:bookmarkStart w:id="254" w:name="_Toc529680011"/>
      <w:bookmarkStart w:id="255" w:name="_Toc530447831"/>
      <w:bookmarkStart w:id="256" w:name="_Toc102907700"/>
      <w:bookmarkStart w:id="257" w:name="_Toc157938885"/>
      <w:bookmarkStart w:id="258" w:name="_Toc155599001"/>
      <w:r>
        <w:rPr>
          <w:rStyle w:val="CharSectno"/>
        </w:rPr>
        <w:t>35C</w:t>
      </w:r>
      <w:r>
        <w:rPr>
          <w:snapToGrid w:val="0"/>
        </w:rPr>
        <w:t>.</w:t>
      </w:r>
      <w:r>
        <w:rPr>
          <w:snapToGrid w:val="0"/>
        </w:rPr>
        <w:tab/>
        <w:t>Liability of employer for offence of employee</w:t>
      </w:r>
      <w:bookmarkEnd w:id="254"/>
      <w:bookmarkEnd w:id="255"/>
      <w:bookmarkEnd w:id="256"/>
      <w:bookmarkEnd w:id="257"/>
      <w:bookmarkEnd w:id="258"/>
      <w:r>
        <w:rPr>
          <w:snapToGrid w:val="0"/>
        </w:rPr>
        <w:t xml:space="preserve"> </w:t>
      </w:r>
    </w:p>
    <w:p>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snapToGrid w:val="0"/>
        </w:rPr>
      </w:pPr>
      <w:bookmarkStart w:id="259" w:name="_Toc529680012"/>
      <w:bookmarkStart w:id="260" w:name="_Toc530447832"/>
      <w:bookmarkStart w:id="261" w:name="_Toc102907701"/>
      <w:bookmarkStart w:id="262" w:name="_Toc157938886"/>
      <w:bookmarkStart w:id="263" w:name="_Toc155599002"/>
      <w:r>
        <w:rPr>
          <w:rStyle w:val="CharSectno"/>
        </w:rPr>
        <w:t>36</w:t>
      </w:r>
      <w:r>
        <w:rPr>
          <w:snapToGrid w:val="0"/>
        </w:rPr>
        <w:t>.</w:t>
      </w:r>
      <w:r>
        <w:rPr>
          <w:snapToGrid w:val="0"/>
        </w:rPr>
        <w:tab/>
        <w:t>Onus of proof</w:t>
      </w:r>
      <w:bookmarkEnd w:id="259"/>
      <w:bookmarkEnd w:id="260"/>
      <w:r>
        <w:rPr>
          <w:snapToGrid w:val="0"/>
          <w:vertAlign w:val="superscript"/>
        </w:rPr>
        <w:t> 4</w:t>
      </w:r>
      <w:bookmarkEnd w:id="261"/>
      <w:bookmarkEnd w:id="262"/>
      <w:bookmarkEnd w:id="263"/>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 xml:space="preserve">[Section 36 amended by No. 84 of 2004 s. 80.] </w:t>
      </w:r>
    </w:p>
    <w:p>
      <w:pPr>
        <w:pStyle w:val="Heading5"/>
        <w:rPr>
          <w:snapToGrid w:val="0"/>
        </w:rPr>
      </w:pPr>
      <w:bookmarkStart w:id="264" w:name="_Toc529680013"/>
      <w:bookmarkStart w:id="265" w:name="_Toc530447833"/>
      <w:bookmarkStart w:id="266" w:name="_Toc102907702"/>
      <w:bookmarkStart w:id="267" w:name="_Toc157938887"/>
      <w:bookmarkStart w:id="268" w:name="_Toc155599003"/>
      <w:r>
        <w:rPr>
          <w:rStyle w:val="CharSectno"/>
        </w:rPr>
        <w:t>37</w:t>
      </w:r>
      <w:r>
        <w:rPr>
          <w:snapToGrid w:val="0"/>
        </w:rPr>
        <w:t>.</w:t>
      </w:r>
      <w:r>
        <w:rPr>
          <w:snapToGrid w:val="0"/>
        </w:rPr>
        <w:tab/>
        <w:t>Proof of knowledge</w:t>
      </w:r>
      <w:bookmarkEnd w:id="264"/>
      <w:bookmarkEnd w:id="265"/>
      <w:r>
        <w:rPr>
          <w:snapToGrid w:val="0"/>
          <w:vertAlign w:val="superscript"/>
        </w:rPr>
        <w:t> 4</w:t>
      </w:r>
      <w:bookmarkEnd w:id="266"/>
      <w:bookmarkEnd w:id="267"/>
      <w:bookmarkEnd w:id="268"/>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 xml:space="preserve">[Section 37 amended by No. 84 of 2004 s. 82.] </w:t>
      </w:r>
    </w:p>
    <w:p>
      <w:pPr>
        <w:pStyle w:val="Heading5"/>
        <w:rPr>
          <w:snapToGrid w:val="0"/>
        </w:rPr>
      </w:pPr>
      <w:bookmarkStart w:id="269" w:name="_Toc529680014"/>
      <w:bookmarkStart w:id="270" w:name="_Toc530447834"/>
      <w:bookmarkStart w:id="271" w:name="_Toc102907703"/>
      <w:bookmarkStart w:id="272" w:name="_Toc157938888"/>
      <w:bookmarkStart w:id="273" w:name="_Toc155599004"/>
      <w:r>
        <w:rPr>
          <w:rStyle w:val="CharSectno"/>
        </w:rPr>
        <w:t>38</w:t>
      </w:r>
      <w:r>
        <w:rPr>
          <w:snapToGrid w:val="0"/>
        </w:rPr>
        <w:t>.</w:t>
      </w:r>
      <w:r>
        <w:rPr>
          <w:snapToGrid w:val="0"/>
        </w:rPr>
        <w:tab/>
        <w:t>Proof of ownership or occupancy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pPr>
        <w:pStyle w:val="Heading5"/>
        <w:rPr>
          <w:snapToGrid w:val="0"/>
        </w:rPr>
      </w:pPr>
      <w:bookmarkStart w:id="274" w:name="_Toc529680015"/>
      <w:bookmarkStart w:id="275" w:name="_Toc530447835"/>
      <w:bookmarkStart w:id="276" w:name="_Toc102907704"/>
      <w:bookmarkStart w:id="277" w:name="_Toc157938889"/>
      <w:bookmarkStart w:id="278" w:name="_Toc155599005"/>
      <w:r>
        <w:rPr>
          <w:rStyle w:val="CharSectno"/>
        </w:rPr>
        <w:t>39</w:t>
      </w:r>
      <w:r>
        <w:rPr>
          <w:snapToGrid w:val="0"/>
        </w:rPr>
        <w:t>.</w:t>
      </w:r>
      <w:r>
        <w:rPr>
          <w:snapToGrid w:val="0"/>
        </w:rPr>
        <w:tab/>
        <w:t>Regulations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rPr>
          <w:snapToGrid w:val="0"/>
        </w:rPr>
      </w:pPr>
      <w:r>
        <w:rPr>
          <w:snapToGrid w:val="0"/>
        </w:rPr>
        <w:tab/>
        <w:t>(ac)</w:t>
      </w:r>
      <w:r>
        <w:rPr>
          <w:snapToGrid w:val="0"/>
        </w:rPr>
        <w:tab/>
        <w:t>regulate the issue of notices under section 23(2)(d) and (4)(c);</w:t>
      </w:r>
    </w:p>
    <w:p>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rPr>
          <w:snapToGrid w:val="0"/>
        </w:rPr>
      </w:pPr>
      <w:r>
        <w:rPr>
          <w:snapToGrid w:val="0"/>
        </w:rPr>
        <w:tab/>
        <w:t>(bb)</w:t>
      </w:r>
      <w:r>
        <w:rPr>
          <w:snapToGrid w:val="0"/>
        </w:rPr>
        <w:tab/>
        <w:t>prescribe places to be the places at which plants or fruit are permitted to enter the State;</w:t>
      </w:r>
    </w:p>
    <w:p>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rPr>
          <w:snapToGrid w:val="0"/>
        </w:rPr>
      </w:pPr>
      <w:r>
        <w:rPr>
          <w:snapToGrid w:val="0"/>
        </w:rPr>
        <w:tab/>
        <w:t>(bf)</w:t>
      </w:r>
      <w:r>
        <w:rPr>
          <w:snapToGrid w:val="0"/>
        </w:rPr>
        <w:tab/>
        <w:t>for the purposes of section 22B — </w:t>
      </w:r>
    </w:p>
    <w:p>
      <w:pPr>
        <w:pStyle w:val="Indenti"/>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snapToGrid w:val="0"/>
          <w:vertAlign w:val="superscript"/>
        </w:rPr>
      </w:pPr>
      <w:bookmarkStart w:id="279" w:name="_Toc529680016"/>
      <w:bookmarkStart w:id="280" w:name="_Toc530447836"/>
      <w:bookmarkStart w:id="281" w:name="_Toc102907705"/>
      <w:bookmarkStart w:id="282" w:name="_Toc157938890"/>
      <w:bookmarkStart w:id="283" w:name="_Toc155599006"/>
      <w:r>
        <w:rPr>
          <w:rStyle w:val="CharSectno"/>
        </w:rPr>
        <w:t>40</w:t>
      </w:r>
      <w:r>
        <w:rPr>
          <w:snapToGrid w:val="0"/>
        </w:rPr>
        <w:t>.</w:t>
      </w:r>
      <w:r>
        <w:rPr>
          <w:snapToGrid w:val="0"/>
        </w:rPr>
        <w:tab/>
        <w:t>Judicial notice to be taken of regulations and proclamations</w:t>
      </w:r>
      <w:bookmarkEnd w:id="279"/>
      <w:bookmarkEnd w:id="280"/>
      <w:r>
        <w:rPr>
          <w:snapToGrid w:val="0"/>
          <w:vertAlign w:val="superscript"/>
        </w:rPr>
        <w:t> 4</w:t>
      </w:r>
      <w:bookmarkEnd w:id="281"/>
      <w:bookmarkEnd w:id="282"/>
      <w:bookmarkEnd w:id="283"/>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Repealed by No. 31 of 1965 s. 3.] </w:t>
      </w:r>
    </w:p>
    <w:p>
      <w:pPr>
        <w:pStyle w:val="yEdnoteschedule"/>
      </w:pPr>
      <w:r>
        <w:t>[Schedule repealed by No. 64 of 1979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84" w:name="_Toc72642631"/>
      <w:bookmarkStart w:id="285" w:name="_Toc91308848"/>
      <w:bookmarkStart w:id="286" w:name="_Toc91309019"/>
      <w:bookmarkStart w:id="287" w:name="_Toc92697869"/>
      <w:bookmarkStart w:id="288" w:name="_Toc95881192"/>
      <w:bookmarkStart w:id="289" w:name="_Toc97000092"/>
      <w:bookmarkStart w:id="290" w:name="_Toc102907706"/>
      <w:bookmarkStart w:id="291" w:name="_Toc147140587"/>
      <w:bookmarkStart w:id="292" w:name="_Toc151803367"/>
      <w:bookmarkStart w:id="293" w:name="_Toc155599007"/>
      <w:bookmarkStart w:id="294" w:name="_Toc157938891"/>
      <w:r>
        <w:t>Notes</w:t>
      </w:r>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w:t>
      </w:r>
      <w:del w:id="295" w:author="svcMRProcess" w:date="2015-11-04T21: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96" w:name="_Toc102907707"/>
      <w:bookmarkStart w:id="297" w:name="_Toc157938892"/>
      <w:bookmarkStart w:id="298" w:name="_Toc155599008"/>
      <w:r>
        <w:rPr>
          <w:snapToGrid w:val="0"/>
        </w:rPr>
        <w:t>Compilation table</w:t>
      </w:r>
      <w:bookmarkEnd w:id="296"/>
      <w:bookmarkEnd w:id="297"/>
      <w:bookmarkEnd w:id="29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Plant Diseases Act 1914</w:t>
            </w:r>
          </w:p>
        </w:tc>
        <w:tc>
          <w:tcPr>
            <w:tcW w:w="1134" w:type="dxa"/>
          </w:tcPr>
          <w:p>
            <w:pPr>
              <w:pStyle w:val="nTable"/>
              <w:spacing w:before="120"/>
              <w:rPr>
                <w:sz w:val="19"/>
              </w:rPr>
            </w:pPr>
            <w:r>
              <w:rPr>
                <w:sz w:val="19"/>
              </w:rPr>
              <w:t>23 of 1914</w:t>
            </w:r>
          </w:p>
        </w:tc>
        <w:tc>
          <w:tcPr>
            <w:tcW w:w="1134" w:type="dxa"/>
          </w:tcPr>
          <w:p>
            <w:pPr>
              <w:pStyle w:val="nTable"/>
              <w:spacing w:before="120"/>
              <w:rPr>
                <w:sz w:val="19"/>
              </w:rPr>
            </w:pPr>
            <w:r>
              <w:rPr>
                <w:sz w:val="19"/>
              </w:rPr>
              <w:t>22 Sep 1914</w:t>
            </w:r>
          </w:p>
        </w:tc>
        <w:tc>
          <w:tcPr>
            <w:tcW w:w="2552" w:type="dxa"/>
          </w:tcPr>
          <w:p>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before="120"/>
              <w:ind w:right="113"/>
              <w:rPr>
                <w:sz w:val="19"/>
              </w:rPr>
            </w:pPr>
            <w:r>
              <w:rPr>
                <w:i/>
                <w:sz w:val="19"/>
              </w:rPr>
              <w:t>Plant Diseases Act Amendment Act 1925</w:t>
            </w:r>
          </w:p>
        </w:tc>
        <w:tc>
          <w:tcPr>
            <w:tcW w:w="1134" w:type="dxa"/>
          </w:tcPr>
          <w:p>
            <w:pPr>
              <w:pStyle w:val="nTable"/>
              <w:spacing w:before="120"/>
              <w:rPr>
                <w:sz w:val="19"/>
              </w:rPr>
            </w:pPr>
            <w:r>
              <w:rPr>
                <w:sz w:val="19"/>
              </w:rPr>
              <w:t>4 of 1925</w:t>
            </w:r>
          </w:p>
        </w:tc>
        <w:tc>
          <w:tcPr>
            <w:tcW w:w="1134" w:type="dxa"/>
          </w:tcPr>
          <w:p>
            <w:pPr>
              <w:pStyle w:val="nTable"/>
              <w:spacing w:before="120"/>
              <w:rPr>
                <w:sz w:val="19"/>
              </w:rPr>
            </w:pPr>
            <w:r>
              <w:rPr>
                <w:sz w:val="19"/>
              </w:rPr>
              <w:t>24 Sep 1925</w:t>
            </w:r>
          </w:p>
        </w:tc>
        <w:tc>
          <w:tcPr>
            <w:tcW w:w="2552" w:type="dxa"/>
          </w:tcPr>
          <w:p>
            <w:pPr>
              <w:pStyle w:val="nTable"/>
              <w:spacing w:before="120"/>
              <w:ind w:left="57"/>
              <w:rPr>
                <w:sz w:val="19"/>
              </w:rPr>
            </w:pPr>
            <w:r>
              <w:rPr>
                <w:sz w:val="19"/>
              </w:rPr>
              <w:t>24 Sep 1925</w:t>
            </w:r>
          </w:p>
        </w:tc>
      </w:tr>
      <w:tr>
        <w:trPr>
          <w:cantSplit/>
        </w:trPr>
        <w:tc>
          <w:tcPr>
            <w:tcW w:w="2268" w:type="dxa"/>
          </w:tcPr>
          <w:p>
            <w:pPr>
              <w:pStyle w:val="nTable"/>
              <w:spacing w:before="120"/>
              <w:ind w:right="113"/>
              <w:rPr>
                <w:sz w:val="19"/>
              </w:rPr>
            </w:pPr>
            <w:r>
              <w:rPr>
                <w:i/>
                <w:sz w:val="19"/>
              </w:rPr>
              <w:t>Plant Diseases Act Amendment Act 1926</w:t>
            </w:r>
          </w:p>
        </w:tc>
        <w:tc>
          <w:tcPr>
            <w:tcW w:w="1134" w:type="dxa"/>
          </w:tcPr>
          <w:p>
            <w:pPr>
              <w:pStyle w:val="nTable"/>
              <w:spacing w:before="120"/>
              <w:rPr>
                <w:sz w:val="19"/>
              </w:rPr>
            </w:pPr>
            <w:r>
              <w:rPr>
                <w:sz w:val="19"/>
              </w:rPr>
              <w:t>6 of 1926</w:t>
            </w:r>
          </w:p>
        </w:tc>
        <w:tc>
          <w:tcPr>
            <w:tcW w:w="1134" w:type="dxa"/>
          </w:tcPr>
          <w:p>
            <w:pPr>
              <w:pStyle w:val="nTable"/>
              <w:spacing w:before="120"/>
              <w:rPr>
                <w:sz w:val="19"/>
              </w:rPr>
            </w:pPr>
            <w:r>
              <w:rPr>
                <w:sz w:val="19"/>
              </w:rPr>
              <w:t>7 Oct 1926</w:t>
            </w:r>
          </w:p>
        </w:tc>
        <w:tc>
          <w:tcPr>
            <w:tcW w:w="2552" w:type="dxa"/>
          </w:tcPr>
          <w:p>
            <w:pPr>
              <w:pStyle w:val="nTable"/>
              <w:spacing w:before="120"/>
              <w:ind w:left="57"/>
              <w:rPr>
                <w:sz w:val="19"/>
              </w:rPr>
            </w:pPr>
            <w:r>
              <w:rPr>
                <w:sz w:val="19"/>
              </w:rPr>
              <w:t>7 Oct 1926</w:t>
            </w:r>
          </w:p>
        </w:tc>
      </w:tr>
      <w:tr>
        <w:trPr>
          <w:cantSplit/>
        </w:trPr>
        <w:tc>
          <w:tcPr>
            <w:tcW w:w="2268" w:type="dxa"/>
          </w:tcPr>
          <w:p>
            <w:pPr>
              <w:pStyle w:val="nTable"/>
              <w:spacing w:before="120"/>
              <w:ind w:right="113"/>
              <w:rPr>
                <w:sz w:val="19"/>
              </w:rPr>
            </w:pPr>
            <w:r>
              <w:rPr>
                <w:i/>
                <w:sz w:val="19"/>
              </w:rPr>
              <w:t>Plant Diseases Act Amendment Act 1933</w:t>
            </w:r>
          </w:p>
        </w:tc>
        <w:tc>
          <w:tcPr>
            <w:tcW w:w="1134" w:type="dxa"/>
          </w:tcPr>
          <w:p>
            <w:pPr>
              <w:pStyle w:val="nTable"/>
              <w:spacing w:before="120"/>
              <w:rPr>
                <w:sz w:val="19"/>
              </w:rPr>
            </w:pPr>
            <w:r>
              <w:rPr>
                <w:sz w:val="19"/>
              </w:rPr>
              <w:t>21 of 1933</w:t>
            </w:r>
          </w:p>
        </w:tc>
        <w:tc>
          <w:tcPr>
            <w:tcW w:w="1134" w:type="dxa"/>
          </w:tcPr>
          <w:p>
            <w:pPr>
              <w:pStyle w:val="nTable"/>
              <w:spacing w:before="120"/>
              <w:rPr>
                <w:sz w:val="19"/>
              </w:rPr>
            </w:pPr>
            <w:r>
              <w:rPr>
                <w:sz w:val="19"/>
              </w:rPr>
              <w:t>13 Nov 1933</w:t>
            </w:r>
          </w:p>
        </w:tc>
        <w:tc>
          <w:tcPr>
            <w:tcW w:w="2552" w:type="dxa"/>
          </w:tcPr>
          <w:p>
            <w:pPr>
              <w:pStyle w:val="nTable"/>
              <w:spacing w:before="120"/>
              <w:ind w:left="57"/>
              <w:rPr>
                <w:sz w:val="19"/>
              </w:rPr>
            </w:pPr>
            <w:r>
              <w:rPr>
                <w:sz w:val="19"/>
              </w:rPr>
              <w:t>13 Nov 1933</w:t>
            </w:r>
          </w:p>
        </w:tc>
      </w:tr>
      <w:tr>
        <w:trPr>
          <w:cantSplit/>
        </w:trPr>
        <w:tc>
          <w:tcPr>
            <w:tcW w:w="2268" w:type="dxa"/>
          </w:tcPr>
          <w:p>
            <w:pPr>
              <w:pStyle w:val="nTable"/>
              <w:spacing w:before="120"/>
              <w:ind w:right="113"/>
              <w:rPr>
                <w:sz w:val="19"/>
              </w:rPr>
            </w:pPr>
            <w:r>
              <w:rPr>
                <w:i/>
                <w:sz w:val="19"/>
              </w:rPr>
              <w:t>Plant Diseases Act Amendment Act 1935</w:t>
            </w:r>
          </w:p>
        </w:tc>
        <w:tc>
          <w:tcPr>
            <w:tcW w:w="1134" w:type="dxa"/>
          </w:tcPr>
          <w:p>
            <w:pPr>
              <w:pStyle w:val="nTable"/>
              <w:spacing w:before="120"/>
              <w:rPr>
                <w:sz w:val="19"/>
              </w:rPr>
            </w:pPr>
            <w:r>
              <w:rPr>
                <w:sz w:val="19"/>
              </w:rPr>
              <w:t>10 of 1935</w:t>
            </w:r>
          </w:p>
        </w:tc>
        <w:tc>
          <w:tcPr>
            <w:tcW w:w="1134" w:type="dxa"/>
          </w:tcPr>
          <w:p>
            <w:pPr>
              <w:pStyle w:val="nTable"/>
              <w:spacing w:before="120"/>
              <w:rPr>
                <w:sz w:val="19"/>
              </w:rPr>
            </w:pPr>
            <w:r>
              <w:rPr>
                <w:sz w:val="19"/>
              </w:rPr>
              <w:t>24 Oct 1935</w:t>
            </w:r>
          </w:p>
        </w:tc>
        <w:tc>
          <w:tcPr>
            <w:tcW w:w="2552" w:type="dxa"/>
          </w:tcPr>
          <w:p>
            <w:pPr>
              <w:pStyle w:val="nTable"/>
              <w:spacing w:before="120"/>
              <w:ind w:left="57"/>
              <w:rPr>
                <w:sz w:val="19"/>
              </w:rPr>
            </w:pPr>
            <w:r>
              <w:rPr>
                <w:sz w:val="19"/>
              </w:rPr>
              <w:t>24 Oct 1935</w:t>
            </w:r>
          </w:p>
        </w:tc>
      </w:tr>
      <w:tr>
        <w:trPr>
          <w:cantSplit/>
        </w:trPr>
        <w:tc>
          <w:tcPr>
            <w:tcW w:w="2268" w:type="dxa"/>
          </w:tcPr>
          <w:p>
            <w:pPr>
              <w:pStyle w:val="nTable"/>
              <w:spacing w:before="120"/>
              <w:ind w:right="113"/>
              <w:rPr>
                <w:sz w:val="19"/>
              </w:rPr>
            </w:pPr>
            <w:r>
              <w:rPr>
                <w:i/>
                <w:sz w:val="19"/>
              </w:rPr>
              <w:t>Plant Diseases Act Amendment Act 1939</w:t>
            </w:r>
          </w:p>
        </w:tc>
        <w:tc>
          <w:tcPr>
            <w:tcW w:w="1134" w:type="dxa"/>
          </w:tcPr>
          <w:p>
            <w:pPr>
              <w:pStyle w:val="nTable"/>
              <w:spacing w:before="120"/>
              <w:rPr>
                <w:sz w:val="19"/>
              </w:rPr>
            </w:pPr>
            <w:r>
              <w:rPr>
                <w:sz w:val="19"/>
              </w:rPr>
              <w:t>5 of 1939</w:t>
            </w:r>
          </w:p>
        </w:tc>
        <w:tc>
          <w:tcPr>
            <w:tcW w:w="1134" w:type="dxa"/>
          </w:tcPr>
          <w:p>
            <w:pPr>
              <w:pStyle w:val="nTable"/>
              <w:spacing w:before="120"/>
              <w:rPr>
                <w:sz w:val="19"/>
              </w:rPr>
            </w:pPr>
            <w:r>
              <w:rPr>
                <w:sz w:val="19"/>
              </w:rPr>
              <w:t>5 Oct 1939</w:t>
            </w:r>
          </w:p>
        </w:tc>
        <w:tc>
          <w:tcPr>
            <w:tcW w:w="2552" w:type="dxa"/>
          </w:tcPr>
          <w:p>
            <w:pPr>
              <w:pStyle w:val="nTable"/>
              <w:spacing w:before="120"/>
              <w:ind w:left="57"/>
              <w:rPr>
                <w:sz w:val="19"/>
              </w:rPr>
            </w:pPr>
            <w:r>
              <w:rPr>
                <w:sz w:val="19"/>
              </w:rPr>
              <w:t>5 Oct 1939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Plant Diseases Act Amendment Act 1946</w:t>
            </w:r>
          </w:p>
        </w:tc>
        <w:tc>
          <w:tcPr>
            <w:tcW w:w="1134" w:type="dxa"/>
          </w:tcPr>
          <w:p>
            <w:pPr>
              <w:pStyle w:val="nTable"/>
              <w:spacing w:before="120"/>
              <w:rPr>
                <w:sz w:val="19"/>
              </w:rPr>
            </w:pPr>
            <w:r>
              <w:rPr>
                <w:sz w:val="19"/>
              </w:rPr>
              <w:t>25 of 1946</w:t>
            </w:r>
          </w:p>
        </w:tc>
        <w:tc>
          <w:tcPr>
            <w:tcW w:w="1134" w:type="dxa"/>
          </w:tcPr>
          <w:p>
            <w:pPr>
              <w:pStyle w:val="nTable"/>
              <w:spacing w:before="120"/>
              <w:rPr>
                <w:sz w:val="19"/>
              </w:rPr>
            </w:pPr>
            <w:r>
              <w:rPr>
                <w:sz w:val="19"/>
              </w:rPr>
              <w:t>14 Jan 1947</w:t>
            </w:r>
          </w:p>
        </w:tc>
        <w:tc>
          <w:tcPr>
            <w:tcW w:w="2552" w:type="dxa"/>
          </w:tcPr>
          <w:p>
            <w:pPr>
              <w:pStyle w:val="nTable"/>
              <w:spacing w:before="120"/>
              <w:ind w:left="57"/>
              <w:rPr>
                <w:sz w:val="19"/>
              </w:rPr>
            </w:pPr>
            <w:r>
              <w:rPr>
                <w:sz w:val="19"/>
              </w:rPr>
              <w:t>14 Jan 1947</w:t>
            </w:r>
          </w:p>
        </w:tc>
      </w:tr>
      <w:tr>
        <w:trPr>
          <w:cantSplit/>
        </w:trPr>
        <w:tc>
          <w:tcPr>
            <w:tcW w:w="2268" w:type="dxa"/>
          </w:tcPr>
          <w:p>
            <w:pPr>
              <w:pStyle w:val="nTable"/>
              <w:spacing w:before="120"/>
              <w:ind w:right="113"/>
              <w:rPr>
                <w:sz w:val="19"/>
              </w:rPr>
            </w:pPr>
            <w:r>
              <w:rPr>
                <w:i/>
                <w:sz w:val="19"/>
              </w:rPr>
              <w:t>Plant Diseases Act Amendment Act 1947</w:t>
            </w:r>
          </w:p>
        </w:tc>
        <w:tc>
          <w:tcPr>
            <w:tcW w:w="1134" w:type="dxa"/>
          </w:tcPr>
          <w:p>
            <w:pPr>
              <w:pStyle w:val="nTable"/>
              <w:spacing w:before="120"/>
              <w:rPr>
                <w:sz w:val="19"/>
              </w:rPr>
            </w:pPr>
            <w:r>
              <w:rPr>
                <w:sz w:val="19"/>
              </w:rPr>
              <w:t>35 of 1947</w:t>
            </w:r>
          </w:p>
        </w:tc>
        <w:tc>
          <w:tcPr>
            <w:tcW w:w="1134" w:type="dxa"/>
          </w:tcPr>
          <w:p>
            <w:pPr>
              <w:pStyle w:val="nTable"/>
              <w:spacing w:before="120"/>
              <w:rPr>
                <w:sz w:val="19"/>
              </w:rPr>
            </w:pPr>
            <w:r>
              <w:rPr>
                <w:sz w:val="19"/>
              </w:rPr>
              <w:t>1 Dec 1947</w:t>
            </w:r>
          </w:p>
        </w:tc>
        <w:tc>
          <w:tcPr>
            <w:tcW w:w="2552" w:type="dxa"/>
          </w:tcPr>
          <w:p>
            <w:pPr>
              <w:pStyle w:val="nTable"/>
              <w:spacing w:before="120"/>
              <w:ind w:left="57"/>
              <w:rPr>
                <w:sz w:val="19"/>
              </w:rPr>
            </w:pPr>
            <w:r>
              <w:rPr>
                <w:sz w:val="19"/>
              </w:rPr>
              <w:t>1 Dec 1947</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1949</w:t>
            </w:r>
          </w:p>
        </w:tc>
        <w:tc>
          <w:tcPr>
            <w:tcW w:w="1134" w:type="dxa"/>
          </w:tcPr>
          <w:p>
            <w:pPr>
              <w:pStyle w:val="nTable"/>
              <w:spacing w:before="120"/>
              <w:rPr>
                <w:sz w:val="19"/>
              </w:rPr>
            </w:pPr>
            <w:r>
              <w:rPr>
                <w:sz w:val="19"/>
              </w:rPr>
              <w:t>3 of 1949</w:t>
            </w:r>
          </w:p>
        </w:tc>
        <w:tc>
          <w:tcPr>
            <w:tcW w:w="1134" w:type="dxa"/>
          </w:tcPr>
          <w:p>
            <w:pPr>
              <w:pStyle w:val="nTable"/>
              <w:spacing w:before="120"/>
              <w:rPr>
                <w:sz w:val="19"/>
              </w:rPr>
            </w:pPr>
            <w:r>
              <w:rPr>
                <w:sz w:val="19"/>
              </w:rPr>
              <w:t>24 Aug 1949</w:t>
            </w:r>
          </w:p>
        </w:tc>
        <w:tc>
          <w:tcPr>
            <w:tcW w:w="2552" w:type="dxa"/>
          </w:tcPr>
          <w:p>
            <w:pPr>
              <w:pStyle w:val="nTable"/>
              <w:spacing w:before="120"/>
              <w:ind w:left="57"/>
              <w:rPr>
                <w:sz w:val="19"/>
              </w:rPr>
            </w:pPr>
            <w:r>
              <w:rPr>
                <w:sz w:val="19"/>
              </w:rPr>
              <w:t>24 Aug 1949</w:t>
            </w:r>
          </w:p>
        </w:tc>
      </w:tr>
      <w:tr>
        <w:trPr>
          <w:cantSplit/>
        </w:trPr>
        <w:tc>
          <w:tcPr>
            <w:tcW w:w="2268" w:type="dxa"/>
          </w:tcPr>
          <w:p>
            <w:pPr>
              <w:pStyle w:val="nTable"/>
              <w:spacing w:before="120"/>
              <w:ind w:right="113"/>
              <w:rPr>
                <w:sz w:val="19"/>
              </w:rPr>
            </w:pPr>
            <w:r>
              <w:rPr>
                <w:i/>
                <w:sz w:val="19"/>
              </w:rPr>
              <w:t>Plant Diseases Act Amendment Act 1949</w:t>
            </w:r>
          </w:p>
        </w:tc>
        <w:tc>
          <w:tcPr>
            <w:tcW w:w="1134" w:type="dxa"/>
          </w:tcPr>
          <w:p>
            <w:pPr>
              <w:pStyle w:val="nTable"/>
              <w:spacing w:before="120"/>
              <w:rPr>
                <w:sz w:val="19"/>
              </w:rPr>
            </w:pPr>
            <w:r>
              <w:rPr>
                <w:sz w:val="19"/>
              </w:rPr>
              <w:t>11 of 1949</w:t>
            </w:r>
          </w:p>
        </w:tc>
        <w:tc>
          <w:tcPr>
            <w:tcW w:w="1134" w:type="dxa"/>
          </w:tcPr>
          <w:p>
            <w:pPr>
              <w:pStyle w:val="nTable"/>
              <w:spacing w:before="120"/>
              <w:rPr>
                <w:sz w:val="19"/>
              </w:rPr>
            </w:pPr>
            <w:r>
              <w:rPr>
                <w:sz w:val="19"/>
              </w:rPr>
              <w:t>14 Sep 1949</w:t>
            </w:r>
          </w:p>
        </w:tc>
        <w:tc>
          <w:tcPr>
            <w:tcW w:w="2552" w:type="dxa"/>
          </w:tcPr>
          <w:p>
            <w:pPr>
              <w:pStyle w:val="nTable"/>
              <w:spacing w:before="120"/>
              <w:ind w:left="57"/>
              <w:rPr>
                <w:sz w:val="19"/>
              </w:rPr>
            </w:pPr>
            <w:r>
              <w:rPr>
                <w:sz w:val="19"/>
              </w:rPr>
              <w:t>14 Sep 1949</w:t>
            </w:r>
          </w:p>
        </w:tc>
      </w:tr>
      <w:tr>
        <w:trPr>
          <w:cantSplit/>
        </w:trPr>
        <w:tc>
          <w:tcPr>
            <w:tcW w:w="2268" w:type="dxa"/>
          </w:tcPr>
          <w:p>
            <w:pPr>
              <w:pStyle w:val="nTable"/>
              <w:spacing w:before="120"/>
              <w:ind w:right="113"/>
              <w:rPr>
                <w:sz w:val="19"/>
              </w:rPr>
            </w:pPr>
            <w:r>
              <w:rPr>
                <w:i/>
                <w:sz w:val="19"/>
              </w:rPr>
              <w:t>Plant Diseases Act Amendment Act 1950</w:t>
            </w:r>
          </w:p>
        </w:tc>
        <w:tc>
          <w:tcPr>
            <w:tcW w:w="1134" w:type="dxa"/>
          </w:tcPr>
          <w:p>
            <w:pPr>
              <w:pStyle w:val="nTable"/>
              <w:spacing w:before="120"/>
              <w:rPr>
                <w:sz w:val="19"/>
              </w:rPr>
            </w:pPr>
            <w:r>
              <w:rPr>
                <w:sz w:val="19"/>
              </w:rPr>
              <w:t>3 of 1950</w:t>
            </w:r>
          </w:p>
        </w:tc>
        <w:tc>
          <w:tcPr>
            <w:tcW w:w="1134" w:type="dxa"/>
          </w:tcPr>
          <w:p>
            <w:pPr>
              <w:pStyle w:val="nTable"/>
              <w:spacing w:before="120"/>
              <w:rPr>
                <w:sz w:val="19"/>
              </w:rPr>
            </w:pPr>
            <w:r>
              <w:rPr>
                <w:sz w:val="19"/>
              </w:rPr>
              <w:t>15 Nov 1950</w:t>
            </w:r>
          </w:p>
        </w:tc>
        <w:tc>
          <w:tcPr>
            <w:tcW w:w="2552" w:type="dxa"/>
          </w:tcPr>
          <w:p>
            <w:pPr>
              <w:pStyle w:val="nTable"/>
              <w:spacing w:before="120"/>
              <w:ind w:left="57"/>
              <w:rPr>
                <w:sz w:val="19"/>
              </w:rPr>
            </w:pPr>
            <w:r>
              <w:rPr>
                <w:sz w:val="19"/>
              </w:rPr>
              <w:t>15 Nov 1950</w:t>
            </w:r>
          </w:p>
        </w:tc>
      </w:tr>
      <w:tr>
        <w:trPr>
          <w:cantSplit/>
        </w:trPr>
        <w:tc>
          <w:tcPr>
            <w:tcW w:w="2268" w:type="dxa"/>
          </w:tcPr>
          <w:p>
            <w:pPr>
              <w:pStyle w:val="nTable"/>
              <w:spacing w:before="120"/>
              <w:ind w:right="113"/>
              <w:rPr>
                <w:sz w:val="19"/>
              </w:rPr>
            </w:pPr>
            <w:r>
              <w:rPr>
                <w:i/>
                <w:sz w:val="19"/>
              </w:rPr>
              <w:t>Plant Diseases Act Amendment Act 1952</w:t>
            </w:r>
          </w:p>
        </w:tc>
        <w:tc>
          <w:tcPr>
            <w:tcW w:w="1134" w:type="dxa"/>
          </w:tcPr>
          <w:p>
            <w:pPr>
              <w:pStyle w:val="nTable"/>
              <w:spacing w:before="120"/>
              <w:rPr>
                <w:sz w:val="19"/>
              </w:rPr>
            </w:pPr>
            <w:r>
              <w:rPr>
                <w:sz w:val="19"/>
              </w:rPr>
              <w:t>45 of 1952</w:t>
            </w:r>
          </w:p>
        </w:tc>
        <w:tc>
          <w:tcPr>
            <w:tcW w:w="1134" w:type="dxa"/>
          </w:tcPr>
          <w:p>
            <w:pPr>
              <w:pStyle w:val="nTable"/>
              <w:spacing w:before="120"/>
              <w:rPr>
                <w:sz w:val="19"/>
              </w:rPr>
            </w:pPr>
            <w:r>
              <w:rPr>
                <w:sz w:val="19"/>
              </w:rPr>
              <w:t>18 Dec 1952</w:t>
            </w:r>
          </w:p>
        </w:tc>
        <w:tc>
          <w:tcPr>
            <w:tcW w:w="2552" w:type="dxa"/>
          </w:tcPr>
          <w:p>
            <w:pPr>
              <w:pStyle w:val="nTable"/>
              <w:spacing w:before="120"/>
              <w:ind w:left="57"/>
              <w:rPr>
                <w:sz w:val="19"/>
              </w:rPr>
            </w:pPr>
            <w:r>
              <w:rPr>
                <w:sz w:val="19"/>
              </w:rPr>
              <w:t>18 Dec 1952</w:t>
            </w:r>
          </w:p>
        </w:tc>
      </w:tr>
      <w:tr>
        <w:trPr>
          <w:cantSplit/>
        </w:trPr>
        <w:tc>
          <w:tcPr>
            <w:tcW w:w="2268" w:type="dxa"/>
          </w:tcPr>
          <w:p>
            <w:pPr>
              <w:pStyle w:val="nTable"/>
              <w:spacing w:before="120"/>
              <w:ind w:right="113"/>
              <w:rPr>
                <w:sz w:val="19"/>
              </w:rPr>
            </w:pPr>
            <w:r>
              <w:rPr>
                <w:i/>
                <w:sz w:val="19"/>
              </w:rPr>
              <w:t>Plant Diseases Act Amendment Act 1954</w:t>
            </w:r>
          </w:p>
        </w:tc>
        <w:tc>
          <w:tcPr>
            <w:tcW w:w="1134" w:type="dxa"/>
          </w:tcPr>
          <w:p>
            <w:pPr>
              <w:pStyle w:val="nTable"/>
              <w:spacing w:before="120"/>
              <w:rPr>
                <w:sz w:val="19"/>
              </w:rPr>
            </w:pPr>
            <w:r>
              <w:rPr>
                <w:sz w:val="19"/>
              </w:rPr>
              <w:t>57 of 1954</w:t>
            </w:r>
          </w:p>
        </w:tc>
        <w:tc>
          <w:tcPr>
            <w:tcW w:w="1134" w:type="dxa"/>
          </w:tcPr>
          <w:p>
            <w:pPr>
              <w:pStyle w:val="nTable"/>
              <w:spacing w:before="120"/>
              <w:rPr>
                <w:sz w:val="19"/>
              </w:rPr>
            </w:pPr>
            <w:r>
              <w:rPr>
                <w:sz w:val="19"/>
              </w:rPr>
              <w:t>23 Dec 1954</w:t>
            </w:r>
          </w:p>
        </w:tc>
        <w:tc>
          <w:tcPr>
            <w:tcW w:w="2552" w:type="dxa"/>
          </w:tcPr>
          <w:p>
            <w:pPr>
              <w:pStyle w:val="nTable"/>
              <w:spacing w:before="120"/>
              <w:ind w:left="57"/>
              <w:rPr>
                <w:sz w:val="19"/>
              </w:rPr>
            </w:pPr>
            <w:r>
              <w:rPr>
                <w:sz w:val="19"/>
              </w:rPr>
              <w:t>23 Dec 1954</w:t>
            </w:r>
          </w:p>
        </w:tc>
      </w:tr>
      <w:tr>
        <w:trPr>
          <w:cantSplit/>
        </w:trPr>
        <w:tc>
          <w:tcPr>
            <w:tcW w:w="2268" w:type="dxa"/>
          </w:tcPr>
          <w:p>
            <w:pPr>
              <w:pStyle w:val="nTable"/>
              <w:keepNext/>
              <w:spacing w:before="120"/>
              <w:ind w:right="113"/>
              <w:rPr>
                <w:sz w:val="19"/>
              </w:rPr>
            </w:pPr>
            <w:r>
              <w:rPr>
                <w:i/>
                <w:sz w:val="19"/>
              </w:rPr>
              <w:t>Plant Diseases Act Amendment Act 1956</w:t>
            </w:r>
          </w:p>
        </w:tc>
        <w:tc>
          <w:tcPr>
            <w:tcW w:w="1134" w:type="dxa"/>
          </w:tcPr>
          <w:p>
            <w:pPr>
              <w:pStyle w:val="nTable"/>
              <w:keepNext/>
              <w:spacing w:before="120"/>
              <w:rPr>
                <w:sz w:val="19"/>
              </w:rPr>
            </w:pPr>
            <w:r>
              <w:rPr>
                <w:sz w:val="19"/>
              </w:rPr>
              <w:t>4 of 1956</w:t>
            </w:r>
          </w:p>
        </w:tc>
        <w:tc>
          <w:tcPr>
            <w:tcW w:w="1134" w:type="dxa"/>
          </w:tcPr>
          <w:p>
            <w:pPr>
              <w:pStyle w:val="nTable"/>
              <w:keepNext/>
              <w:spacing w:before="120"/>
              <w:rPr>
                <w:sz w:val="19"/>
              </w:rPr>
            </w:pPr>
            <w:r>
              <w:rPr>
                <w:sz w:val="19"/>
              </w:rPr>
              <w:t>3 Oct 1956</w:t>
            </w:r>
          </w:p>
        </w:tc>
        <w:tc>
          <w:tcPr>
            <w:tcW w:w="2552" w:type="dxa"/>
          </w:tcPr>
          <w:p>
            <w:pPr>
              <w:pStyle w:val="nTable"/>
              <w:keepNext/>
              <w:spacing w:before="120"/>
              <w:ind w:left="57"/>
              <w:rPr>
                <w:sz w:val="19"/>
              </w:rPr>
            </w:pPr>
            <w:r>
              <w:rPr>
                <w:sz w:val="19"/>
              </w:rPr>
              <w:t>3 Oct 1956</w:t>
            </w:r>
          </w:p>
        </w:tc>
      </w:tr>
      <w:tr>
        <w:trPr>
          <w:cantSplit/>
        </w:trPr>
        <w:tc>
          <w:tcPr>
            <w:tcW w:w="2268" w:type="dxa"/>
          </w:tcPr>
          <w:p>
            <w:pPr>
              <w:pStyle w:val="nTable"/>
              <w:spacing w:before="120"/>
              <w:ind w:right="113"/>
              <w:rPr>
                <w:sz w:val="19"/>
              </w:rPr>
            </w:pPr>
            <w:r>
              <w:rPr>
                <w:i/>
                <w:sz w:val="19"/>
              </w:rPr>
              <w:t>Plant Diseases Act Amendment Act 1958</w:t>
            </w:r>
          </w:p>
        </w:tc>
        <w:tc>
          <w:tcPr>
            <w:tcW w:w="1134" w:type="dxa"/>
          </w:tcPr>
          <w:p>
            <w:pPr>
              <w:pStyle w:val="nTable"/>
              <w:spacing w:before="120"/>
              <w:rPr>
                <w:sz w:val="19"/>
              </w:rPr>
            </w:pPr>
            <w:r>
              <w:rPr>
                <w:sz w:val="19"/>
              </w:rPr>
              <w:t>7 of 1958</w:t>
            </w:r>
          </w:p>
        </w:tc>
        <w:tc>
          <w:tcPr>
            <w:tcW w:w="1134" w:type="dxa"/>
          </w:tcPr>
          <w:p>
            <w:pPr>
              <w:pStyle w:val="nTable"/>
              <w:spacing w:before="120"/>
              <w:rPr>
                <w:sz w:val="19"/>
              </w:rPr>
            </w:pPr>
            <w:r>
              <w:rPr>
                <w:sz w:val="19"/>
              </w:rPr>
              <w:t>29 Sep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1958</w:t>
            </w:r>
          </w:p>
        </w:tc>
        <w:tc>
          <w:tcPr>
            <w:tcW w:w="1134" w:type="dxa"/>
          </w:tcPr>
          <w:p>
            <w:pPr>
              <w:pStyle w:val="nTable"/>
              <w:spacing w:before="120"/>
              <w:rPr>
                <w:sz w:val="19"/>
              </w:rPr>
            </w:pPr>
            <w:r>
              <w:rPr>
                <w:sz w:val="19"/>
              </w:rPr>
              <w:t>60 of 1958</w:t>
            </w:r>
          </w:p>
        </w:tc>
        <w:tc>
          <w:tcPr>
            <w:tcW w:w="1134" w:type="dxa"/>
          </w:tcPr>
          <w:p>
            <w:pPr>
              <w:pStyle w:val="nTable"/>
              <w:spacing w:before="120"/>
              <w:rPr>
                <w:sz w:val="19"/>
              </w:rPr>
            </w:pPr>
            <w:r>
              <w:rPr>
                <w:sz w:val="19"/>
              </w:rPr>
              <w:t>24 Dec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Plant Diseases Act Amendment Act 1960</w:t>
            </w:r>
          </w:p>
        </w:tc>
        <w:tc>
          <w:tcPr>
            <w:tcW w:w="1134" w:type="dxa"/>
          </w:tcPr>
          <w:p>
            <w:pPr>
              <w:pStyle w:val="nTable"/>
              <w:spacing w:before="120"/>
              <w:rPr>
                <w:sz w:val="19"/>
              </w:rPr>
            </w:pPr>
            <w:r>
              <w:rPr>
                <w:sz w:val="19"/>
              </w:rPr>
              <w:t>34 of 1960</w:t>
            </w:r>
          </w:p>
        </w:tc>
        <w:tc>
          <w:tcPr>
            <w:tcW w:w="1134" w:type="dxa"/>
          </w:tcPr>
          <w:p>
            <w:pPr>
              <w:pStyle w:val="nTable"/>
              <w:spacing w:before="120"/>
              <w:rPr>
                <w:sz w:val="19"/>
              </w:rPr>
            </w:pPr>
            <w:r>
              <w:rPr>
                <w:sz w:val="19"/>
              </w:rPr>
              <w:t>1 Nov 1960</w:t>
            </w:r>
          </w:p>
        </w:tc>
        <w:tc>
          <w:tcPr>
            <w:tcW w:w="2552" w:type="dxa"/>
          </w:tcPr>
          <w:p>
            <w:pPr>
              <w:pStyle w:val="nTable"/>
              <w:spacing w:before="120"/>
              <w:ind w:left="57"/>
              <w:rPr>
                <w:sz w:val="19"/>
              </w:rPr>
            </w:pPr>
            <w:r>
              <w:rPr>
                <w:sz w:val="19"/>
              </w:rPr>
              <w:t>1 Nov 1960</w:t>
            </w:r>
          </w:p>
        </w:tc>
      </w:tr>
      <w:tr>
        <w:trPr>
          <w:cantSplit/>
        </w:trPr>
        <w:tc>
          <w:tcPr>
            <w:tcW w:w="2268" w:type="dxa"/>
          </w:tcPr>
          <w:p>
            <w:pPr>
              <w:pStyle w:val="nTable"/>
              <w:spacing w:before="120"/>
              <w:ind w:right="113"/>
              <w:rPr>
                <w:sz w:val="19"/>
              </w:rPr>
            </w:pPr>
            <w:r>
              <w:rPr>
                <w:i/>
                <w:sz w:val="19"/>
              </w:rPr>
              <w:t>Plant Diseases Act Amendment Act 1962</w:t>
            </w:r>
          </w:p>
        </w:tc>
        <w:tc>
          <w:tcPr>
            <w:tcW w:w="1134" w:type="dxa"/>
          </w:tcPr>
          <w:p>
            <w:pPr>
              <w:pStyle w:val="nTable"/>
              <w:spacing w:before="120"/>
              <w:rPr>
                <w:sz w:val="19"/>
              </w:rPr>
            </w:pPr>
            <w:r>
              <w:rPr>
                <w:sz w:val="19"/>
              </w:rPr>
              <w:t>53 of 1962</w:t>
            </w:r>
          </w:p>
        </w:tc>
        <w:tc>
          <w:tcPr>
            <w:tcW w:w="1134" w:type="dxa"/>
          </w:tcPr>
          <w:p>
            <w:pPr>
              <w:pStyle w:val="nTable"/>
              <w:spacing w:before="120"/>
              <w:rPr>
                <w:sz w:val="19"/>
              </w:rPr>
            </w:pPr>
            <w:r>
              <w:rPr>
                <w:sz w:val="19"/>
              </w:rPr>
              <w:t>20 Nov 1962</w:t>
            </w:r>
          </w:p>
        </w:tc>
        <w:tc>
          <w:tcPr>
            <w:tcW w:w="2552" w:type="dxa"/>
          </w:tcPr>
          <w:p>
            <w:pPr>
              <w:pStyle w:val="nTable"/>
              <w:spacing w:before="120"/>
              <w:ind w:left="57"/>
              <w:rPr>
                <w:sz w:val="19"/>
              </w:rPr>
            </w:pPr>
            <w:r>
              <w:rPr>
                <w:sz w:val="19"/>
              </w:rPr>
              <w:t>20 Nov 1962</w:t>
            </w:r>
          </w:p>
        </w:tc>
      </w:tr>
      <w:tr>
        <w:trPr>
          <w:cantSplit/>
        </w:trPr>
        <w:tc>
          <w:tcPr>
            <w:tcW w:w="2268" w:type="dxa"/>
          </w:tcPr>
          <w:p>
            <w:pPr>
              <w:pStyle w:val="nTable"/>
              <w:spacing w:before="120"/>
              <w:ind w:right="113"/>
              <w:rPr>
                <w:sz w:val="19"/>
              </w:rPr>
            </w:pPr>
            <w:r>
              <w:rPr>
                <w:i/>
                <w:sz w:val="19"/>
              </w:rPr>
              <w:t>Plant Diseases Act Amendment Act 1965</w:t>
            </w:r>
          </w:p>
        </w:tc>
        <w:tc>
          <w:tcPr>
            <w:tcW w:w="1134" w:type="dxa"/>
          </w:tcPr>
          <w:p>
            <w:pPr>
              <w:pStyle w:val="nTable"/>
              <w:spacing w:before="120"/>
              <w:rPr>
                <w:sz w:val="19"/>
              </w:rPr>
            </w:pPr>
            <w:r>
              <w:rPr>
                <w:sz w:val="19"/>
              </w:rPr>
              <w:t>31 of 1965</w:t>
            </w:r>
          </w:p>
        </w:tc>
        <w:tc>
          <w:tcPr>
            <w:tcW w:w="1134" w:type="dxa"/>
          </w:tcPr>
          <w:p>
            <w:pPr>
              <w:pStyle w:val="nTable"/>
              <w:spacing w:before="120"/>
              <w:rPr>
                <w:sz w:val="19"/>
              </w:rPr>
            </w:pPr>
            <w:r>
              <w:rPr>
                <w:sz w:val="19"/>
              </w:rPr>
              <w:t>21 Oct 1965</w:t>
            </w:r>
          </w:p>
        </w:tc>
        <w:tc>
          <w:tcPr>
            <w:tcW w:w="2552" w:type="dxa"/>
          </w:tcPr>
          <w:p>
            <w:pPr>
              <w:pStyle w:val="nTable"/>
              <w:spacing w:before="120"/>
              <w:ind w:left="57"/>
              <w:rPr>
                <w:sz w:val="19"/>
              </w:rPr>
            </w:pPr>
            <w:r>
              <w:rPr>
                <w:sz w:val="19"/>
              </w:rPr>
              <w:t>21 Oct 1965</w:t>
            </w:r>
          </w:p>
        </w:tc>
      </w:tr>
      <w:tr>
        <w:trPr>
          <w:cantSplit/>
        </w:trPr>
        <w:tc>
          <w:tcPr>
            <w:tcW w:w="2268" w:type="dxa"/>
          </w:tcPr>
          <w:p>
            <w:pPr>
              <w:pStyle w:val="nTable"/>
              <w:spacing w:before="120"/>
              <w:ind w:right="113"/>
              <w:rPr>
                <w:sz w:val="19"/>
              </w:rPr>
            </w:pPr>
            <w:r>
              <w:rPr>
                <w:i/>
                <w:sz w:val="19"/>
              </w:rPr>
              <w:t>Plant Diseases Act Amendment Act 1966</w:t>
            </w:r>
          </w:p>
        </w:tc>
        <w:tc>
          <w:tcPr>
            <w:tcW w:w="1134" w:type="dxa"/>
          </w:tcPr>
          <w:p>
            <w:pPr>
              <w:pStyle w:val="nTable"/>
              <w:spacing w:before="120"/>
              <w:rPr>
                <w:sz w:val="19"/>
              </w:rPr>
            </w:pPr>
            <w:r>
              <w:rPr>
                <w:sz w:val="19"/>
              </w:rPr>
              <w:t>22 of 1966</w:t>
            </w:r>
          </w:p>
        </w:tc>
        <w:tc>
          <w:tcPr>
            <w:tcW w:w="1134" w:type="dxa"/>
          </w:tcPr>
          <w:p>
            <w:pPr>
              <w:pStyle w:val="nTable"/>
              <w:spacing w:before="120"/>
              <w:rPr>
                <w:sz w:val="19"/>
              </w:rPr>
            </w:pPr>
            <w:r>
              <w:rPr>
                <w:sz w:val="19"/>
              </w:rPr>
              <w:t>17 Oct 1966</w:t>
            </w:r>
          </w:p>
        </w:tc>
        <w:tc>
          <w:tcPr>
            <w:tcW w:w="2552" w:type="dxa"/>
          </w:tcPr>
          <w:p>
            <w:pPr>
              <w:pStyle w:val="nTable"/>
              <w:spacing w:before="120"/>
              <w:ind w:left="57"/>
              <w:rPr>
                <w:sz w:val="19"/>
              </w:rPr>
            </w:pPr>
            <w:r>
              <w:rPr>
                <w:sz w:val="19"/>
              </w:rPr>
              <w:t>17 Oct 1966</w:t>
            </w:r>
          </w:p>
        </w:tc>
      </w:tr>
      <w:tr>
        <w:trPr>
          <w:cantSplit/>
        </w:trPr>
        <w:tc>
          <w:tcPr>
            <w:tcW w:w="2268" w:type="dxa"/>
          </w:tcPr>
          <w:p>
            <w:pPr>
              <w:pStyle w:val="nTable"/>
              <w:spacing w:before="120"/>
              <w:ind w:right="113"/>
              <w:rPr>
                <w:sz w:val="19"/>
              </w:rPr>
            </w:pPr>
            <w:r>
              <w:rPr>
                <w:i/>
                <w:sz w:val="19"/>
              </w:rPr>
              <w:t>Plant Diseases Act Amendment Act 1967</w:t>
            </w:r>
          </w:p>
        </w:tc>
        <w:tc>
          <w:tcPr>
            <w:tcW w:w="1134" w:type="dxa"/>
          </w:tcPr>
          <w:p>
            <w:pPr>
              <w:pStyle w:val="nTable"/>
              <w:spacing w:before="120"/>
              <w:rPr>
                <w:sz w:val="19"/>
              </w:rPr>
            </w:pPr>
            <w:r>
              <w:rPr>
                <w:sz w:val="19"/>
              </w:rPr>
              <w:t>39 of 1967</w:t>
            </w:r>
          </w:p>
        </w:tc>
        <w:tc>
          <w:tcPr>
            <w:tcW w:w="1134" w:type="dxa"/>
          </w:tcPr>
          <w:p>
            <w:pPr>
              <w:pStyle w:val="nTable"/>
              <w:spacing w:before="120"/>
              <w:rPr>
                <w:sz w:val="19"/>
              </w:rPr>
            </w:pPr>
            <w:r>
              <w:rPr>
                <w:sz w:val="19"/>
              </w:rPr>
              <w:t>21 Nov 1967</w:t>
            </w:r>
          </w:p>
        </w:tc>
        <w:tc>
          <w:tcPr>
            <w:tcW w:w="2552" w:type="dxa"/>
          </w:tcPr>
          <w:p>
            <w:pPr>
              <w:pStyle w:val="nTable"/>
              <w:spacing w:before="120"/>
              <w:ind w:left="57"/>
              <w:rPr>
                <w:sz w:val="19"/>
              </w:rPr>
            </w:pPr>
            <w:r>
              <w:rPr>
                <w:sz w:val="19"/>
              </w:rPr>
              <w:t>21 Nov 1967</w:t>
            </w:r>
          </w:p>
        </w:tc>
      </w:tr>
      <w:tr>
        <w:trPr>
          <w:cantSplit/>
        </w:trPr>
        <w:tc>
          <w:tcPr>
            <w:tcW w:w="2268" w:type="dxa"/>
          </w:tcPr>
          <w:p>
            <w:pPr>
              <w:pStyle w:val="nTable"/>
              <w:spacing w:before="120"/>
              <w:ind w:right="113"/>
              <w:rPr>
                <w:sz w:val="19"/>
              </w:rPr>
            </w:pPr>
            <w:r>
              <w:rPr>
                <w:i/>
                <w:sz w:val="19"/>
              </w:rPr>
              <w:t>Plant Diseases Act Amendment Act 1969</w:t>
            </w:r>
          </w:p>
        </w:tc>
        <w:tc>
          <w:tcPr>
            <w:tcW w:w="1134" w:type="dxa"/>
          </w:tcPr>
          <w:p>
            <w:pPr>
              <w:pStyle w:val="nTable"/>
              <w:spacing w:before="120"/>
              <w:rPr>
                <w:sz w:val="19"/>
              </w:rPr>
            </w:pPr>
            <w:r>
              <w:rPr>
                <w:sz w:val="19"/>
              </w:rPr>
              <w:t>7 of 1969</w:t>
            </w:r>
          </w:p>
        </w:tc>
        <w:tc>
          <w:tcPr>
            <w:tcW w:w="1134" w:type="dxa"/>
          </w:tcPr>
          <w:p>
            <w:pPr>
              <w:pStyle w:val="nTable"/>
              <w:spacing w:before="120"/>
              <w:rPr>
                <w:sz w:val="19"/>
              </w:rPr>
            </w:pPr>
            <w:r>
              <w:rPr>
                <w:sz w:val="19"/>
              </w:rPr>
              <w:t>6 May 1969</w:t>
            </w:r>
          </w:p>
        </w:tc>
        <w:tc>
          <w:tcPr>
            <w:tcW w:w="2552" w:type="dxa"/>
          </w:tcPr>
          <w:p>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trPr>
          <w:cantSplit/>
        </w:trPr>
        <w:tc>
          <w:tcPr>
            <w:tcW w:w="2268" w:type="dxa"/>
          </w:tcPr>
          <w:p>
            <w:pPr>
              <w:pStyle w:val="nTable"/>
              <w:spacing w:before="120"/>
              <w:ind w:right="113"/>
              <w:rPr>
                <w:sz w:val="19"/>
              </w:rPr>
            </w:pPr>
            <w:r>
              <w:rPr>
                <w:i/>
                <w:sz w:val="19"/>
              </w:rPr>
              <w:t>Plant Diseases Act Amendment Act (No. 2) 1969</w:t>
            </w:r>
          </w:p>
        </w:tc>
        <w:tc>
          <w:tcPr>
            <w:tcW w:w="1134" w:type="dxa"/>
          </w:tcPr>
          <w:p>
            <w:pPr>
              <w:pStyle w:val="nTable"/>
              <w:spacing w:before="120"/>
              <w:rPr>
                <w:sz w:val="19"/>
              </w:rPr>
            </w:pPr>
            <w:r>
              <w:rPr>
                <w:sz w:val="19"/>
              </w:rPr>
              <w:t>68 of 1969</w:t>
            </w:r>
          </w:p>
        </w:tc>
        <w:tc>
          <w:tcPr>
            <w:tcW w:w="1134" w:type="dxa"/>
          </w:tcPr>
          <w:p>
            <w:pPr>
              <w:pStyle w:val="nTable"/>
              <w:spacing w:before="120"/>
              <w:rPr>
                <w:sz w:val="19"/>
              </w:rPr>
            </w:pPr>
            <w:r>
              <w:rPr>
                <w:sz w:val="19"/>
              </w:rPr>
              <w:t>27 Oct 1969</w:t>
            </w:r>
          </w:p>
        </w:tc>
        <w:tc>
          <w:tcPr>
            <w:tcW w:w="2552" w:type="dxa"/>
          </w:tcPr>
          <w:p>
            <w:pPr>
              <w:pStyle w:val="nTable"/>
              <w:spacing w:before="120"/>
              <w:ind w:left="57"/>
              <w:rPr>
                <w:sz w:val="19"/>
              </w:rPr>
            </w:pPr>
            <w:r>
              <w:rPr>
                <w:sz w:val="19"/>
              </w:rPr>
              <w:t>27 Oct 1969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 (as amended by No. 19 and 83 of 1973, 42 of 1975)</w:t>
            </w:r>
          </w:p>
        </w:tc>
        <w:tc>
          <w:tcPr>
            <w:tcW w:w="1134" w:type="dxa"/>
          </w:tcPr>
          <w:p>
            <w:pPr>
              <w:pStyle w:val="nTable"/>
              <w:spacing w:before="120"/>
              <w:rPr>
                <w:sz w:val="19"/>
              </w:rPr>
            </w:pPr>
            <w:r>
              <w:rPr>
                <w:sz w:val="19"/>
              </w:rPr>
              <w:t>4 Dec 1972</w:t>
            </w:r>
          </w:p>
        </w:tc>
        <w:tc>
          <w:tcPr>
            <w:tcW w:w="2552" w:type="dxa"/>
          </w:tcPr>
          <w:p>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before="120"/>
              <w:ind w:right="113"/>
              <w:rPr>
                <w:sz w:val="19"/>
              </w:rPr>
            </w:pPr>
            <w:r>
              <w:rPr>
                <w:i/>
                <w:sz w:val="19"/>
              </w:rPr>
              <w:t>Plant Diseases Act Amendment Act 1974</w:t>
            </w:r>
          </w:p>
        </w:tc>
        <w:tc>
          <w:tcPr>
            <w:tcW w:w="1134" w:type="dxa"/>
          </w:tcPr>
          <w:p>
            <w:pPr>
              <w:pStyle w:val="nTable"/>
              <w:keepNext/>
              <w:spacing w:before="120"/>
              <w:rPr>
                <w:sz w:val="19"/>
              </w:rPr>
            </w:pPr>
            <w:r>
              <w:rPr>
                <w:sz w:val="19"/>
              </w:rPr>
              <w:t>3 of 1974</w:t>
            </w:r>
          </w:p>
        </w:tc>
        <w:tc>
          <w:tcPr>
            <w:tcW w:w="1134" w:type="dxa"/>
          </w:tcPr>
          <w:p>
            <w:pPr>
              <w:pStyle w:val="nTable"/>
              <w:keepNext/>
              <w:spacing w:before="120"/>
              <w:rPr>
                <w:sz w:val="19"/>
              </w:rPr>
            </w:pPr>
            <w:r>
              <w:rPr>
                <w:sz w:val="19"/>
              </w:rPr>
              <w:t>19 Sep 1974</w:t>
            </w:r>
          </w:p>
        </w:tc>
        <w:tc>
          <w:tcPr>
            <w:tcW w:w="2552" w:type="dxa"/>
          </w:tcPr>
          <w:p>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before="120"/>
              <w:ind w:right="113"/>
              <w:rPr>
                <w:sz w:val="19"/>
              </w:rPr>
            </w:pPr>
            <w:r>
              <w:rPr>
                <w:i/>
                <w:sz w:val="19"/>
              </w:rPr>
              <w:t>Plant Diseases Act Amendment Act 1978</w:t>
            </w:r>
          </w:p>
        </w:tc>
        <w:tc>
          <w:tcPr>
            <w:tcW w:w="1134" w:type="dxa"/>
          </w:tcPr>
          <w:p>
            <w:pPr>
              <w:pStyle w:val="nTable"/>
              <w:spacing w:before="120"/>
              <w:rPr>
                <w:sz w:val="19"/>
              </w:rPr>
            </w:pPr>
            <w:r>
              <w:rPr>
                <w:sz w:val="19"/>
              </w:rPr>
              <w:t>52 of 1978</w:t>
            </w:r>
          </w:p>
        </w:tc>
        <w:tc>
          <w:tcPr>
            <w:tcW w:w="1134" w:type="dxa"/>
          </w:tcPr>
          <w:p>
            <w:pPr>
              <w:pStyle w:val="nTable"/>
              <w:spacing w:before="120"/>
              <w:rPr>
                <w:sz w:val="19"/>
              </w:rPr>
            </w:pPr>
            <w:r>
              <w:rPr>
                <w:sz w:val="19"/>
              </w:rPr>
              <w:t>6 Sep 1978</w:t>
            </w:r>
          </w:p>
        </w:tc>
        <w:tc>
          <w:tcPr>
            <w:tcW w:w="2552" w:type="dxa"/>
          </w:tcPr>
          <w:p>
            <w:pPr>
              <w:pStyle w:val="nTable"/>
              <w:spacing w:before="120"/>
              <w:ind w:left="57"/>
              <w:rPr>
                <w:sz w:val="19"/>
              </w:rPr>
            </w:pPr>
            <w:r>
              <w:rPr>
                <w:sz w:val="19"/>
              </w:rPr>
              <w:t>6 Sep 1978</w:t>
            </w:r>
          </w:p>
        </w:tc>
      </w:tr>
      <w:tr>
        <w:trPr>
          <w:cantSplit/>
        </w:trPr>
        <w:tc>
          <w:tcPr>
            <w:tcW w:w="2268" w:type="dxa"/>
          </w:tcPr>
          <w:p>
            <w:pPr>
              <w:pStyle w:val="nTable"/>
              <w:spacing w:before="120"/>
              <w:ind w:right="113"/>
              <w:rPr>
                <w:sz w:val="19"/>
              </w:rPr>
            </w:pPr>
            <w:r>
              <w:rPr>
                <w:i/>
                <w:sz w:val="19"/>
              </w:rPr>
              <w:t>Plant Diseases Act Amendment Act 1979</w:t>
            </w:r>
          </w:p>
        </w:tc>
        <w:tc>
          <w:tcPr>
            <w:tcW w:w="1134" w:type="dxa"/>
          </w:tcPr>
          <w:p>
            <w:pPr>
              <w:pStyle w:val="nTable"/>
              <w:spacing w:before="120"/>
              <w:rPr>
                <w:sz w:val="19"/>
              </w:rPr>
            </w:pPr>
            <w:r>
              <w:rPr>
                <w:sz w:val="19"/>
              </w:rPr>
              <w:t>64 of 1979</w:t>
            </w:r>
          </w:p>
        </w:tc>
        <w:tc>
          <w:tcPr>
            <w:tcW w:w="1134" w:type="dxa"/>
          </w:tcPr>
          <w:p>
            <w:pPr>
              <w:pStyle w:val="nTable"/>
              <w:spacing w:before="120"/>
              <w:rPr>
                <w:sz w:val="19"/>
              </w:rPr>
            </w:pPr>
            <w:r>
              <w:rPr>
                <w:sz w:val="19"/>
              </w:rPr>
              <w:t>21 Nov 1979</w:t>
            </w:r>
          </w:p>
        </w:tc>
        <w:tc>
          <w:tcPr>
            <w:tcW w:w="2552" w:type="dxa"/>
          </w:tcPr>
          <w:p>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pPr>
              <w:pStyle w:val="nTable"/>
              <w:spacing w:before="120"/>
              <w:rPr>
                <w:sz w:val="19"/>
              </w:rPr>
            </w:pPr>
            <w:r>
              <w:rPr>
                <w:sz w:val="19"/>
              </w:rPr>
              <w:t>55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Plant Diseases Amendment Act 1984</w:t>
            </w:r>
          </w:p>
        </w:tc>
        <w:tc>
          <w:tcPr>
            <w:tcW w:w="1134" w:type="dxa"/>
          </w:tcPr>
          <w:p>
            <w:pPr>
              <w:pStyle w:val="nTable"/>
              <w:spacing w:before="120"/>
              <w:rPr>
                <w:sz w:val="19"/>
              </w:rPr>
            </w:pPr>
            <w:r>
              <w:rPr>
                <w:sz w:val="19"/>
              </w:rPr>
              <w:t>51 of 1984</w:t>
            </w:r>
          </w:p>
        </w:tc>
        <w:tc>
          <w:tcPr>
            <w:tcW w:w="1134" w:type="dxa"/>
          </w:tcPr>
          <w:p>
            <w:pPr>
              <w:pStyle w:val="nTable"/>
              <w:spacing w:before="120"/>
              <w:rPr>
                <w:sz w:val="19"/>
              </w:rPr>
            </w:pPr>
            <w:r>
              <w:rPr>
                <w:sz w:val="19"/>
              </w:rPr>
              <w:t>5 Sep 1984</w:t>
            </w:r>
          </w:p>
        </w:tc>
        <w:tc>
          <w:tcPr>
            <w:tcW w:w="2552" w:type="dxa"/>
          </w:tcPr>
          <w:p>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Plant Diseases Amendment Act 1993</w:t>
            </w:r>
            <w:r>
              <w:rPr>
                <w:sz w:val="19"/>
                <w:vertAlign w:val="superscript"/>
              </w:rPr>
              <w:t> 12</w:t>
            </w:r>
          </w:p>
        </w:tc>
        <w:tc>
          <w:tcPr>
            <w:tcW w:w="1134" w:type="dxa"/>
          </w:tcPr>
          <w:p>
            <w:pPr>
              <w:pStyle w:val="nTable"/>
              <w:keepNext/>
              <w:spacing w:before="120"/>
              <w:rPr>
                <w:sz w:val="19"/>
              </w:rPr>
            </w:pPr>
            <w:r>
              <w:rPr>
                <w:sz w:val="19"/>
              </w:rPr>
              <w:t>40 of 1993</w:t>
            </w:r>
          </w:p>
        </w:tc>
        <w:tc>
          <w:tcPr>
            <w:tcW w:w="1134" w:type="dxa"/>
          </w:tcPr>
          <w:p>
            <w:pPr>
              <w:pStyle w:val="nTable"/>
              <w:keepNext/>
              <w:spacing w:before="120"/>
              <w:rPr>
                <w:sz w:val="19"/>
              </w:rPr>
            </w:pPr>
            <w:r>
              <w:rPr>
                <w:sz w:val="19"/>
              </w:rPr>
              <w:t>20 Dec 1993</w:t>
            </w:r>
          </w:p>
        </w:tc>
        <w:tc>
          <w:tcPr>
            <w:tcW w:w="2552" w:type="dxa"/>
          </w:tcPr>
          <w:p>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ind w:left="57"/>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ind w:left="57"/>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Transfer of Land Amendment Act 1996</w:t>
            </w:r>
            <w:r>
              <w:rPr>
                <w:sz w:val="19"/>
              </w:rPr>
              <w:t xml:space="preserve"> s. 153(1)</w:t>
            </w:r>
          </w:p>
        </w:tc>
        <w:tc>
          <w:tcPr>
            <w:tcW w:w="1134" w:type="dxa"/>
          </w:tcPr>
          <w:p>
            <w:pPr>
              <w:pStyle w:val="nTable"/>
              <w:spacing w:before="120" w:after="60"/>
              <w:rPr>
                <w:sz w:val="19"/>
              </w:rPr>
            </w:pPr>
            <w:r>
              <w:rPr>
                <w:sz w:val="19"/>
              </w:rPr>
              <w:t>81 of 1996</w:t>
            </w:r>
          </w:p>
        </w:tc>
        <w:tc>
          <w:tcPr>
            <w:tcW w:w="1134" w:type="dxa"/>
          </w:tcPr>
          <w:p>
            <w:pPr>
              <w:pStyle w:val="nTable"/>
              <w:spacing w:before="120" w:after="60"/>
              <w:rPr>
                <w:sz w:val="19"/>
              </w:rPr>
            </w:pPr>
            <w:r>
              <w:rPr>
                <w:sz w:val="19"/>
              </w:rPr>
              <w:t>14 Nov 1996</w:t>
            </w:r>
          </w:p>
        </w:tc>
        <w:tc>
          <w:tcPr>
            <w:tcW w:w="2552" w:type="dxa"/>
          </w:tcPr>
          <w:p>
            <w:pPr>
              <w:pStyle w:val="nTable"/>
              <w:spacing w:before="120" w:after="60"/>
              <w:ind w:left="57"/>
              <w:rPr>
                <w:sz w:val="19"/>
              </w:rPr>
            </w:pPr>
            <w:r>
              <w:rPr>
                <w:sz w:val="19"/>
              </w:rPr>
              <w:t>14 Nov 1996 (see s. 2(1))</w:t>
            </w:r>
          </w:p>
        </w:tc>
      </w:tr>
      <w:tr>
        <w:trPr>
          <w:cantSplit/>
        </w:trPr>
        <w:tc>
          <w:tcPr>
            <w:tcW w:w="2268" w:type="dxa"/>
          </w:tcPr>
          <w:p>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pPr>
              <w:pStyle w:val="nTable"/>
              <w:keepLines/>
              <w:spacing w:before="120" w:after="60"/>
              <w:rPr>
                <w:sz w:val="19"/>
              </w:rPr>
            </w:pPr>
            <w:r>
              <w:rPr>
                <w:sz w:val="19"/>
              </w:rPr>
              <w:t>57 of 1997</w:t>
            </w:r>
          </w:p>
        </w:tc>
        <w:tc>
          <w:tcPr>
            <w:tcW w:w="1134" w:type="dxa"/>
          </w:tcPr>
          <w:p>
            <w:pPr>
              <w:pStyle w:val="nTable"/>
              <w:keepLines/>
              <w:spacing w:before="120" w:after="60"/>
              <w:rPr>
                <w:sz w:val="19"/>
              </w:rPr>
            </w:pPr>
            <w:r>
              <w:rPr>
                <w:sz w:val="19"/>
              </w:rPr>
              <w:t>15 Dec 1997</w:t>
            </w:r>
          </w:p>
        </w:tc>
        <w:tc>
          <w:tcPr>
            <w:tcW w:w="2552" w:type="dxa"/>
          </w:tcPr>
          <w:p>
            <w:pPr>
              <w:pStyle w:val="nTable"/>
              <w:keepLines/>
              <w:spacing w:before="120" w:after="60"/>
              <w:ind w:left="57"/>
              <w:rPr>
                <w:sz w:val="19"/>
              </w:rPr>
            </w:pPr>
            <w:r>
              <w:rPr>
                <w:sz w:val="19"/>
              </w:rPr>
              <w:t>15 Dec 1997 (see s. 2(1))</w:t>
            </w:r>
          </w:p>
        </w:tc>
      </w:tr>
      <w:tr>
        <w:trPr>
          <w:cantSplit/>
        </w:trPr>
        <w:tc>
          <w:tcPr>
            <w:tcW w:w="2268" w:type="dxa"/>
          </w:tcPr>
          <w:p>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pPr>
              <w:pStyle w:val="nTable"/>
              <w:keepLines/>
              <w:spacing w:before="120" w:after="60"/>
              <w:rPr>
                <w:sz w:val="19"/>
              </w:rPr>
            </w:pPr>
            <w:r>
              <w:rPr>
                <w:sz w:val="19"/>
              </w:rPr>
              <w:t>24 of 2000</w:t>
            </w:r>
          </w:p>
        </w:tc>
        <w:tc>
          <w:tcPr>
            <w:tcW w:w="1134" w:type="dxa"/>
          </w:tcPr>
          <w:p>
            <w:pPr>
              <w:pStyle w:val="nTable"/>
              <w:keepLines/>
              <w:spacing w:before="120" w:after="60"/>
              <w:rPr>
                <w:sz w:val="19"/>
              </w:rPr>
            </w:pPr>
            <w:r>
              <w:rPr>
                <w:sz w:val="19"/>
              </w:rPr>
              <w:t>4 Jul 2000</w:t>
            </w:r>
          </w:p>
        </w:tc>
        <w:tc>
          <w:tcPr>
            <w:tcW w:w="2552" w:type="dxa"/>
          </w:tcPr>
          <w:p>
            <w:pPr>
              <w:pStyle w:val="nTable"/>
              <w:keepLines/>
              <w:spacing w:before="120" w:after="60"/>
              <w:ind w:left="57"/>
              <w:rPr>
                <w:sz w:val="19"/>
              </w:rPr>
            </w:pPr>
            <w:r>
              <w:rPr>
                <w:sz w:val="19"/>
              </w:rPr>
              <w:t>4 Jul 2000 (see s. 2)</w:t>
            </w:r>
          </w:p>
        </w:tc>
      </w:tr>
      <w:tr>
        <w:trPr>
          <w:cantSplit/>
        </w:trPr>
        <w:tc>
          <w:tcPr>
            <w:tcW w:w="2268" w:type="dxa"/>
          </w:tcPr>
          <w:p>
            <w:pPr>
              <w:pStyle w:val="nTable"/>
              <w:spacing w:before="120"/>
              <w:ind w:right="113"/>
              <w:rPr>
                <w:i/>
                <w:sz w:val="19"/>
              </w:rPr>
            </w:pPr>
            <w:r>
              <w:rPr>
                <w:i/>
                <w:sz w:val="19"/>
              </w:rPr>
              <w:t>Plant Diseases Amendment Act 2001</w:t>
            </w:r>
          </w:p>
        </w:tc>
        <w:tc>
          <w:tcPr>
            <w:tcW w:w="1134" w:type="dxa"/>
          </w:tcPr>
          <w:p>
            <w:pPr>
              <w:pStyle w:val="nTable"/>
              <w:keepLines/>
              <w:spacing w:before="120" w:after="60"/>
              <w:rPr>
                <w:sz w:val="19"/>
              </w:rPr>
            </w:pPr>
            <w:r>
              <w:rPr>
                <w:sz w:val="19"/>
              </w:rPr>
              <w:t>19 of 2001</w:t>
            </w:r>
          </w:p>
        </w:tc>
        <w:tc>
          <w:tcPr>
            <w:tcW w:w="1134" w:type="dxa"/>
          </w:tcPr>
          <w:p>
            <w:pPr>
              <w:pStyle w:val="nTable"/>
              <w:keepLines/>
              <w:spacing w:before="120" w:after="60"/>
              <w:rPr>
                <w:sz w:val="19"/>
              </w:rPr>
            </w:pPr>
            <w:r>
              <w:rPr>
                <w:sz w:val="19"/>
              </w:rPr>
              <w:t>1 Nov 2001</w:t>
            </w:r>
          </w:p>
        </w:tc>
        <w:tc>
          <w:tcPr>
            <w:tcW w:w="2552" w:type="dxa"/>
          </w:tcPr>
          <w:p>
            <w:pPr>
              <w:pStyle w:val="nTable"/>
              <w:keepLines/>
              <w:spacing w:before="120" w:after="60"/>
              <w:ind w:left="57"/>
              <w:rPr>
                <w:sz w:val="19"/>
              </w:rPr>
            </w:pPr>
            <w:r>
              <w:rPr>
                <w:sz w:val="19"/>
              </w:rPr>
              <w:t>1 Nov 2001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trPr>
          <w:cantSplit/>
        </w:trPr>
        <w:tc>
          <w:tcPr>
            <w:tcW w:w="2268" w:type="dxa"/>
          </w:tcPr>
          <w:p>
            <w:pPr>
              <w:pStyle w:val="nTable"/>
              <w:spacing w:before="120"/>
              <w:ind w:right="113"/>
              <w:rPr>
                <w:i/>
                <w:sz w:val="19"/>
              </w:rPr>
            </w:pPr>
            <w:bookmarkStart w:id="299" w:name="_Toc511102521"/>
            <w:bookmarkStart w:id="300" w:name="_Toc48378234"/>
            <w:r>
              <w:rPr>
                <w:i/>
                <w:sz w:val="19"/>
              </w:rPr>
              <w:t xml:space="preserve">Sentencing Legislation Amendment and Repeal Act 2003 </w:t>
            </w:r>
            <w:r>
              <w:rPr>
                <w:sz w:val="19"/>
              </w:rPr>
              <w:t>s. 83</w:t>
            </w:r>
          </w:p>
        </w:tc>
        <w:tc>
          <w:tcPr>
            <w:tcW w:w="1134" w:type="dxa"/>
          </w:tcPr>
          <w:p>
            <w:pPr>
              <w:pStyle w:val="nTable"/>
              <w:keepLines/>
              <w:spacing w:before="120" w:after="60"/>
              <w:rPr>
                <w:sz w:val="19"/>
              </w:rPr>
            </w:pPr>
            <w:r>
              <w:rPr>
                <w:sz w:val="19"/>
              </w:rPr>
              <w:t>50 of 2003</w:t>
            </w:r>
          </w:p>
        </w:tc>
        <w:tc>
          <w:tcPr>
            <w:tcW w:w="1134" w:type="dxa"/>
          </w:tcPr>
          <w:p>
            <w:pPr>
              <w:pStyle w:val="nTable"/>
              <w:keepLines/>
              <w:spacing w:before="120" w:after="60"/>
              <w:rPr>
                <w:sz w:val="19"/>
              </w:rPr>
            </w:pPr>
            <w:r>
              <w:rPr>
                <w:sz w:val="19"/>
              </w:rPr>
              <w:t>9 Jul 2003</w:t>
            </w:r>
          </w:p>
        </w:tc>
        <w:tc>
          <w:tcPr>
            <w:tcW w:w="2552" w:type="dxa"/>
          </w:tcPr>
          <w:p>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pPr>
              <w:pStyle w:val="nTable"/>
              <w:keepLines/>
              <w:spacing w:before="120" w:after="60"/>
              <w:rPr>
                <w:sz w:val="19"/>
              </w:rPr>
            </w:pPr>
            <w:r>
              <w:rPr>
                <w:rFonts w:ascii="Times" w:hAnsi="Times"/>
                <w:sz w:val="19"/>
              </w:rPr>
              <w:t>55 of 2004</w:t>
            </w:r>
          </w:p>
        </w:tc>
        <w:tc>
          <w:tcPr>
            <w:tcW w:w="1134" w:type="dxa"/>
          </w:tcPr>
          <w:p>
            <w:pPr>
              <w:pStyle w:val="nTable"/>
              <w:keepLines/>
              <w:spacing w:before="120" w:after="60"/>
              <w:rPr>
                <w:sz w:val="19"/>
              </w:rPr>
            </w:pPr>
            <w:r>
              <w:rPr>
                <w:rFonts w:ascii="Times" w:hAnsi="Times"/>
                <w:sz w:val="19"/>
              </w:rPr>
              <w:t>24 Nov 2004</w:t>
            </w:r>
          </w:p>
        </w:tc>
        <w:tc>
          <w:tcPr>
            <w:tcW w:w="2552" w:type="dxa"/>
          </w:tcPr>
          <w:p>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Lines/>
              <w:spacing w:before="120" w:after="60"/>
              <w:rPr>
                <w:rFonts w:ascii="Times" w:hAnsi="Times"/>
                <w:sz w:val="19"/>
              </w:rPr>
            </w:pPr>
            <w:r>
              <w:rPr>
                <w:snapToGrid w:val="0"/>
                <w:sz w:val="19"/>
                <w:lang w:val="en-US"/>
              </w:rPr>
              <w:t>84 of 2004</w:t>
            </w:r>
          </w:p>
        </w:tc>
        <w:tc>
          <w:tcPr>
            <w:tcW w:w="1134" w:type="dxa"/>
          </w:tcPr>
          <w:p>
            <w:pPr>
              <w:pStyle w:val="nTable"/>
              <w:keepLines/>
              <w:spacing w:before="120" w:after="60"/>
              <w:rPr>
                <w:rFonts w:ascii="Times" w:hAnsi="Times"/>
                <w:sz w:val="19"/>
              </w:rPr>
            </w:pPr>
            <w:r>
              <w:rPr>
                <w:sz w:val="19"/>
              </w:rPr>
              <w:t>16 Dec 2004</w:t>
            </w:r>
          </w:p>
        </w:tc>
        <w:tc>
          <w:tcPr>
            <w:tcW w:w="2552" w:type="dxa"/>
          </w:tcPr>
          <w:p>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120"/>
              <w:ind w:right="113"/>
              <w:rPr>
                <w:i/>
                <w:iCs/>
                <w:snapToGrid w:val="0"/>
                <w:sz w:val="19"/>
                <w:lang w:val="en-US"/>
              </w:rPr>
            </w:pPr>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w:t>
            </w:r>
          </w:p>
        </w:tc>
        <w:tc>
          <w:tcPr>
            <w:tcW w:w="1134" w:type="dxa"/>
          </w:tcPr>
          <w:p>
            <w:pPr>
              <w:pStyle w:val="nTable"/>
              <w:keepLines/>
              <w:spacing w:before="120" w:after="60"/>
              <w:rPr>
                <w:snapToGrid w:val="0"/>
                <w:sz w:val="19"/>
                <w:lang w:val="en-US"/>
              </w:rPr>
            </w:pPr>
            <w:r>
              <w:rPr>
                <w:snapToGrid w:val="0"/>
                <w:sz w:val="19"/>
                <w:lang w:val="en-US"/>
              </w:rPr>
              <w:t>60 of 2006</w:t>
            </w:r>
          </w:p>
        </w:tc>
        <w:tc>
          <w:tcPr>
            <w:tcW w:w="1134" w:type="dxa"/>
          </w:tcPr>
          <w:p>
            <w:pPr>
              <w:pStyle w:val="nTable"/>
              <w:keepLines/>
              <w:spacing w:before="120" w:after="60"/>
              <w:rPr>
                <w:sz w:val="19"/>
              </w:rPr>
            </w:pPr>
            <w:r>
              <w:rPr>
                <w:snapToGrid w:val="0"/>
                <w:sz w:val="19"/>
                <w:lang w:val="en-US"/>
              </w:rPr>
              <w:t>16 Nov 2006</w:t>
            </w:r>
          </w:p>
        </w:tc>
        <w:tc>
          <w:tcPr>
            <w:tcW w:w="2552" w:type="dxa"/>
          </w:tcPr>
          <w:p>
            <w:pPr>
              <w:pStyle w:val="nTable"/>
              <w:keepLines/>
              <w:spacing w:before="120" w:after="60"/>
              <w:ind w:left="57"/>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del w:id="301" w:author="svcMRProcess" w:date="2015-11-04T21:37:00Z"/>
          <w:snapToGrid w:val="0"/>
        </w:rPr>
      </w:pPr>
      <w:del w:id="302" w:author="svcMRProcess" w:date="2015-11-04T2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3" w:author="svcMRProcess" w:date="2015-11-04T21:37:00Z"/>
          <w:snapToGrid w:val="0"/>
        </w:rPr>
      </w:pPr>
      <w:bookmarkStart w:id="304" w:name="UpToHere"/>
      <w:bookmarkStart w:id="305" w:name="_Toc534778309"/>
      <w:bookmarkStart w:id="306" w:name="_Toc7405063"/>
      <w:bookmarkStart w:id="307" w:name="_Toc155599009"/>
      <w:bookmarkEnd w:id="304"/>
      <w:del w:id="308" w:author="svcMRProcess" w:date="2015-11-04T21:37:00Z">
        <w:r>
          <w:rPr>
            <w:snapToGrid w:val="0"/>
          </w:rPr>
          <w:delText>Provisions that have not come into operation</w:delText>
        </w:r>
        <w:bookmarkEnd w:id="305"/>
        <w:bookmarkEnd w:id="306"/>
        <w:bookmarkEnd w:id="30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09" w:author="svcMRProcess" w:date="2015-11-04T21:37:00Z"/>
        </w:trPr>
        <w:tc>
          <w:tcPr>
            <w:tcW w:w="2268" w:type="dxa"/>
          </w:tcPr>
          <w:p>
            <w:pPr>
              <w:pStyle w:val="nTable"/>
              <w:spacing w:after="40"/>
              <w:rPr>
                <w:del w:id="310" w:author="svcMRProcess" w:date="2015-11-04T21:37:00Z"/>
                <w:b/>
                <w:snapToGrid w:val="0"/>
                <w:sz w:val="19"/>
                <w:lang w:val="en-US"/>
              </w:rPr>
            </w:pPr>
            <w:del w:id="311" w:author="svcMRProcess" w:date="2015-11-04T21:37:00Z">
              <w:r>
                <w:rPr>
                  <w:b/>
                  <w:snapToGrid w:val="0"/>
                  <w:sz w:val="19"/>
                  <w:lang w:val="en-US"/>
                </w:rPr>
                <w:delText>Short title</w:delText>
              </w:r>
            </w:del>
          </w:p>
        </w:tc>
        <w:tc>
          <w:tcPr>
            <w:tcW w:w="1118" w:type="dxa"/>
          </w:tcPr>
          <w:p>
            <w:pPr>
              <w:pStyle w:val="nTable"/>
              <w:spacing w:after="40"/>
              <w:rPr>
                <w:del w:id="312" w:author="svcMRProcess" w:date="2015-11-04T21:37:00Z"/>
                <w:b/>
                <w:snapToGrid w:val="0"/>
                <w:sz w:val="19"/>
                <w:lang w:val="en-US"/>
              </w:rPr>
            </w:pPr>
            <w:del w:id="313" w:author="svcMRProcess" w:date="2015-11-04T21:37:00Z">
              <w:r>
                <w:rPr>
                  <w:b/>
                  <w:snapToGrid w:val="0"/>
                  <w:sz w:val="19"/>
                  <w:lang w:val="en-US"/>
                </w:rPr>
                <w:delText>Number and year</w:delText>
              </w:r>
            </w:del>
          </w:p>
        </w:tc>
        <w:tc>
          <w:tcPr>
            <w:tcW w:w="1134" w:type="dxa"/>
          </w:tcPr>
          <w:p>
            <w:pPr>
              <w:pStyle w:val="nTable"/>
              <w:spacing w:after="40"/>
              <w:rPr>
                <w:del w:id="314" w:author="svcMRProcess" w:date="2015-11-04T21:37:00Z"/>
                <w:b/>
                <w:snapToGrid w:val="0"/>
                <w:sz w:val="19"/>
                <w:lang w:val="en-US"/>
              </w:rPr>
            </w:pPr>
            <w:del w:id="315" w:author="svcMRProcess" w:date="2015-11-04T21:37:00Z">
              <w:r>
                <w:rPr>
                  <w:b/>
                  <w:snapToGrid w:val="0"/>
                  <w:sz w:val="19"/>
                  <w:lang w:val="en-US"/>
                </w:rPr>
                <w:delText>Assent</w:delText>
              </w:r>
            </w:del>
          </w:p>
        </w:tc>
        <w:tc>
          <w:tcPr>
            <w:tcW w:w="2552" w:type="dxa"/>
          </w:tcPr>
          <w:p>
            <w:pPr>
              <w:pStyle w:val="nTable"/>
              <w:spacing w:after="40"/>
              <w:rPr>
                <w:del w:id="316" w:author="svcMRProcess" w:date="2015-11-04T21:37:00Z"/>
                <w:b/>
                <w:snapToGrid w:val="0"/>
                <w:sz w:val="19"/>
                <w:lang w:val="en-US"/>
              </w:rPr>
            </w:pPr>
            <w:del w:id="317" w:author="svcMRProcess" w:date="2015-11-04T21:3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del w:id="318" w:author="svcMRProcess" w:date="2015-11-04T21:37:00Z">
              <w:r>
                <w:rPr>
                  <w:iCs/>
                  <w:snapToGrid w:val="0"/>
                  <w:sz w:val="19"/>
                  <w:lang w:val="en-US"/>
                </w:rPr>
                <w:delText> </w:delText>
              </w:r>
              <w:r>
                <w:rPr>
                  <w:iCs/>
                  <w:snapToGrid w:val="0"/>
                  <w:sz w:val="19"/>
                  <w:vertAlign w:val="superscript"/>
                  <w:lang w:val="en-US"/>
                </w:rPr>
                <w:delText>14</w:delText>
              </w:r>
            </w:del>
          </w:p>
        </w:tc>
        <w:tc>
          <w:tcPr>
            <w:tcW w:w="1134" w:type="dxa"/>
            <w:tcBorders>
              <w:bottom w:val="single" w:sz="4" w:space="0" w:color="auto"/>
            </w:tcBorders>
          </w:tcPr>
          <w:p>
            <w:pPr>
              <w:pStyle w:val="nTable"/>
              <w:keepLines/>
              <w:spacing w:before="120" w:after="6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keepLines/>
              <w:spacing w:before="120" w:after="60"/>
              <w:rPr>
                <w:snapToGrid w:val="0"/>
                <w:sz w:val="19"/>
                <w:lang w:val="en-US"/>
              </w:rPr>
            </w:pPr>
            <w:r>
              <w:rPr>
                <w:snapToGrid w:val="0"/>
                <w:sz w:val="19"/>
                <w:lang w:val="en-US"/>
              </w:rPr>
              <w:t>21 Dec 2006</w:t>
            </w:r>
          </w:p>
        </w:tc>
        <w:tc>
          <w:tcPr>
            <w:tcW w:w="2552" w:type="dxa"/>
            <w:tcBorders>
              <w:bottom w:val="single" w:sz="4" w:space="0" w:color="auto"/>
            </w:tcBorders>
          </w:tcPr>
          <w:p>
            <w:pPr>
              <w:pStyle w:val="nTable"/>
              <w:keepLines/>
              <w:spacing w:before="120" w:after="60"/>
              <w:ind w:left="57"/>
              <w:rPr>
                <w:snapToGrid w:val="0"/>
                <w:sz w:val="19"/>
                <w:lang w:val="en-US"/>
              </w:rPr>
            </w:pPr>
            <w:del w:id="319" w:author="svcMRProcess" w:date="2015-11-04T21:37:00Z">
              <w:r>
                <w:rPr>
                  <w:snapToGrid w:val="0"/>
                  <w:sz w:val="19"/>
                  <w:lang w:val="en-US"/>
                </w:rPr>
                <w:delText>To be proclaimed</w:delText>
              </w:r>
            </w:del>
            <w:ins w:id="320" w:author="svcMRProcess" w:date="2015-11-04T21:37:00Z">
              <w:r>
                <w:rPr>
                  <w:snapToGrid w:val="0"/>
                  <w:sz w:val="19"/>
                  <w:lang w:val="en-US"/>
                </w:rPr>
                <w:t>1 Feb 2007</w:t>
              </w:r>
            </w:ins>
            <w:r>
              <w:rPr>
                <w:snapToGrid w:val="0"/>
                <w:sz w:val="19"/>
                <w:lang w:val="en-US"/>
              </w:rPr>
              <w:t xml:space="preserve"> (see s.</w:t>
            </w:r>
            <w:del w:id="321" w:author="svcMRProcess" w:date="2015-11-04T21:37:00Z">
              <w:r>
                <w:rPr>
                  <w:snapToGrid w:val="0"/>
                  <w:sz w:val="19"/>
                  <w:lang w:val="en-US"/>
                </w:rPr>
                <w:delText xml:space="preserve"> </w:delText>
              </w:r>
            </w:del>
            <w:ins w:id="322" w:author="svcMRProcess" w:date="2015-11-04T21:37:00Z">
              <w:r>
                <w:rPr>
                  <w:snapToGrid w:val="0"/>
                  <w:sz w:val="19"/>
                  <w:lang w:val="en-US"/>
                </w:rPr>
                <w:t> </w:t>
              </w:r>
            </w:ins>
            <w:r>
              <w:rPr>
                <w:snapToGrid w:val="0"/>
                <w:sz w:val="19"/>
                <w:lang w:val="en-US"/>
              </w:rPr>
              <w:t>2</w:t>
            </w:r>
            <w:del w:id="323" w:author="svcMRProcess" w:date="2015-11-04T21:37:00Z">
              <w:r>
                <w:rPr>
                  <w:snapToGrid w:val="0"/>
                  <w:sz w:val="19"/>
                  <w:lang w:val="en-US"/>
                </w:rPr>
                <w:delText>(1))</w:delText>
              </w:r>
            </w:del>
            <w:ins w:id="324" w:author="svcMRProcess" w:date="2015-11-04T21:37:00Z">
              <w:r>
                <w:rPr>
                  <w:snapToGrid w:val="0"/>
                  <w:sz w:val="19"/>
                  <w:lang w:val="en-US"/>
                </w:rPr>
                <w:t xml:space="preserve"> and </w:t>
              </w:r>
              <w:r>
                <w:rPr>
                  <w:i/>
                  <w:iCs/>
                  <w:snapToGrid w:val="0"/>
                  <w:sz w:val="19"/>
                  <w:lang w:val="en-US"/>
                </w:rPr>
                <w:t>Gazette</w:t>
              </w:r>
              <w:r>
                <w:rPr>
                  <w:snapToGrid w:val="0"/>
                  <w:sz w:val="19"/>
                  <w:lang w:val="en-US"/>
                </w:rPr>
                <w:t xml:space="preserve"> 19 Jan 2007 p. 137)</w:t>
              </w:r>
            </w:ins>
          </w:p>
        </w:tc>
      </w:tr>
      <w:bookmarkEnd w:id="299"/>
      <w:bookmarkEnd w:id="300"/>
    </w:tbl>
    <w:p>
      <w:pPr>
        <w:pStyle w:val="nSubsection"/>
        <w:rPr>
          <w:del w:id="325" w:author="svcMRProcess" w:date="2015-11-04T21:37: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w:t>
      </w:r>
      <w:del w:id="326" w:author="svcMRProcess" w:date="2015-11-04T21:37:00Z">
        <w:r>
          <w:rPr>
            <w:i/>
            <w:snapToGrid w:val="0"/>
          </w:rPr>
          <w:delText xml:space="preserve"> </w:delText>
        </w:r>
      </w:del>
      <w:ins w:id="327" w:author="svcMRProcess" w:date="2015-11-04T21:37:00Z">
        <w:r>
          <w:rPr>
            <w:i/>
            <w:snapToGrid w:val="0"/>
          </w:rPr>
          <w:t> </w:t>
        </w:r>
      </w:ins>
      <w:r>
        <w:rPr>
          <w:i/>
          <w:snapToGrid w:val="0"/>
        </w:rPr>
        <w:t>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del w:id="328" w:author="svcMRProcess" w:date="2015-11-04T21:37:00Z"/>
          <w:snapToGrid w:val="0"/>
        </w:rPr>
      </w:pPr>
      <w:del w:id="329" w:author="svcMRProcess" w:date="2015-11-04T21:37:00Z">
        <w:r>
          <w:rPr>
            <w:snapToGrid w:val="0"/>
            <w:vertAlign w:val="superscript"/>
          </w:rPr>
          <w:delText>6</w:delText>
        </w:r>
        <w:r>
          <w:rPr>
            <w:snapToGrid w:val="0"/>
          </w:rPr>
          <w:tab/>
          <w:delText xml:space="preserve">Under the </w:delText>
        </w:r>
        <w:r>
          <w:rPr>
            <w:i/>
            <w:snapToGrid w:val="0"/>
          </w:rPr>
          <w:delText>Public Sector Management Act 1994</w:delText>
        </w:r>
        <w:r>
          <w:rPr>
            <w:snapToGrid w:val="0"/>
          </w:rPr>
          <w:delText xml:space="preserve"> the names of offices may be changed.  This formerly read “Under Secretary for Lands” and on a previous reprint it was changed under the </w:delText>
        </w:r>
        <w:r>
          <w:rPr>
            <w:i/>
            <w:snapToGrid w:val="0"/>
          </w:rPr>
          <w:delText>Reprints Act 1984</w:delText>
        </w:r>
        <w:r>
          <w:rPr>
            <w:snapToGrid w:val="0"/>
          </w:rPr>
          <w:delText xml:space="preserve"> s. 7(3)(h).  At the time of this reprint the chief executive officer of the Department of Land Administration is called the Chief Executive.</w:delText>
        </w:r>
      </w:del>
    </w:p>
    <w:p>
      <w:pPr>
        <w:pStyle w:val="nSubsection"/>
        <w:rPr>
          <w:ins w:id="330" w:author="svcMRProcess" w:date="2015-11-04T21:37:00Z"/>
          <w:snapToGrid w:val="0"/>
        </w:rPr>
      </w:pPr>
      <w:ins w:id="331" w:author="svcMRProcess" w:date="2015-11-04T21:37:00Z">
        <w:r>
          <w:rPr>
            <w:snapToGrid w:val="0"/>
            <w:vertAlign w:val="superscript"/>
          </w:rPr>
          <w:t>6</w:t>
        </w:r>
        <w:r>
          <w:rPr>
            <w:snapToGrid w:val="0"/>
          </w:rPr>
          <w:tab/>
          <w:t>Footnote no longer applicable.</w:t>
        </w:r>
      </w:ins>
    </w:p>
    <w:p>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pPr>
        <w:pStyle w:val="nSubsection"/>
        <w:rPr>
          <w:del w:id="332" w:author="svcMRProcess" w:date="2015-11-04T21:37:00Z"/>
          <w:snapToGrid w:val="0"/>
        </w:rPr>
      </w:pPr>
      <w:del w:id="333" w:author="svcMRProcess" w:date="2015-11-04T21:37:00Z">
        <w:r>
          <w:rPr>
            <w:snapToGrid w:val="0"/>
            <w:vertAlign w:val="superscript"/>
          </w:rPr>
          <w:delText>9</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time of this reprint the former Department of Lands and Surveys is called the Department of Land Administration and its administrative head is called the Chief Executive.  The reference was changed under the </w:delText>
        </w:r>
        <w:r>
          <w:rPr>
            <w:i/>
            <w:snapToGrid w:val="0"/>
          </w:rPr>
          <w:delText>Reprints Act 1984</w:delText>
        </w:r>
        <w:r>
          <w:rPr>
            <w:snapToGrid w:val="0"/>
          </w:rPr>
          <w:delText xml:space="preserve"> s. 7(3)(h).</w:delText>
        </w:r>
      </w:del>
    </w:p>
    <w:p>
      <w:pPr>
        <w:pStyle w:val="nSubsection"/>
        <w:rPr>
          <w:ins w:id="334" w:author="svcMRProcess" w:date="2015-11-04T21:37:00Z"/>
          <w:snapToGrid w:val="0"/>
        </w:rPr>
      </w:pPr>
      <w:ins w:id="335" w:author="svcMRProcess" w:date="2015-11-04T21:37: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pPr>
        <w:pStyle w:val="MiscOpen"/>
        <w:rPr>
          <w:snapToGrid w:val="0"/>
        </w:rPr>
      </w:pPr>
      <w:r>
        <w:rPr>
          <w:snapToGrid w:val="0"/>
        </w:rPr>
        <w:t>“</w:t>
      </w:r>
    </w:p>
    <w:p>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pPr>
        <w:pStyle w:val="nzHeading5"/>
        <w:rPr>
          <w:snapToGrid w:val="0"/>
        </w:rPr>
      </w:pPr>
      <w:r>
        <w:rPr>
          <w:snapToGrid w:val="0"/>
        </w:rPr>
        <w:t>14.</w:t>
      </w:r>
      <w:r>
        <w:rPr>
          <w:snapToGrid w:val="0"/>
        </w:rPr>
        <w:tab/>
        <w:t>Refund of certain fees</w:t>
      </w:r>
    </w:p>
    <w:p>
      <w:pPr>
        <w:pStyle w:val="nzSubsection"/>
        <w:rPr>
          <w:snapToGrid w:val="0"/>
        </w:rPr>
      </w:pPr>
      <w:r>
        <w:rPr>
          <w:snapToGrid w:val="0"/>
        </w:rPr>
        <w:tab/>
        <w:t xml:space="preserve"> (1)</w:t>
      </w:r>
      <w:r>
        <w:rPr>
          <w:snapToGrid w:val="0"/>
        </w:rPr>
        <w:tab/>
        <w:t xml:space="preserve"> In this section — </w:t>
      </w:r>
    </w:p>
    <w:p>
      <w:pPr>
        <w:pStyle w:val="nzDefstart"/>
      </w:pPr>
      <w:r>
        <w:rPr>
          <w:b/>
        </w:rPr>
        <w:tab/>
        <w:t>“Director”</w:t>
      </w:r>
      <w:r>
        <w:t xml:space="preserve"> means the Director General of Agriculture</w:t>
      </w:r>
      <w:r>
        <w:rPr>
          <w:vertAlign w:val="superscript"/>
        </w:rPr>
        <w:t xml:space="preserve"> 3</w:t>
      </w:r>
      <w:r>
        <w:t>;</w:t>
      </w:r>
    </w:p>
    <w:p>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pPr>
        <w:pStyle w:val="nzIndenta"/>
        <w:rPr>
          <w:snapToGrid w:val="0"/>
        </w:rPr>
      </w:pPr>
      <w:r>
        <w:rPr>
          <w:snapToGrid w:val="0"/>
        </w:rPr>
        <w:tab/>
        <w:t>(a)</w:t>
      </w:r>
      <w:r>
        <w:rPr>
          <w:snapToGrid w:val="0"/>
        </w:rPr>
        <w:tab/>
        <w:t>the period from the coming into operation of this Act to 30 June next following; or</w:t>
      </w:r>
    </w:p>
    <w:p>
      <w:pPr>
        <w:pStyle w:val="nzIndenta"/>
        <w:rPr>
          <w:snapToGrid w:val="0"/>
        </w:rPr>
      </w:pPr>
      <w:r>
        <w:rPr>
          <w:snapToGrid w:val="0"/>
        </w:rPr>
        <w:tab/>
        <w:t>(b)</w:t>
      </w:r>
      <w:r>
        <w:rPr>
          <w:snapToGrid w:val="0"/>
        </w:rPr>
        <w:tab/>
        <w:t>the year commencing on 1 July next following the coming into operation of this Act or any succeeding year.</w:t>
      </w:r>
    </w:p>
    <w:p>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pPr>
        <w:pStyle w:val="nzIndenta"/>
        <w:rPr>
          <w:snapToGrid w:val="0"/>
        </w:rPr>
      </w:pPr>
      <w:r>
        <w:rPr>
          <w:snapToGrid w:val="0"/>
        </w:rPr>
        <w:tab/>
        <w:t>(a)</w:t>
      </w:r>
      <w:r>
        <w:rPr>
          <w:snapToGrid w:val="0"/>
        </w:rPr>
        <w:tab/>
        <w:t>that the applicant is a person to whom the refund may properly be made; and</w:t>
      </w:r>
    </w:p>
    <w:p>
      <w:pPr>
        <w:pStyle w:val="nzIndenta"/>
        <w:rPr>
          <w:snapToGrid w:val="0"/>
        </w:rPr>
      </w:pPr>
      <w:r>
        <w:rPr>
          <w:snapToGrid w:val="0"/>
        </w:rPr>
        <w:tab/>
        <w:t>(b)</w:t>
      </w:r>
      <w:r>
        <w:rPr>
          <w:snapToGrid w:val="0"/>
        </w:rPr>
        <w:tab/>
        <w:t>that the fees the subject of the application amount to not less than $5,</w:t>
      </w:r>
    </w:p>
    <w:p>
      <w:pPr>
        <w:pStyle w:val="nzSubsection"/>
        <w:rPr>
          <w:snapToGrid w:val="0"/>
        </w:rPr>
      </w:pPr>
      <w:r>
        <w:rPr>
          <w:snapToGrid w:val="0"/>
        </w:rPr>
        <w:tab/>
      </w:r>
      <w:r>
        <w:rPr>
          <w:snapToGrid w:val="0"/>
        </w:rPr>
        <w:tab/>
        <w:t>the Director shall refund the fees to the applicant.</w:t>
      </w:r>
    </w:p>
    <w:p>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pPr>
        <w:pStyle w:val="MiscOpen"/>
        <w:rPr>
          <w:snapToGrid w:val="0"/>
        </w:rPr>
      </w:pPr>
      <w:r>
        <w:rPr>
          <w:snapToGrid w:val="0"/>
        </w:rPr>
        <w:t>“</w:t>
      </w:r>
    </w:p>
    <w:p>
      <w:pPr>
        <w:pStyle w:val="nzHeading5"/>
        <w:rPr>
          <w:snapToGrid w:val="0"/>
        </w:rPr>
      </w:pPr>
      <w:r>
        <w:rPr>
          <w:snapToGrid w:val="0"/>
        </w:rPr>
        <w:t>19.</w:t>
      </w:r>
      <w:r>
        <w:rPr>
          <w:snapToGrid w:val="0"/>
        </w:rPr>
        <w:tab/>
        <w:t xml:space="preserve">Transitional and savings provisions — Schedule 1 </w:t>
      </w:r>
    </w:p>
    <w:p>
      <w:pPr>
        <w:pStyle w:val="nzSubsection"/>
        <w:rPr>
          <w:snapToGrid w:val="0"/>
        </w:rPr>
      </w:pPr>
      <w:r>
        <w:rPr>
          <w:snapToGrid w:val="0"/>
        </w:rPr>
        <w:tab/>
        <w:t>(1)</w:t>
      </w:r>
      <w:r>
        <w:rPr>
          <w:snapToGrid w:val="0"/>
        </w:rPr>
        <w:tab/>
        <w:t>Schedule 1 clause 2 has effect in relation to the repeal effected under section 6.</w:t>
      </w:r>
    </w:p>
    <w:p>
      <w:pPr>
        <w:pStyle w:val="nzSubsection"/>
        <w:rPr>
          <w:snapToGrid w:val="0"/>
        </w:rPr>
      </w:pPr>
      <w:r>
        <w:rPr>
          <w:snapToGrid w:val="0"/>
        </w:rPr>
        <w:tab/>
        <w:t>(2)</w:t>
      </w:r>
      <w:r>
        <w:rPr>
          <w:snapToGrid w:val="0"/>
        </w:rPr>
        <w:tab/>
        <w:t>Schedule 1 clause 3 has effect in relation to the repeals effected under section 9.</w:t>
      </w:r>
    </w:p>
    <w:p>
      <w:pPr>
        <w:pStyle w:val="MiscClose"/>
        <w:rPr>
          <w:snapToGrid w:val="0"/>
        </w:rPr>
      </w:pPr>
      <w:r>
        <w:rPr>
          <w:snapToGrid w:val="0"/>
        </w:rPr>
        <w:t>”.</w:t>
      </w:r>
    </w:p>
    <w:p>
      <w:pPr>
        <w:pStyle w:val="nSubsection"/>
        <w:keepNext/>
      </w:pPr>
      <w:r>
        <w:tab/>
        <w:t>Schedule 1 reads as follows:</w:t>
      </w:r>
    </w:p>
    <w:p>
      <w:pPr>
        <w:pStyle w:val="MiscOpen"/>
      </w:pPr>
      <w:r>
        <w:t>“</w:t>
      </w:r>
    </w:p>
    <w:p>
      <w:pPr>
        <w:pStyle w:val="nzHeading2"/>
      </w:pPr>
      <w:r>
        <w:t xml:space="preserve">Schedule 1 </w:t>
      </w:r>
    </w:p>
    <w:p>
      <w:pPr>
        <w:pStyle w:val="nzSubsection"/>
        <w:keepNext/>
        <w:jc w:val="right"/>
        <w:rPr>
          <w:snapToGrid w:val="0"/>
        </w:rPr>
      </w:pPr>
      <w:r>
        <w:rPr>
          <w:snapToGrid w:val="0"/>
        </w:rPr>
        <w:t>[section 19]</w:t>
      </w:r>
    </w:p>
    <w:p>
      <w:pPr>
        <w:pStyle w:val="nzHeading3"/>
        <w:rPr>
          <w:snapToGrid w:val="0"/>
        </w:rPr>
      </w:pPr>
      <w:r>
        <w:rPr>
          <w:snapToGrid w:val="0"/>
        </w:rPr>
        <w:t>Transitional and savings provisions</w:t>
      </w:r>
    </w:p>
    <w:p>
      <w:pPr>
        <w:pStyle w:val="nzHeading5"/>
        <w:rPr>
          <w:snapToGrid w:val="0"/>
        </w:rPr>
      </w:pPr>
      <w:r>
        <w:rPr>
          <w:snapToGrid w:val="0"/>
        </w:rPr>
        <w:t>1.</w:t>
      </w:r>
      <w:r>
        <w:rPr>
          <w:snapToGrid w:val="0"/>
        </w:rPr>
        <w:tab/>
        <w:t xml:space="preserve">Definitions </w:t>
      </w:r>
    </w:p>
    <w:p>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pPr>
        <w:pStyle w:val="nzHeading5"/>
        <w:rPr>
          <w:snapToGrid w:val="0"/>
        </w:rPr>
      </w:pPr>
      <w:r>
        <w:rPr>
          <w:snapToGrid w:val="0"/>
        </w:rPr>
        <w:t>2.</w:t>
      </w:r>
      <w:r>
        <w:rPr>
          <w:snapToGrid w:val="0"/>
        </w:rPr>
        <w:tab/>
        <w:t xml:space="preserve">Repeal effected under section 6 </w:t>
      </w:r>
    </w:p>
    <w:p>
      <w:pPr>
        <w:pStyle w:val="nzSubsection"/>
        <w:rPr>
          <w:snapToGrid w:val="0"/>
        </w:rPr>
      </w:pPr>
      <w:r>
        <w:rPr>
          <w:snapToGrid w:val="0"/>
        </w:rPr>
        <w:tab/>
        <w:t>(1)</w:t>
      </w:r>
      <w:r>
        <w:rPr>
          <w:snapToGrid w:val="0"/>
        </w:rPr>
        <w:tab/>
        <w:t xml:space="preserve">In this clause </w:t>
      </w:r>
      <w:r>
        <w:rPr>
          <w:b/>
          <w:snapToGrid w:val="0"/>
        </w:rPr>
        <w:t>“</w:t>
      </w:r>
      <w:bookmarkStart w:id="336" w:name="endcomma"/>
      <w:bookmarkEnd w:id="336"/>
      <w:r>
        <w:rPr>
          <w:b/>
          <w:snapToGrid w:val="0"/>
        </w:rPr>
        <w:t>Commencement”</w:t>
      </w:r>
      <w:r>
        <w:rPr>
          <w:snapToGrid w:val="0"/>
        </w:rPr>
        <w:t xml:space="preserve"> </w:t>
      </w:r>
      <w:bookmarkStart w:id="337" w:name="comma"/>
      <w:bookmarkEnd w:id="337"/>
      <w:r>
        <w:rPr>
          <w:snapToGrid w:val="0"/>
        </w:rPr>
        <w:t>means the commencement of section 6 of this Act.</w:t>
      </w:r>
    </w:p>
    <w:p>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pPr>
        <w:pStyle w:val="nzHeading5"/>
        <w:rPr>
          <w:snapToGrid w:val="0"/>
        </w:rPr>
      </w:pPr>
      <w:r>
        <w:rPr>
          <w:snapToGrid w:val="0"/>
        </w:rPr>
        <w:t>3.</w:t>
      </w:r>
      <w:r>
        <w:rPr>
          <w:snapToGrid w:val="0"/>
        </w:rPr>
        <w:tab/>
        <w:t xml:space="preserve">Repeal effected under section 9 </w:t>
      </w:r>
    </w:p>
    <w:p>
      <w:pPr>
        <w:pStyle w:val="nzSubsection"/>
        <w:rPr>
          <w:snapToGrid w:val="0"/>
        </w:rPr>
      </w:pPr>
      <w:r>
        <w:rPr>
          <w:snapToGrid w:val="0"/>
        </w:rPr>
        <w:tab/>
      </w:r>
      <w:r>
        <w:rPr>
          <w:snapToGrid w:val="0"/>
        </w:rPr>
        <w:tab/>
        <w:t>On 30 June 1994 — </w:t>
      </w:r>
    </w:p>
    <w:p>
      <w:pPr>
        <w:pStyle w:val="nzIndenta"/>
        <w:rPr>
          <w:snapToGrid w:val="0"/>
        </w:rPr>
      </w:pPr>
      <w:r>
        <w:rPr>
          <w:snapToGrid w:val="0"/>
        </w:rPr>
        <w:tab/>
        <w:t>(a)</w:t>
      </w:r>
      <w:r>
        <w:rPr>
          <w:snapToGrid w:val="0"/>
        </w:rPr>
        <w:tab/>
        <w:t>any Committee is abolished;</w:t>
      </w:r>
    </w:p>
    <w:p>
      <w:pPr>
        <w:pStyle w:val="nzIndenta"/>
        <w:rPr>
          <w:snapToGrid w:val="0"/>
        </w:rPr>
      </w:pPr>
      <w:r>
        <w:rPr>
          <w:snapToGrid w:val="0"/>
        </w:rPr>
        <w:tab/>
        <w:t>(b)</w:t>
      </w:r>
      <w:r>
        <w:rPr>
          <w:snapToGrid w:val="0"/>
        </w:rPr>
        <w:tab/>
        <w:t>any fruit fly foliage baiting scheme in existence immediately before that date is deemed to have been wound up;</w:t>
      </w:r>
    </w:p>
    <w:p>
      <w:pPr>
        <w:pStyle w:val="nzIndenta"/>
        <w:rPr>
          <w:snapToGrid w:val="0"/>
        </w:rPr>
      </w:pPr>
      <w:r>
        <w:rPr>
          <w:snapToGrid w:val="0"/>
        </w:rPr>
        <w:tab/>
        <w:t>(c)</w:t>
      </w:r>
      <w:r>
        <w:rPr>
          <w:snapToGrid w:val="0"/>
        </w:rPr>
        <w:tab/>
        <w:t>any vehicles, plant, equipment or materials vested in a Committee vest in the Minister; and</w:t>
      </w:r>
    </w:p>
    <w:p>
      <w:pPr>
        <w:pStyle w:val="nzIndenta"/>
        <w:rPr>
          <w:snapToGrid w:val="0"/>
        </w:rPr>
      </w:pPr>
      <w:r>
        <w:rPr>
          <w:snapToGrid w:val="0"/>
        </w:rPr>
        <w:tab/>
        <w:t>(d)</w:t>
      </w:r>
      <w:r>
        <w:rPr>
          <w:snapToGrid w:val="0"/>
        </w:rPr>
        <w:tab/>
        <w:t>the Minister must — </w:t>
      </w:r>
    </w:p>
    <w:p>
      <w:pPr>
        <w:pStyle w:val="nzIndenti"/>
        <w:rPr>
          <w:snapToGrid w:val="0"/>
        </w:rPr>
      </w:pPr>
      <w:r>
        <w:rPr>
          <w:snapToGrid w:val="0"/>
        </w:rPr>
        <w:tab/>
        <w:t>(i)</w:t>
      </w:r>
      <w:r>
        <w:rPr>
          <w:snapToGrid w:val="0"/>
        </w:rPr>
        <w:tab/>
        <w:t>cause any moneys held by, or due to, a Committee to be appropriated from that Committee;</w:t>
      </w:r>
    </w:p>
    <w:p>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pPr>
        <w:pStyle w:val="MiscClose"/>
        <w:rPr>
          <w:snapToGrid w:val="0"/>
        </w:rPr>
      </w:pPr>
      <w:r>
        <w:rPr>
          <w:snapToGrid w:val="0"/>
        </w:rPr>
        <w:t>”.</w:t>
      </w:r>
    </w:p>
    <w:p>
      <w:pPr>
        <w:pStyle w:val="MiscOpen"/>
        <w:rPr>
          <w:snapToGrid w:val="0"/>
        </w:rPr>
      </w:pPr>
      <w:r>
        <w:rPr>
          <w:snapToGrid w:val="0"/>
        </w:rPr>
        <w:t>“</w:t>
      </w:r>
    </w:p>
    <w:p>
      <w:pPr>
        <w:pStyle w:val="nzHeading5"/>
        <w:rPr>
          <w:snapToGrid w:val="0"/>
        </w:rPr>
      </w:pPr>
      <w:r>
        <w:rPr>
          <w:snapToGrid w:val="0"/>
        </w:rPr>
        <w:t>21.</w:t>
      </w:r>
      <w:r>
        <w:rPr>
          <w:snapToGrid w:val="0"/>
        </w:rPr>
        <w:tab/>
        <w:t xml:space="preserve">Condonation </w:t>
      </w:r>
    </w:p>
    <w:p>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pPr>
        <w:pStyle w:val="MiscClose"/>
        <w:rPr>
          <w:snapToGrid w:val="0"/>
        </w:rPr>
      </w:pPr>
      <w:r>
        <w:rPr>
          <w:snapToGrid w:val="0"/>
        </w:rP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38" w:author="svcMRProcess" w:date="2015-11-04T21:37:00Z"/>
          <w:snapToGrid w:val="0"/>
        </w:rPr>
      </w:pPr>
      <w:del w:id="339" w:author="svcMRProcess" w:date="2015-11-04T21:37:00Z">
        <w:r>
          <w:rPr>
            <w:vertAlign w:val="superscript"/>
          </w:rPr>
          <w:delText>14</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17</w:delText>
        </w:r>
        <w:r>
          <w:rPr>
            <w:snapToGrid w:val="0"/>
            <w:lang w:val="en-US"/>
          </w:rPr>
          <w:delText>, which gives effect to Sch. 1, had</w:delText>
        </w:r>
        <w:r>
          <w:rPr>
            <w:snapToGrid w:val="0"/>
          </w:rPr>
          <w:delText xml:space="preserve"> not come into operation.  It reads as follows:</w:delText>
        </w:r>
      </w:del>
    </w:p>
    <w:p>
      <w:pPr>
        <w:pStyle w:val="MiscOpen"/>
        <w:rPr>
          <w:del w:id="340" w:author="svcMRProcess" w:date="2015-11-04T21:37:00Z"/>
          <w:snapToGrid w:val="0"/>
        </w:rPr>
      </w:pPr>
      <w:bookmarkStart w:id="341" w:name="_Toc112559520"/>
      <w:bookmarkStart w:id="342" w:name="_Toc154313279"/>
      <w:bookmarkStart w:id="343" w:name="_Toc154556192"/>
      <w:bookmarkStart w:id="344" w:name="_Toc112660518"/>
      <w:bookmarkStart w:id="345" w:name="_Toc112663622"/>
      <w:bookmarkStart w:id="346" w:name="_Toc113271868"/>
      <w:bookmarkStart w:id="347" w:name="_Toc113275074"/>
      <w:bookmarkStart w:id="348" w:name="_Toc113275539"/>
      <w:bookmarkStart w:id="349" w:name="_Toc119208169"/>
      <w:bookmarkStart w:id="350" w:name="_Toc119208414"/>
      <w:bookmarkStart w:id="351" w:name="_Toc119210162"/>
      <w:bookmarkStart w:id="352" w:name="_Toc119215595"/>
      <w:bookmarkStart w:id="353" w:name="_Toc119217448"/>
      <w:bookmarkStart w:id="354" w:name="_Toc119227738"/>
      <w:bookmarkStart w:id="355" w:name="_Toc119229196"/>
      <w:bookmarkStart w:id="356" w:name="_Toc119234910"/>
      <w:bookmarkStart w:id="357" w:name="_Toc119731288"/>
      <w:bookmarkStart w:id="358" w:name="_Toc119897393"/>
      <w:bookmarkStart w:id="359" w:name="_Toc119904347"/>
      <w:bookmarkStart w:id="360" w:name="_Toc120012756"/>
      <w:bookmarkStart w:id="361" w:name="_Toc120077238"/>
      <w:bookmarkStart w:id="362" w:name="_Toc120514588"/>
      <w:bookmarkStart w:id="363" w:name="_Toc120522454"/>
      <w:bookmarkStart w:id="364" w:name="_Toc120526579"/>
      <w:bookmarkStart w:id="365" w:name="_Toc120527207"/>
      <w:bookmarkStart w:id="366" w:name="_Toc120939269"/>
      <w:bookmarkStart w:id="367" w:name="_Toc121040456"/>
      <w:bookmarkStart w:id="368" w:name="_Toc121047475"/>
      <w:bookmarkStart w:id="369" w:name="_Toc121109338"/>
      <w:bookmarkStart w:id="370" w:name="_Toc121119154"/>
      <w:bookmarkStart w:id="371" w:name="_Toc121130106"/>
      <w:bookmarkStart w:id="372" w:name="_Toc121291809"/>
      <w:bookmarkStart w:id="373" w:name="_Toc121298658"/>
      <w:bookmarkStart w:id="374" w:name="_Toc121649182"/>
      <w:bookmarkStart w:id="375" w:name="_Toc122428439"/>
      <w:bookmarkStart w:id="376" w:name="_Toc122864441"/>
      <w:bookmarkStart w:id="377" w:name="_Toc122942895"/>
      <w:bookmarkStart w:id="378" w:name="_Toc122948322"/>
      <w:bookmarkStart w:id="379" w:name="_Toc123102899"/>
      <w:bookmarkStart w:id="380" w:name="_Toc123115023"/>
      <w:bookmarkStart w:id="381" w:name="_Toc123530921"/>
      <w:bookmarkStart w:id="382" w:name="_Toc123545363"/>
      <w:bookmarkStart w:id="383" w:name="_Toc124306331"/>
      <w:bookmarkStart w:id="384" w:name="_Toc124315415"/>
      <w:bookmarkStart w:id="385" w:name="_Toc125197443"/>
      <w:bookmarkStart w:id="386" w:name="_Toc126993001"/>
      <w:bookmarkStart w:id="387" w:name="_Toc127250498"/>
      <w:bookmarkStart w:id="388" w:name="_Toc127271919"/>
      <w:bookmarkStart w:id="389" w:name="_Toc127332054"/>
      <w:bookmarkStart w:id="390" w:name="_Toc127339705"/>
      <w:bookmarkStart w:id="391" w:name="_Toc127352115"/>
      <w:bookmarkStart w:id="392" w:name="_Toc127591212"/>
      <w:bookmarkStart w:id="393" w:name="_Toc127610339"/>
      <w:bookmarkStart w:id="394" w:name="_Toc127616697"/>
      <w:bookmarkStart w:id="395" w:name="_Toc127685046"/>
      <w:bookmarkStart w:id="396" w:name="_Toc127685536"/>
      <w:bookmarkStart w:id="397" w:name="_Toc127702761"/>
      <w:bookmarkStart w:id="398" w:name="_Toc127762571"/>
      <w:bookmarkStart w:id="399" w:name="_Toc127771492"/>
      <w:bookmarkStart w:id="400" w:name="_Toc127784675"/>
      <w:bookmarkStart w:id="401" w:name="_Toc127785285"/>
      <w:bookmarkStart w:id="402" w:name="_Toc127848031"/>
      <w:bookmarkStart w:id="403" w:name="_Toc127857315"/>
      <w:bookmarkStart w:id="404" w:name="_Toc127866102"/>
      <w:bookmarkStart w:id="405" w:name="_Toc127868566"/>
      <w:bookmarkStart w:id="406" w:name="_Toc127871835"/>
      <w:bookmarkStart w:id="407" w:name="_Toc127938065"/>
      <w:bookmarkStart w:id="408" w:name="_Toc127944049"/>
      <w:bookmarkStart w:id="409" w:name="_Toc127959526"/>
      <w:bookmarkStart w:id="410" w:name="_Toc128199037"/>
      <w:bookmarkStart w:id="411" w:name="_Toc128203717"/>
      <w:bookmarkStart w:id="412" w:name="_Toc128209474"/>
      <w:bookmarkStart w:id="413" w:name="_Toc128562907"/>
      <w:bookmarkStart w:id="414" w:name="_Toc128808596"/>
      <w:bookmarkStart w:id="415" w:name="_Toc128808851"/>
      <w:bookmarkStart w:id="416" w:name="_Toc129074229"/>
      <w:bookmarkStart w:id="417" w:name="_Toc133226013"/>
      <w:bookmarkStart w:id="418" w:name="_Toc133231391"/>
      <w:bookmarkStart w:id="419" w:name="_Toc133232583"/>
      <w:bookmarkStart w:id="420" w:name="_Toc133291819"/>
      <w:bookmarkStart w:id="421" w:name="_Toc133301262"/>
      <w:bookmarkStart w:id="422" w:name="_Toc133320331"/>
      <w:bookmarkStart w:id="423" w:name="_Toc133379916"/>
      <w:bookmarkStart w:id="424" w:name="_Toc133837585"/>
      <w:bookmarkStart w:id="425" w:name="_Toc133901043"/>
      <w:bookmarkStart w:id="426" w:name="_Toc133989689"/>
      <w:bookmarkStart w:id="427" w:name="_Toc134010141"/>
      <w:bookmarkStart w:id="428" w:name="_Toc134188871"/>
      <w:bookmarkStart w:id="429" w:name="_Toc134241056"/>
      <w:bookmarkStart w:id="430" w:name="_Toc134260189"/>
      <w:bookmarkStart w:id="431" w:name="_Toc134261529"/>
      <w:bookmarkStart w:id="432" w:name="_Toc134269187"/>
      <w:bookmarkStart w:id="433" w:name="_Toc134345963"/>
      <w:bookmarkStart w:id="434" w:name="_Toc134346686"/>
      <w:bookmarkStart w:id="435" w:name="_Toc134355554"/>
      <w:bookmarkStart w:id="436" w:name="_Toc134420852"/>
      <w:bookmarkStart w:id="437" w:name="_Toc134425017"/>
      <w:bookmarkStart w:id="438" w:name="_Toc134431919"/>
      <w:bookmarkStart w:id="439" w:name="_Toc134437576"/>
      <w:bookmarkStart w:id="440" w:name="_Toc134440690"/>
      <w:bookmarkStart w:id="441" w:name="_Toc134503195"/>
      <w:bookmarkStart w:id="442" w:name="_Toc135115972"/>
      <w:bookmarkStart w:id="443" w:name="_Toc135132895"/>
      <w:bookmarkStart w:id="444" w:name="_Toc135133144"/>
      <w:bookmarkStart w:id="445" w:name="_Toc135190060"/>
      <w:bookmarkStart w:id="446" w:name="_Toc135190518"/>
      <w:bookmarkStart w:id="447" w:name="_Toc135634277"/>
      <w:bookmarkStart w:id="448" w:name="_Toc135642059"/>
      <w:bookmarkStart w:id="449" w:name="_Toc135642927"/>
      <w:bookmarkStart w:id="450" w:name="_Toc135715955"/>
      <w:bookmarkStart w:id="451" w:name="_Toc135814018"/>
      <w:bookmarkStart w:id="452" w:name="_Toc135814817"/>
      <w:bookmarkStart w:id="453" w:name="_Toc135815596"/>
      <w:bookmarkStart w:id="454" w:name="_Toc135816368"/>
      <w:bookmarkStart w:id="455" w:name="_Toc138497179"/>
      <w:bookmarkStart w:id="456" w:name="_Toc138497429"/>
      <w:bookmarkStart w:id="457" w:name="_Toc138497824"/>
      <w:bookmarkStart w:id="458" w:name="_Toc138656931"/>
      <w:bookmarkStart w:id="459" w:name="_Toc138833853"/>
      <w:bookmarkStart w:id="460" w:name="_Toc139083717"/>
      <w:bookmarkStart w:id="461" w:name="_Toc153783619"/>
      <w:bookmarkStart w:id="462" w:name="_Toc153783868"/>
      <w:bookmarkStart w:id="463" w:name="_Toc154312843"/>
      <w:bookmarkStart w:id="464" w:name="_Toc154313283"/>
      <w:bookmarkStart w:id="465" w:name="_Toc154556196"/>
      <w:del w:id="466" w:author="svcMRProcess" w:date="2015-11-04T21:37:00Z">
        <w:r>
          <w:rPr>
            <w:snapToGrid w:val="0"/>
          </w:rPr>
          <w:delText>“</w:delText>
        </w:r>
      </w:del>
    </w:p>
    <w:p>
      <w:pPr>
        <w:pStyle w:val="nzHeading5"/>
        <w:rPr>
          <w:del w:id="467" w:author="svcMRProcess" w:date="2015-11-04T21:37:00Z"/>
        </w:rPr>
      </w:pPr>
      <w:del w:id="468" w:author="svcMRProcess" w:date="2015-11-04T21:37:00Z">
        <w:r>
          <w:rPr>
            <w:rStyle w:val="CharSectno"/>
          </w:rPr>
          <w:delText>17</w:delText>
        </w:r>
        <w:r>
          <w:delText>.</w:delText>
        </w:r>
        <w:r>
          <w:tab/>
          <w:delText>Various Acts amended</w:delText>
        </w:r>
        <w:bookmarkEnd w:id="341"/>
        <w:bookmarkEnd w:id="342"/>
        <w:bookmarkEnd w:id="343"/>
      </w:del>
    </w:p>
    <w:p>
      <w:pPr>
        <w:pStyle w:val="nzSubsection"/>
        <w:rPr>
          <w:del w:id="469" w:author="svcMRProcess" w:date="2015-11-04T21:37:00Z"/>
        </w:rPr>
      </w:pPr>
      <w:del w:id="470" w:author="svcMRProcess" w:date="2015-11-04T21:37:00Z">
        <w:r>
          <w:tab/>
        </w:r>
        <w:r>
          <w:tab/>
          <w:delText>Schedule 1 sets out amendments to various Acts.</w:delText>
        </w:r>
      </w:del>
    </w:p>
    <w:p>
      <w:pPr>
        <w:pStyle w:val="MiscClose"/>
        <w:rPr>
          <w:del w:id="471" w:author="svcMRProcess" w:date="2015-11-04T21:37:00Z"/>
          <w:snapToGrid w:val="0"/>
        </w:rPr>
      </w:pPr>
      <w:del w:id="472" w:author="svcMRProcess" w:date="2015-11-04T21:37:00Z">
        <w:r>
          <w:rPr>
            <w:snapToGrid w:val="0"/>
          </w:rPr>
          <w:delText>”.</w:delText>
        </w:r>
      </w:del>
    </w:p>
    <w:p>
      <w:pPr>
        <w:pStyle w:val="nzHeading2"/>
        <w:jc w:val="left"/>
        <w:rPr>
          <w:del w:id="473" w:author="svcMRProcess" w:date="2015-11-04T21:37:00Z"/>
          <w:rStyle w:val="CharSchNo"/>
          <w:b w:val="0"/>
          <w:bCs/>
          <w:sz w:val="20"/>
        </w:rPr>
      </w:pPr>
      <w:del w:id="474" w:author="svcMRProcess" w:date="2015-11-04T21:37:00Z">
        <w:r>
          <w:rPr>
            <w:rStyle w:val="CharSchNo"/>
            <w:b w:val="0"/>
            <w:bCs/>
            <w:sz w:val="20"/>
          </w:rPr>
          <w:delText>Schedule 1 cl. 128 reads as follows:</w:delText>
        </w:r>
      </w:del>
    </w:p>
    <w:p>
      <w:pPr>
        <w:pStyle w:val="MiscOpen"/>
        <w:rPr>
          <w:del w:id="475" w:author="svcMRProcess" w:date="2015-11-04T21:37:00Z"/>
          <w:snapToGrid w:val="0"/>
        </w:rPr>
      </w:pPr>
      <w:del w:id="476" w:author="svcMRProcess" w:date="2015-11-04T21:37:00Z">
        <w:r>
          <w:rPr>
            <w:snapToGrid w:val="0"/>
          </w:rPr>
          <w:delText>“</w:delText>
        </w:r>
      </w:del>
    </w:p>
    <w:p>
      <w:pPr>
        <w:pStyle w:val="nzHeading2"/>
        <w:rPr>
          <w:del w:id="477" w:author="svcMRProcess" w:date="2015-11-04T21:37:00Z"/>
        </w:rPr>
      </w:pPr>
      <w:del w:id="478" w:author="svcMRProcess" w:date="2015-11-04T21:3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del>
    </w:p>
    <w:p>
      <w:pPr>
        <w:pStyle w:val="nzMiscellaneousBody"/>
        <w:jc w:val="right"/>
        <w:rPr>
          <w:del w:id="479" w:author="svcMRProcess" w:date="2015-11-04T21:37:00Z"/>
        </w:rPr>
      </w:pPr>
      <w:del w:id="480" w:author="svcMRProcess" w:date="2015-11-04T21:37:00Z">
        <w:r>
          <w:delText>[s. 17]</w:delText>
        </w:r>
      </w:del>
    </w:p>
    <w:p>
      <w:pPr>
        <w:pStyle w:val="nzHeading5"/>
        <w:rPr>
          <w:del w:id="481" w:author="svcMRProcess" w:date="2015-11-04T21:37:00Z"/>
        </w:rPr>
      </w:pPr>
      <w:bookmarkStart w:id="482" w:name="_Toc112559661"/>
      <w:bookmarkStart w:id="483" w:name="_Toc154313417"/>
      <w:bookmarkStart w:id="484" w:name="_Toc154556330"/>
      <w:del w:id="485" w:author="svcMRProcess" w:date="2015-11-04T21:37:00Z">
        <w:r>
          <w:rPr>
            <w:rStyle w:val="CharSClsNo"/>
            <w:sz w:val="20"/>
          </w:rPr>
          <w:delText>128</w:delText>
        </w:r>
        <w:r>
          <w:delText>.</w:delText>
        </w:r>
        <w:r>
          <w:tab/>
        </w:r>
        <w:r>
          <w:rPr>
            <w:i/>
          </w:rPr>
          <w:delText>Plant Diseases Act 1914</w:delText>
        </w:r>
        <w:bookmarkEnd w:id="482"/>
        <w:bookmarkEnd w:id="483"/>
        <w:bookmarkEnd w:id="484"/>
      </w:del>
    </w:p>
    <w:p>
      <w:pPr>
        <w:pStyle w:val="nzSubsection"/>
        <w:rPr>
          <w:del w:id="486" w:author="svcMRProcess" w:date="2015-11-04T21:37:00Z"/>
        </w:rPr>
      </w:pPr>
      <w:del w:id="487" w:author="svcMRProcess" w:date="2015-11-04T21:37:00Z">
        <w:r>
          <w:tab/>
          <w:delText>(1)</w:delText>
        </w:r>
        <w:r>
          <w:tab/>
          <w:delText xml:space="preserve">Section 35AA(1) is repealed and the following subsection is inserted instead — </w:delText>
        </w:r>
      </w:del>
    </w:p>
    <w:p>
      <w:pPr>
        <w:pStyle w:val="MiscOpen"/>
        <w:ind w:left="601"/>
        <w:rPr>
          <w:del w:id="488" w:author="svcMRProcess" w:date="2015-11-04T21:37:00Z"/>
        </w:rPr>
      </w:pPr>
      <w:del w:id="489" w:author="svcMRProcess" w:date="2015-11-04T21:37:00Z">
        <w:r>
          <w:delText xml:space="preserve">“    </w:delText>
        </w:r>
      </w:del>
    </w:p>
    <w:p>
      <w:pPr>
        <w:pStyle w:val="nzSubsection"/>
        <w:rPr>
          <w:del w:id="490" w:author="svcMRProcess" w:date="2015-11-04T21:37:00Z"/>
        </w:rPr>
      </w:pPr>
      <w:del w:id="491" w:author="svcMRProcess" w:date="2015-11-04T21:37:00Z">
        <w:r>
          <w:tab/>
          <w:delText>(1)</w:delText>
        </w:r>
        <w:r>
          <w:tab/>
          <w:delText xml:space="preserve">An agency special purpose account called the Plant Diseases Modified Penalties Revenue Account (in this section and section 35AB referred to as the </w:delText>
        </w:r>
        <w:r>
          <w:rPr>
            <w:b/>
          </w:rPr>
          <w:delText>“</w:delText>
        </w:r>
        <w:r>
          <w:rPr>
            <w:rStyle w:val="CharDefText"/>
          </w:rPr>
          <w:delText>Account</w:delText>
        </w:r>
        <w:r>
          <w:rPr>
            <w:b/>
          </w:rPr>
          <w:delText>”</w:delText>
        </w:r>
        <w:r>
          <w:rPr>
            <w:bCs/>
          </w:rPr>
          <w:delText xml:space="preserve">) </w:delText>
        </w:r>
        <w:r>
          <w:delText xml:space="preserve">is established under section 16 of the </w:delText>
        </w:r>
        <w:r>
          <w:rPr>
            <w:i/>
            <w:iCs/>
          </w:rPr>
          <w:delText>Financial Management Act 2006</w:delText>
        </w:r>
        <w:r>
          <w:delText>.</w:delText>
        </w:r>
      </w:del>
    </w:p>
    <w:p>
      <w:pPr>
        <w:pStyle w:val="MiscClose"/>
        <w:keepNext/>
        <w:ind w:right="567"/>
        <w:rPr>
          <w:del w:id="492" w:author="svcMRProcess" w:date="2015-11-04T21:37:00Z"/>
        </w:rPr>
      </w:pPr>
      <w:del w:id="493" w:author="svcMRProcess" w:date="2015-11-04T21:37:00Z">
        <w:r>
          <w:delText xml:space="preserve">    ”.</w:delText>
        </w:r>
      </w:del>
    </w:p>
    <w:p>
      <w:pPr>
        <w:pStyle w:val="nzSubsection"/>
        <w:rPr>
          <w:del w:id="494" w:author="svcMRProcess" w:date="2015-11-04T21:37:00Z"/>
        </w:rPr>
      </w:pPr>
      <w:del w:id="495" w:author="svcMRProcess" w:date="2015-11-04T21:37:00Z">
        <w:r>
          <w:tab/>
          <w:delText>(2)</w:delText>
        </w:r>
        <w:r>
          <w:tab/>
          <w:delText xml:space="preserve">The provisions listed in the Table to this subclause are amended by deleting “Fund” and inserting instead — </w:delText>
        </w:r>
      </w:del>
    </w:p>
    <w:p>
      <w:pPr>
        <w:pStyle w:val="nzSubsection"/>
        <w:rPr>
          <w:del w:id="496" w:author="svcMRProcess" w:date="2015-11-04T21:37:00Z"/>
        </w:rPr>
      </w:pPr>
      <w:del w:id="497" w:author="svcMRProcess" w:date="2015-11-04T21:37:00Z">
        <w:r>
          <w:tab/>
        </w:r>
        <w:r>
          <w:tab/>
          <w:delText xml:space="preserve">“    </w:delText>
        </w:r>
        <w:r>
          <w:rPr>
            <w:sz w:val="24"/>
          </w:rPr>
          <w:delText>Account</w:delText>
        </w:r>
        <w:r>
          <w:delText xml:space="preserve">    ”.</w:delText>
        </w:r>
      </w:del>
    </w:p>
    <w:p>
      <w:pPr>
        <w:pStyle w:val="nzMiscellaneousHeading"/>
        <w:rPr>
          <w:del w:id="498" w:author="svcMRProcess" w:date="2015-11-04T21:37:00Z"/>
        </w:rPr>
      </w:pPr>
      <w:del w:id="499" w:author="svcMRProcess" w:date="2015-11-04T21:37:00Z">
        <w:r>
          <w:rPr>
            <w:b/>
          </w:rPr>
          <w:delText>Table</w:delText>
        </w:r>
      </w:del>
    </w:p>
    <w:tbl>
      <w:tblPr>
        <w:tblW w:w="0" w:type="auto"/>
        <w:tblInd w:w="1809" w:type="dxa"/>
        <w:tblLayout w:type="fixed"/>
        <w:tblLook w:val="0000" w:firstRow="0" w:lastRow="0" w:firstColumn="0" w:lastColumn="0" w:noHBand="0" w:noVBand="0"/>
      </w:tblPr>
      <w:tblGrid>
        <w:gridCol w:w="1842"/>
        <w:gridCol w:w="1986"/>
      </w:tblGrid>
      <w:tr>
        <w:trPr>
          <w:del w:id="500" w:author="svcMRProcess" w:date="2015-11-04T21:37:00Z"/>
        </w:trPr>
        <w:tc>
          <w:tcPr>
            <w:tcW w:w="1842" w:type="dxa"/>
          </w:tcPr>
          <w:p>
            <w:pPr>
              <w:pStyle w:val="nzTable"/>
              <w:rPr>
                <w:del w:id="501" w:author="svcMRProcess" w:date="2015-11-04T21:37:00Z"/>
              </w:rPr>
            </w:pPr>
            <w:del w:id="502" w:author="svcMRProcess" w:date="2015-11-04T21:37:00Z">
              <w:r>
                <w:delText>s. 35(9)</w:delText>
              </w:r>
            </w:del>
          </w:p>
        </w:tc>
        <w:tc>
          <w:tcPr>
            <w:tcW w:w="1986" w:type="dxa"/>
          </w:tcPr>
          <w:p>
            <w:pPr>
              <w:pStyle w:val="nzTable"/>
              <w:rPr>
                <w:del w:id="503" w:author="svcMRProcess" w:date="2015-11-04T21:37:00Z"/>
              </w:rPr>
            </w:pPr>
            <w:del w:id="504" w:author="svcMRProcess" w:date="2015-11-04T21:37:00Z">
              <w:r>
                <w:delText>s. 35AB(2)</w:delText>
              </w:r>
            </w:del>
          </w:p>
        </w:tc>
      </w:tr>
      <w:tr>
        <w:trPr>
          <w:del w:id="505" w:author="svcMRProcess" w:date="2015-11-04T21:37:00Z"/>
        </w:trPr>
        <w:tc>
          <w:tcPr>
            <w:tcW w:w="1842" w:type="dxa"/>
          </w:tcPr>
          <w:p>
            <w:pPr>
              <w:pStyle w:val="nzTable"/>
              <w:rPr>
                <w:del w:id="506" w:author="svcMRProcess" w:date="2015-11-04T21:37:00Z"/>
              </w:rPr>
            </w:pPr>
            <w:del w:id="507" w:author="svcMRProcess" w:date="2015-11-04T21:37:00Z">
              <w:r>
                <w:delText>s. 35AA(2)</w:delText>
              </w:r>
            </w:del>
          </w:p>
        </w:tc>
        <w:tc>
          <w:tcPr>
            <w:tcW w:w="1986" w:type="dxa"/>
          </w:tcPr>
          <w:p>
            <w:pPr>
              <w:pStyle w:val="nzTable"/>
              <w:rPr>
                <w:del w:id="508" w:author="svcMRProcess" w:date="2015-11-04T21:37:00Z"/>
              </w:rPr>
            </w:pPr>
            <w:del w:id="509" w:author="svcMRProcess" w:date="2015-11-04T21:37:00Z">
              <w:r>
                <w:delText>s. 35AB(3)</w:delText>
              </w:r>
            </w:del>
          </w:p>
        </w:tc>
      </w:tr>
      <w:tr>
        <w:trPr>
          <w:del w:id="510" w:author="svcMRProcess" w:date="2015-11-04T21:37:00Z"/>
        </w:trPr>
        <w:tc>
          <w:tcPr>
            <w:tcW w:w="1842" w:type="dxa"/>
          </w:tcPr>
          <w:p>
            <w:pPr>
              <w:pStyle w:val="nzTable"/>
              <w:rPr>
                <w:del w:id="511" w:author="svcMRProcess" w:date="2015-11-04T21:37:00Z"/>
              </w:rPr>
            </w:pPr>
            <w:del w:id="512" w:author="svcMRProcess" w:date="2015-11-04T21:37:00Z">
              <w:r>
                <w:delText>s. 35AB(1)</w:delText>
              </w:r>
            </w:del>
          </w:p>
        </w:tc>
        <w:tc>
          <w:tcPr>
            <w:tcW w:w="1986" w:type="dxa"/>
          </w:tcPr>
          <w:p>
            <w:pPr>
              <w:pStyle w:val="nzTable"/>
              <w:rPr>
                <w:del w:id="513" w:author="svcMRProcess" w:date="2015-11-04T21:37:00Z"/>
              </w:rPr>
            </w:pPr>
          </w:p>
        </w:tc>
      </w:tr>
    </w:tbl>
    <w:p>
      <w:pPr>
        <w:pStyle w:val="MiscClose"/>
        <w:rPr>
          <w:del w:id="514" w:author="svcMRProcess" w:date="2015-11-04T21:37:00Z"/>
          <w:snapToGrid w:val="0"/>
        </w:rPr>
      </w:pPr>
      <w:del w:id="515" w:author="svcMRProcess" w:date="2015-11-04T21:37:00Z">
        <w:r>
          <w:rPr>
            <w:snapToGrid w:val="0"/>
          </w:rP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11832</Words>
  <Characters>54548</Characters>
  <Application>Microsoft Office Word</Application>
  <DocSecurity>0</DocSecurity>
  <Lines>1558</Lines>
  <Paragraphs>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05-e0-02 - 05-f0-03</dc:title>
  <dc:subject/>
  <dc:creator/>
  <cp:keywords/>
  <dc:description/>
  <cp:lastModifiedBy>svcMRProcess</cp:lastModifiedBy>
  <cp:revision>2</cp:revision>
  <cp:lastPrinted>2002-01-03T05:58:00Z</cp:lastPrinted>
  <dcterms:created xsi:type="dcterms:W3CDTF">2015-11-04T13:37:00Z</dcterms:created>
  <dcterms:modified xsi:type="dcterms:W3CDTF">2015-11-04T13:37:00Z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611</vt:i4>
  </property>
  <property fmtid="{D5CDD505-2E9C-101B-9397-08002B2CF9AE}" pid="6" name="FromSuffix">
    <vt:lpwstr>05-e0-02</vt:lpwstr>
  </property>
  <property fmtid="{D5CDD505-2E9C-101B-9397-08002B2CF9AE}" pid="7" name="FromAsAtDate">
    <vt:lpwstr>01 Jan 2007</vt:lpwstr>
  </property>
  <property fmtid="{D5CDD505-2E9C-101B-9397-08002B2CF9AE}" pid="8" name="ToSuffix">
    <vt:lpwstr>05-f0-03</vt:lpwstr>
  </property>
  <property fmtid="{D5CDD505-2E9C-101B-9397-08002B2CF9AE}" pid="9" name="ToAsAtDate">
    <vt:lpwstr>01 Feb 2007</vt:lpwstr>
  </property>
</Properties>
</file>