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06 Oct 2006</w:t>
      </w:r>
      <w:r>
        <w:fldChar w:fldCharType="end"/>
      </w:r>
      <w:r>
        <w:t xml:space="preserve">, </w:t>
      </w:r>
      <w:r>
        <w:fldChar w:fldCharType="begin"/>
      </w:r>
      <w:r>
        <w:instrText xml:space="preserve"> DocProperty FromSuffix </w:instrText>
      </w:r>
      <w:r>
        <w:fldChar w:fldCharType="separate"/>
      </w:r>
      <w:r>
        <w:t>07-b0-03</w:t>
      </w:r>
      <w:r>
        <w:fldChar w:fldCharType="end"/>
      </w:r>
      <w:r>
        <w:t>] and [</w:t>
      </w:r>
      <w:r>
        <w:fldChar w:fldCharType="begin"/>
      </w:r>
      <w:r>
        <w:instrText xml:space="preserve"> DocProperty ToAsAtDate</w:instrText>
      </w:r>
      <w:r>
        <w:fldChar w:fldCharType="separate"/>
      </w:r>
      <w:r>
        <w:t>16 Nov 2006</w:t>
      </w:r>
      <w:r>
        <w:fldChar w:fldCharType="end"/>
      </w:r>
      <w:r>
        <w:t xml:space="preserve">, </w:t>
      </w:r>
      <w:r>
        <w:fldChar w:fldCharType="begin"/>
      </w:r>
      <w:r>
        <w:instrText xml:space="preserve"> DocProperty ToSuffix</w:instrText>
      </w:r>
      <w:r>
        <w:fldChar w:fldCharType="separate"/>
      </w:r>
      <w:r>
        <w:t>07-c0-03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r>
        <w:rPr>
          <w:b/>
          <w:sz w:val="22"/>
        </w:rPr>
        <w:t xml:space="preserve"> </w:t>
      </w:r>
    </w:p>
    <w:p>
      <w:pPr>
        <w:pStyle w:val="NameofActReg"/>
        <w:spacing w:before="960" w:after="1080"/>
      </w:pPr>
      <w:r>
        <w:t xml:space="preserve">Poisons Act 1964 </w:t>
      </w:r>
    </w:p>
    <w:p>
      <w:pPr>
        <w:pStyle w:val="LongTitle"/>
        <w:spacing w:before="240"/>
        <w:rPr>
          <w:snapToGrid w:val="0"/>
        </w:rPr>
      </w:pPr>
      <w:r>
        <w:rPr>
          <w:snapToGrid w:val="0"/>
        </w:rPr>
        <w:t>A</w:t>
      </w:r>
      <w:bookmarkStart w:id="0" w:name="_GoBack"/>
      <w:bookmarkEnd w:id="0"/>
      <w:r>
        <w:rPr>
          <w:snapToGrid w:val="0"/>
        </w:rPr>
        <w:t xml:space="preserve">n Act to regulate and control the possession, sale and use of poisons and other substances; to constitute a Poisons Advisory Committee; and for incidental and other purposes. </w:t>
      </w:r>
    </w:p>
    <w:p>
      <w:pPr>
        <w:pStyle w:val="Heading2"/>
      </w:pPr>
      <w:bookmarkStart w:id="1" w:name="_Toc389745126"/>
      <w:r>
        <w:rPr>
          <w:rStyle w:val="CharPartNo"/>
        </w:rPr>
        <w:lastRenderedPageBreak/>
        <w:t>Part I</w:t>
      </w:r>
      <w:r>
        <w:rPr>
          <w:rStyle w:val="CharDivNo"/>
        </w:rPr>
        <w:t> </w:t>
      </w:r>
      <w:r>
        <w:t>—</w:t>
      </w:r>
      <w:r>
        <w:rPr>
          <w:rStyle w:val="CharDivText"/>
        </w:rPr>
        <w:t> </w:t>
      </w:r>
      <w:r>
        <w:rPr>
          <w:rStyle w:val="CharPartText"/>
        </w:rPr>
        <w:t>Introductory provisions</w:t>
      </w:r>
      <w:bookmarkEnd w:id="1"/>
      <w:r>
        <w:rPr>
          <w:rStyle w:val="CharPartText"/>
        </w:rPr>
        <w:t xml:space="preserve"> </w:t>
      </w:r>
    </w:p>
    <w:p>
      <w:pPr>
        <w:pStyle w:val="Heading5"/>
        <w:rPr>
          <w:snapToGrid w:val="0"/>
        </w:rPr>
      </w:pPr>
      <w:bookmarkStart w:id="2" w:name="_Toc389745127"/>
      <w:r>
        <w:rPr>
          <w:rStyle w:val="CharSectno"/>
        </w:rPr>
        <w:t>1</w:t>
      </w:r>
      <w:r>
        <w:rPr>
          <w:snapToGrid w:val="0"/>
        </w:rPr>
        <w:t>.</w:t>
      </w:r>
      <w:r>
        <w:rPr>
          <w:snapToGrid w:val="0"/>
        </w:rPr>
        <w:tab/>
        <w:t>Short title</w:t>
      </w:r>
      <w:bookmarkEnd w:id="2"/>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3" w:name="_Toc389745128"/>
      <w:r>
        <w:rPr>
          <w:rStyle w:val="CharSectno"/>
        </w:rPr>
        <w:t>2</w:t>
      </w:r>
      <w:r>
        <w:rPr>
          <w:snapToGrid w:val="0"/>
        </w:rPr>
        <w:t>.</w:t>
      </w:r>
      <w:r>
        <w:rPr>
          <w:snapToGrid w:val="0"/>
        </w:rPr>
        <w:tab/>
        <w:t>Commencement</w:t>
      </w:r>
      <w:bookmarkEnd w:id="3"/>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10 of 1998 s. 76.] </w:t>
      </w:r>
    </w:p>
    <w:p>
      <w:pPr>
        <w:pStyle w:val="Ednotesection"/>
      </w:pPr>
      <w:r>
        <w:t>[</w:t>
      </w:r>
      <w:r>
        <w:rPr>
          <w:b/>
        </w:rPr>
        <w:t>4.</w:t>
      </w:r>
      <w:r>
        <w:tab/>
        <w:t xml:space="preserve">Repealed by No. 48 of 1995 s. 4.] </w:t>
      </w:r>
    </w:p>
    <w:p>
      <w:pPr>
        <w:pStyle w:val="Heading5"/>
        <w:rPr>
          <w:snapToGrid w:val="0"/>
        </w:rPr>
      </w:pPr>
      <w:bookmarkStart w:id="4" w:name="_Toc389745129"/>
      <w:r>
        <w:rPr>
          <w:rStyle w:val="CharSectno"/>
        </w:rPr>
        <w:t>5</w:t>
      </w:r>
      <w:r>
        <w:rPr>
          <w:snapToGrid w:val="0"/>
        </w:rPr>
        <w:t>.</w:t>
      </w:r>
      <w:r>
        <w:rPr>
          <w:snapToGrid w:val="0"/>
        </w:rPr>
        <w:tab/>
        <w:t>Interpretation</w:t>
      </w:r>
      <w:bookmarkEnd w:id="4"/>
      <w:r>
        <w:rPr>
          <w:snapToGrid w:val="0"/>
        </w:rPr>
        <w:t xml:space="preserve"> </w:t>
      </w:r>
    </w:p>
    <w:p>
      <w:pPr>
        <w:pStyle w:val="Subsection"/>
        <w:rPr>
          <w:snapToGrid w:val="0"/>
        </w:rPr>
      </w:pPr>
      <w:r>
        <w:rPr>
          <w:snapToGrid w:val="0"/>
        </w:rPr>
        <w:tab/>
        <w:t>(1)</w:t>
      </w:r>
      <w:r>
        <w:rPr>
          <w:snapToGrid w:val="0"/>
        </w:rPr>
        <w:tab/>
        <w:t>In this Act unless the context requires otherwise — </w:t>
      </w:r>
    </w:p>
    <w:p>
      <w:pPr>
        <w:pStyle w:val="Defstart"/>
      </w:pPr>
      <w:r>
        <w:rPr>
          <w:b/>
        </w:rPr>
        <w:tab/>
        <w:t>“</w:t>
      </w:r>
      <w:r>
        <w:rPr>
          <w:rStyle w:val="CharDefText"/>
        </w:rPr>
        <w:t>Advisory Committee</w:t>
      </w:r>
      <w:r>
        <w:rPr>
          <w:b/>
        </w:rPr>
        <w:t>”</w:t>
      </w:r>
      <w:r>
        <w:t xml:space="preserve"> means the Poisons Advisory Committee constituted under Part II;</w:t>
      </w:r>
    </w:p>
    <w:p>
      <w:pPr>
        <w:pStyle w:val="Defstart"/>
      </w:pPr>
      <w:r>
        <w:rPr>
          <w:b/>
        </w:rPr>
        <w:tab/>
        <w:t>“</w:t>
      </w:r>
      <w:r>
        <w:rPr>
          <w:rStyle w:val="CharDefText"/>
        </w:rPr>
        <w:t>authorised officer</w:t>
      </w:r>
      <w:r>
        <w:rPr>
          <w:b/>
        </w:rPr>
        <w:t>”</w:t>
      </w:r>
      <w:r>
        <w:t xml:space="preserve"> means —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t>“</w:t>
      </w:r>
      <w:r>
        <w:rPr>
          <w:rStyle w:val="CharDefText"/>
        </w:rPr>
        <w:t>automatic machine</w:t>
      </w:r>
      <w:r>
        <w:rPr>
          <w:b/>
        </w:rPr>
        <w:t>”</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t>“</w:t>
      </w:r>
      <w:r>
        <w:rPr>
          <w:rStyle w:val="CharDefText"/>
        </w:rPr>
        <w:t>bloodborne infectious disease</w:t>
      </w:r>
      <w:r>
        <w:rPr>
          <w:b/>
        </w:rPr>
        <w:t>”</w:t>
      </w:r>
      <w:r>
        <w:t xml:space="preserve"> means Human Immunodeficiency Virus (HIV) infection, Hepatitis B, Hepatitis C or any other infectious disease that is carried in the blood;</w:t>
      </w:r>
    </w:p>
    <w:p>
      <w:pPr>
        <w:pStyle w:val="Defstart"/>
      </w:pPr>
      <w:r>
        <w:rPr>
          <w:b/>
        </w:rPr>
        <w:tab/>
        <w:t>“</w:t>
      </w:r>
      <w:r>
        <w:rPr>
          <w:rStyle w:val="CharDefText"/>
        </w:rPr>
        <w:t>CEO</w:t>
      </w:r>
      <w:r>
        <w:rPr>
          <w:b/>
        </w:rPr>
        <w:t>”</w:t>
      </w:r>
      <w:r>
        <w:t xml:space="preserve"> has the meaning given by section 3 of the </w:t>
      </w:r>
      <w:r>
        <w:rPr>
          <w:i/>
        </w:rPr>
        <w:t>Health Legislation Administration Act 1984</w:t>
      </w:r>
      <w:r>
        <w:t>;</w:t>
      </w:r>
    </w:p>
    <w:p>
      <w:pPr>
        <w:pStyle w:val="Defstart"/>
        <w:spacing w:before="60"/>
      </w:pPr>
      <w:r>
        <w:rPr>
          <w:b/>
        </w:rPr>
        <w:lastRenderedPageBreak/>
        <w:tab/>
        <w:t>“</w:t>
      </w:r>
      <w:r>
        <w:rPr>
          <w:rStyle w:val="CharDefText"/>
        </w:rPr>
        <w:t>container</w:t>
      </w:r>
      <w:r>
        <w:rPr>
          <w:b/>
        </w:rPr>
        <w:t>”</w:t>
      </w:r>
      <w:r>
        <w:t>, in relation to a thing, means any bottle, vessel, tube, sachet, ampoule, syringe, vial, or other receptacle in which the thing is contained;</w:t>
      </w:r>
    </w:p>
    <w:p>
      <w:pPr>
        <w:pStyle w:val="Defstart"/>
      </w:pPr>
      <w:r>
        <w:rPr>
          <w:b/>
        </w:rPr>
        <w:tab/>
        <w:t>“</w:t>
      </w:r>
      <w:r>
        <w:rPr>
          <w:rStyle w:val="CharDefText"/>
        </w:rPr>
        <w:t>dentist</w:t>
      </w:r>
      <w:r>
        <w:rPr>
          <w:b/>
        </w:rPr>
        <w:t>”</w:t>
      </w:r>
      <w:r>
        <w:t xml:space="preserve"> means a dentist registered under the provisions of the </w:t>
      </w:r>
      <w:r>
        <w:rPr>
          <w:i/>
        </w:rPr>
        <w:t>Dental Act 1939</w:t>
      </w:r>
      <w:r>
        <w:t>;</w:t>
      </w:r>
    </w:p>
    <w:p>
      <w:pPr>
        <w:pStyle w:val="Defstart"/>
      </w:pPr>
      <w:r>
        <w:rPr>
          <w:b/>
        </w:rPr>
        <w:tab/>
        <w:t>“</w:t>
      </w:r>
      <w:r>
        <w:rPr>
          <w:rStyle w:val="CharDefText"/>
        </w:rPr>
        <w:t>department</w:t>
      </w:r>
      <w:r>
        <w:rPr>
          <w:b/>
        </w:rPr>
        <w:t>”</w:t>
      </w:r>
      <w:r>
        <w:t xml:space="preserve"> means the department of the Public Service of the State principally assisting the Minister in the administration of this Act;</w:t>
      </w:r>
    </w:p>
    <w:p>
      <w:pPr>
        <w:pStyle w:val="Defstart"/>
      </w:pPr>
      <w:r>
        <w:rPr>
          <w:b/>
        </w:rPr>
        <w:tab/>
        <w:t>“</w:t>
      </w:r>
      <w:r>
        <w:rPr>
          <w:rStyle w:val="CharDefText"/>
        </w:rPr>
        <w:t>document</w:t>
      </w:r>
      <w:r>
        <w:rPr>
          <w:b/>
        </w:rPr>
        <w:t>”</w:t>
      </w:r>
      <w:r>
        <w:t xml:space="preserve"> includes any tape, disc or other device or medium on which information is recorded or stored mechanically, photographically, electronically or otherwise;</w:t>
      </w:r>
    </w:p>
    <w:p>
      <w:pPr>
        <w:pStyle w:val="Defstart"/>
      </w:pPr>
      <w:r>
        <w:rPr>
          <w:b/>
        </w:rPr>
        <w:tab/>
        <w:t>“</w:t>
      </w:r>
      <w:r>
        <w:rPr>
          <w:rStyle w:val="CharDefText"/>
        </w:rPr>
        <w:t>drug of addiction</w:t>
      </w:r>
      <w:r>
        <w:rPr>
          <w:b/>
        </w:rPr>
        <w:t>”</w:t>
      </w:r>
      <w:r>
        <w:t xml:space="preserve"> means any substance included in Schedule 8 or 9;</w:t>
      </w:r>
    </w:p>
    <w:p>
      <w:pPr>
        <w:pStyle w:val="Defstart"/>
      </w:pPr>
      <w:r>
        <w:rPr>
          <w:b/>
        </w:rPr>
        <w:tab/>
        <w:t>“</w:t>
      </w:r>
      <w:r>
        <w:rPr>
          <w:rStyle w:val="CharDefText"/>
        </w:rPr>
        <w:t>environmental health officer</w:t>
      </w:r>
      <w:r>
        <w:rPr>
          <w:b/>
        </w:rPr>
        <w:t>”</w:t>
      </w:r>
      <w:r>
        <w:t xml:space="preserve"> means an environmental health officer referred to in the </w:t>
      </w:r>
      <w:r>
        <w:rPr>
          <w:i/>
        </w:rPr>
        <w:t>Health Act 1911</w:t>
      </w:r>
      <w:r>
        <w:t>;</w:t>
      </w:r>
    </w:p>
    <w:p>
      <w:pPr>
        <w:pStyle w:val="Defstart"/>
      </w:pPr>
      <w:r>
        <w:rPr>
          <w:b/>
        </w:rPr>
        <w:tab/>
        <w:t>“</w:t>
      </w:r>
      <w:r>
        <w:rPr>
          <w:rStyle w:val="CharDefText"/>
        </w:rPr>
        <w:t>internal use</w:t>
      </w:r>
      <w:r>
        <w:rPr>
          <w:b/>
        </w:rPr>
        <w:t>”</w:t>
      </w:r>
      <w:r>
        <w:t xml:space="preserve"> means administration — </w:t>
      </w:r>
    </w:p>
    <w:p>
      <w:pPr>
        <w:pStyle w:val="Defpara"/>
      </w:pPr>
      <w:r>
        <w:tab/>
        <w:t>(a)</w:t>
      </w:r>
      <w:r>
        <w:tab/>
        <w:t>orally, except for topical effect in the mouth; or</w:t>
      </w:r>
    </w:p>
    <w:p>
      <w:pPr>
        <w:pStyle w:val="Defpara"/>
      </w:pPr>
      <w:r>
        <w:tab/>
        <w:t>(b)</w:t>
      </w:r>
      <w:r>
        <w:tab/>
        <w:t>for absorption and the production of a systemic effect —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t>“</w:t>
      </w:r>
      <w:r>
        <w:rPr>
          <w:rStyle w:val="CharDefText"/>
        </w:rPr>
        <w:t>label</w:t>
      </w:r>
      <w:r>
        <w:rPr>
          <w:b/>
        </w:rPr>
        <w:t>”</w:t>
      </w:r>
      <w:r>
        <w:t xml:space="preserve"> includes any tag, brand, mark or statement in writing, that is on or attached to or used in connection with any container or package containing any poison; and </w:t>
      </w:r>
      <w:r>
        <w:rPr>
          <w:b/>
        </w:rPr>
        <w:t>“</w:t>
      </w:r>
      <w:r>
        <w:rPr>
          <w:rStyle w:val="CharDefText"/>
        </w:rPr>
        <w:t>labelled</w:t>
      </w:r>
      <w:r>
        <w:rPr>
          <w:b/>
        </w:rPr>
        <w:t>”</w:t>
      </w:r>
      <w:r>
        <w:t xml:space="preserve"> has a corresponding meaning;</w:t>
      </w:r>
    </w:p>
    <w:p>
      <w:pPr>
        <w:pStyle w:val="Defstart"/>
      </w:pPr>
      <w:r>
        <w:rPr>
          <w:b/>
        </w:rPr>
        <w:tab/>
        <w:t>“</w:t>
      </w:r>
      <w:r>
        <w:rPr>
          <w:rStyle w:val="CharDefText"/>
        </w:rPr>
        <w:t>licence</w:t>
      </w:r>
      <w:r>
        <w:rPr>
          <w:b/>
        </w:rPr>
        <w:t>”</w:t>
      </w:r>
      <w:r>
        <w:t xml:space="preserve"> means a licence granted under this Act that is valid and unexpired;</w:t>
      </w:r>
    </w:p>
    <w:p>
      <w:pPr>
        <w:pStyle w:val="Defstart"/>
      </w:pPr>
      <w:r>
        <w:rPr>
          <w:b/>
        </w:rPr>
        <w:tab/>
        <w:t>“</w:t>
      </w:r>
      <w:r>
        <w:rPr>
          <w:rStyle w:val="CharDefText"/>
        </w:rPr>
        <w:t>licensee</w:t>
      </w:r>
      <w:r>
        <w:rPr>
          <w:b/>
        </w:rPr>
        <w:t>”</w:t>
      </w:r>
      <w:r>
        <w:t xml:space="preserve"> means a person who holds or is entitled to exercise a licence under this Act;</w:t>
      </w:r>
    </w:p>
    <w:p>
      <w:pPr>
        <w:pStyle w:val="Defstart"/>
      </w:pPr>
      <w:r>
        <w:rPr>
          <w:b/>
        </w:rPr>
        <w:tab/>
        <w:t>“</w:t>
      </w:r>
      <w:r>
        <w:rPr>
          <w:rStyle w:val="CharDefText"/>
        </w:rPr>
        <w:t>medical practitioner</w:t>
      </w:r>
      <w:r>
        <w:rPr>
          <w:b/>
        </w:rPr>
        <w:t>”</w:t>
      </w:r>
      <w:r>
        <w:t xml:space="preserve"> means a medical practitioner registered under the </w:t>
      </w:r>
      <w:r>
        <w:rPr>
          <w:i/>
        </w:rPr>
        <w:t>Medical Act 1894</w:t>
      </w:r>
      <w:r>
        <w:t>, or any previous corresponding enactment;</w:t>
      </w:r>
    </w:p>
    <w:p>
      <w:pPr>
        <w:pStyle w:val="Defstart"/>
      </w:pPr>
      <w:r>
        <w:rPr>
          <w:b/>
        </w:rPr>
        <w:tab/>
        <w:t>“</w:t>
      </w:r>
      <w:r>
        <w:rPr>
          <w:rStyle w:val="CharDefText"/>
        </w:rPr>
        <w:t>member</w:t>
      </w:r>
      <w:r>
        <w:rPr>
          <w:b/>
        </w:rPr>
        <w:t>”</w:t>
      </w:r>
      <w:r>
        <w:t xml:space="preserve"> means a person occupying any of the offices of the Advisory Committee, including that of chairman;</w:t>
      </w:r>
    </w:p>
    <w:p>
      <w:pPr>
        <w:pStyle w:val="Defstart"/>
      </w:pPr>
      <w:r>
        <w:rPr>
          <w:b/>
        </w:rPr>
        <w:tab/>
        <w:t>“</w:t>
      </w:r>
      <w:r>
        <w:rPr>
          <w:rStyle w:val="CharDefText"/>
        </w:rPr>
        <w:t>needle and syringe programme</w:t>
      </w:r>
      <w:r>
        <w:rPr>
          <w:b/>
        </w:rPr>
        <w:t>”</w:t>
      </w:r>
      <w:r>
        <w:t xml:space="preserve"> means a programme to do one or more of the following —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r>
      <w:r>
        <w:tab/>
        <w:t>principally for the purpose of preventing the spread of bloodborne infectious diseases;</w:t>
      </w:r>
    </w:p>
    <w:p>
      <w:pPr>
        <w:pStyle w:val="Defstart"/>
      </w:pPr>
      <w:r>
        <w:tab/>
      </w:r>
      <w:r>
        <w:rPr>
          <w:b/>
        </w:rPr>
        <w:t>“</w:t>
      </w:r>
      <w:r>
        <w:rPr>
          <w:rStyle w:val="CharDefText"/>
        </w:rPr>
        <w:t>nurse practitioner</w:t>
      </w:r>
      <w:r>
        <w:rPr>
          <w:b/>
        </w:rPr>
        <w:t>”</w:t>
      </w:r>
      <w:r>
        <w:t xml:space="preserve"> has the meaning given by the </w:t>
      </w:r>
      <w:r>
        <w:rPr>
          <w:i/>
        </w:rPr>
        <w:t>Nurses Act 1992</w:t>
      </w:r>
      <w:r>
        <w:t>;</w:t>
      </w:r>
    </w:p>
    <w:p>
      <w:pPr>
        <w:pStyle w:val="Defstart"/>
      </w:pPr>
      <w:r>
        <w:rPr>
          <w:b/>
        </w:rPr>
        <w:tab/>
        <w:t>“</w:t>
      </w:r>
      <w:r>
        <w:rPr>
          <w:rStyle w:val="CharDefText"/>
        </w:rPr>
        <w:t>package</w:t>
      </w:r>
      <w:r>
        <w:rPr>
          <w:b/>
        </w:rPr>
        <w:t>”</w:t>
      </w:r>
      <w:r>
        <w:t>, in relation to a thing, means any box, wrapper, strip pack, blister pack or other thing in which the thing is wrapped or packaged;</w:t>
      </w:r>
    </w:p>
    <w:p>
      <w:pPr>
        <w:pStyle w:val="Defstart"/>
      </w:pPr>
      <w:r>
        <w:rPr>
          <w:b/>
        </w:rPr>
        <w:tab/>
        <w:t>“</w:t>
      </w:r>
      <w:r>
        <w:rPr>
          <w:rStyle w:val="CharDefText"/>
        </w:rPr>
        <w:t>pharmaceutical chemist</w:t>
      </w:r>
      <w:r>
        <w:rPr>
          <w:b/>
        </w:rPr>
        <w:t>”</w:t>
      </w:r>
      <w:r>
        <w:t xml:space="preserve"> means a pharmaceutical chemist registered under the provisions of the </w:t>
      </w:r>
      <w:r>
        <w:rPr>
          <w:i/>
        </w:rPr>
        <w:t>Pharmacy Act 1964</w:t>
      </w:r>
      <w:r>
        <w:t>; or any previous corresponding enactment;</w:t>
      </w:r>
    </w:p>
    <w:p>
      <w:pPr>
        <w:pStyle w:val="Defstart"/>
      </w:pPr>
      <w:r>
        <w:rPr>
          <w:b/>
        </w:rPr>
        <w:tab/>
        <w:t>“</w:t>
      </w:r>
      <w:r>
        <w:rPr>
          <w:rStyle w:val="CharDefText"/>
        </w:rPr>
        <w:t>poison</w:t>
      </w:r>
      <w:r>
        <w:rPr>
          <w:b/>
        </w:rPr>
        <w:t>”</w:t>
      </w:r>
      <w:r>
        <w:t xml:space="preserve"> means any substance included in a Schedule;</w:t>
      </w:r>
    </w:p>
    <w:p>
      <w:pPr>
        <w:pStyle w:val="Defstart"/>
      </w:pPr>
      <w:r>
        <w:rPr>
          <w:b/>
        </w:rPr>
        <w:tab/>
        <w:t>“</w:t>
      </w:r>
      <w:r>
        <w:rPr>
          <w:rStyle w:val="CharDefText"/>
        </w:rPr>
        <w:t>prohibited plant</w:t>
      </w:r>
      <w:r>
        <w:rPr>
          <w:b/>
        </w:rPr>
        <w: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t>“</w:t>
      </w:r>
      <w:r>
        <w:rPr>
          <w:rStyle w:val="CharDefText"/>
        </w:rPr>
        <w:t>sale</w:t>
      </w:r>
      <w:r>
        <w:rPr>
          <w:b/>
        </w:rPr>
        <w:t>”</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b/>
        </w:rPr>
        <w:t>“</w:t>
      </w:r>
      <w:r>
        <w:rPr>
          <w:rStyle w:val="CharDefText"/>
        </w:rPr>
        <w:t>to sell</w:t>
      </w:r>
      <w:r>
        <w:rPr>
          <w:b/>
        </w:rPr>
        <w:t>”</w:t>
      </w:r>
      <w:r>
        <w:t xml:space="preserve"> has a corresponding meaning;</w:t>
      </w:r>
    </w:p>
    <w:p>
      <w:pPr>
        <w:pStyle w:val="Defstart"/>
      </w:pPr>
      <w:r>
        <w:rPr>
          <w:b/>
        </w:rPr>
        <w:tab/>
        <w:t>“</w:t>
      </w:r>
      <w:r>
        <w:rPr>
          <w:rStyle w:val="CharDefText"/>
        </w:rPr>
        <w:t>Schedule</w:t>
      </w:r>
      <w:r>
        <w:rPr>
          <w:b/>
        </w:rPr>
        <w:t>”</w:t>
      </w:r>
      <w:r>
        <w:t xml:space="preserve"> means a Schedule in Appendix A;</w:t>
      </w:r>
    </w:p>
    <w:p>
      <w:pPr>
        <w:pStyle w:val="Defstart"/>
      </w:pPr>
      <w:r>
        <w:rPr>
          <w:b/>
        </w:rPr>
        <w:tab/>
        <w:t>“</w:t>
      </w:r>
      <w:r>
        <w:rPr>
          <w:rStyle w:val="CharDefText"/>
        </w:rPr>
        <w:t>specified</w:t>
      </w:r>
      <w:r>
        <w:rPr>
          <w:b/>
        </w:rPr>
        <w:t>”</w:t>
      </w:r>
      <w:r>
        <w:t>, in relation to a regulation, order, notice or other instrument, means specified in the regulation, order, notice or other instrument (as the case may be);</w:t>
      </w:r>
    </w:p>
    <w:p>
      <w:pPr>
        <w:pStyle w:val="Defstart"/>
      </w:pPr>
      <w:r>
        <w:rPr>
          <w:b/>
        </w:rPr>
        <w:tab/>
        <w:t>“</w:t>
      </w:r>
      <w:r>
        <w:rPr>
          <w:rStyle w:val="CharDefText"/>
        </w:rPr>
        <w:t>specified drug</w:t>
      </w:r>
      <w:r>
        <w:rPr>
          <w:b/>
        </w:rPr>
        <w:t>”</w:t>
      </w:r>
      <w:r>
        <w:t xml:space="preserve"> means any substance that is declared to be a specified drug for the purposes of this Act;</w:t>
      </w:r>
    </w:p>
    <w:p>
      <w:pPr>
        <w:pStyle w:val="Defstart"/>
      </w:pPr>
      <w:r>
        <w:rPr>
          <w:b/>
        </w:rPr>
        <w:tab/>
        <w:t>“</w:t>
      </w:r>
      <w:r>
        <w:rPr>
          <w:rStyle w:val="CharDefText"/>
        </w:rPr>
        <w:t>standard</w:t>
      </w:r>
      <w:r>
        <w:rPr>
          <w:b/>
        </w:rPr>
        <w:t>”</w:t>
      </w:r>
      <w:r>
        <w:t xml:space="preserve"> includes a code or other document;</w:t>
      </w:r>
    </w:p>
    <w:p>
      <w:pPr>
        <w:pStyle w:val="Defstart"/>
      </w:pPr>
      <w:r>
        <w:rPr>
          <w:b/>
        </w:rPr>
        <w:tab/>
        <w:t>“</w:t>
      </w:r>
      <w:r>
        <w:rPr>
          <w:rStyle w:val="CharDefText"/>
        </w:rPr>
        <w:t>substance</w:t>
      </w:r>
      <w:r>
        <w:rPr>
          <w:b/>
        </w:rPr>
        <w:t>”</w:t>
      </w:r>
      <w:r>
        <w:t xml:space="preserve"> includes substance, material, compound, preparation, and admixture;</w:t>
      </w:r>
    </w:p>
    <w:p>
      <w:pPr>
        <w:pStyle w:val="Defstart"/>
      </w:pPr>
      <w:r>
        <w:rPr>
          <w:b/>
        </w:rPr>
        <w:tab/>
        <w:t>“</w:t>
      </w:r>
      <w:r>
        <w:rPr>
          <w:rStyle w:val="CharDefText"/>
        </w:rPr>
        <w:t>veterinary surgeon</w:t>
      </w:r>
      <w:r>
        <w:rPr>
          <w:b/>
        </w:rPr>
        <w:t>”</w:t>
      </w:r>
      <w:r>
        <w:t xml:space="preserve"> means a registered veterinary surgeon under the provisions of the </w:t>
      </w:r>
      <w:r>
        <w:rPr>
          <w:i/>
        </w:rPr>
        <w:t>Veterinary Surgeons Act 1960</w:t>
      </w:r>
      <w:r>
        <w:t>;</w:t>
      </w:r>
    </w:p>
    <w:p>
      <w:pPr>
        <w:pStyle w:val="Defstart"/>
      </w:pPr>
      <w:r>
        <w:rPr>
          <w:b/>
        </w:rPr>
        <w:tab/>
        <w:t>“</w:t>
      </w:r>
      <w:r>
        <w:rPr>
          <w:rStyle w:val="CharDefText"/>
        </w:rPr>
        <w:t>wholesale dealing</w:t>
      </w:r>
      <w:r>
        <w:rPr>
          <w:b/>
        </w:rPr>
        <w:t>”</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t>“</w:t>
      </w:r>
      <w:r>
        <w:rPr>
          <w:rStyle w:val="CharDefText"/>
        </w:rPr>
        <w:t>wholesale supplier</w:t>
      </w:r>
      <w:r>
        <w:rPr>
          <w:b/>
        </w:rPr>
        <w:t>”</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 xml:space="preserve">[Section 5 amended by No. 23 of 1966 s. 2; No. 6 of 1969 s. 3; No. 28 of 1984 s. 90; No. 12 of 1994 s. 4; No. 48 of 1995 s. 5; No. 9 of 2003 s. 35; No. 28 of 2006 s. 280.] </w:t>
      </w:r>
    </w:p>
    <w:p>
      <w:pPr>
        <w:pStyle w:val="Heading5"/>
        <w:spacing w:before="180"/>
        <w:rPr>
          <w:snapToGrid w:val="0"/>
        </w:rPr>
      </w:pPr>
      <w:bookmarkStart w:id="5" w:name="_Toc389745130"/>
      <w:r>
        <w:rPr>
          <w:rStyle w:val="CharSectno"/>
        </w:rPr>
        <w:t>6</w:t>
      </w:r>
      <w:r>
        <w:rPr>
          <w:snapToGrid w:val="0"/>
        </w:rPr>
        <w:t>.</w:t>
      </w:r>
      <w:r>
        <w:rPr>
          <w:snapToGrid w:val="0"/>
        </w:rPr>
        <w:tab/>
        <w:t>Construction</w:t>
      </w:r>
      <w:bookmarkEnd w:id="5"/>
      <w:r>
        <w:rPr>
          <w:snapToGrid w:val="0"/>
        </w:rPr>
        <w:t xml:space="preserve"> </w:t>
      </w:r>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 xml:space="preserve">[Section 6 amended by No. 57 of 1981 s. 14; No. 14 of 1996 s. 4.] </w:t>
      </w:r>
    </w:p>
    <w:p>
      <w:pPr>
        <w:pStyle w:val="Heading5"/>
        <w:rPr>
          <w:snapToGrid w:val="0"/>
        </w:rPr>
      </w:pPr>
      <w:bookmarkStart w:id="6" w:name="_Toc389745131"/>
      <w:r>
        <w:rPr>
          <w:rStyle w:val="CharSectno"/>
        </w:rPr>
        <w:t>6A</w:t>
      </w:r>
      <w:r>
        <w:rPr>
          <w:snapToGrid w:val="0"/>
        </w:rPr>
        <w:t>.</w:t>
      </w:r>
      <w:r>
        <w:rPr>
          <w:snapToGrid w:val="0"/>
        </w:rPr>
        <w:tab/>
        <w:t>Crown bound</w:t>
      </w:r>
      <w:bookmarkEnd w:id="6"/>
      <w:r>
        <w:rPr>
          <w:snapToGrid w:val="0"/>
        </w:rPr>
        <w:t xml:space="preserve"> </w:t>
      </w:r>
    </w:p>
    <w:p>
      <w:pPr>
        <w:pStyle w:val="Subsection"/>
        <w:rPr>
          <w:snapToGrid w:val="0"/>
        </w:rPr>
      </w:pPr>
      <w:r>
        <w:rPr>
          <w:snapToGrid w:val="0"/>
        </w:rPr>
        <w:tab/>
      </w:r>
      <w:r>
        <w:rPr>
          <w:snapToGrid w:val="0"/>
        </w:rPr>
        <w:tab/>
        <w:t>This Act binds the Crown.</w:t>
      </w:r>
    </w:p>
    <w:p>
      <w:pPr>
        <w:pStyle w:val="Footnotesection"/>
      </w:pPr>
      <w:r>
        <w:tab/>
        <w:t xml:space="preserve">[Section 6A inserted by No. 48 of 1995 s. 6.] </w:t>
      </w:r>
    </w:p>
    <w:p>
      <w:pPr>
        <w:pStyle w:val="Heading5"/>
        <w:rPr>
          <w:snapToGrid w:val="0"/>
        </w:rPr>
      </w:pPr>
      <w:bookmarkStart w:id="7" w:name="_Toc389745132"/>
      <w:r>
        <w:rPr>
          <w:rStyle w:val="CharSectno"/>
        </w:rPr>
        <w:t>7</w:t>
      </w:r>
      <w:r>
        <w:rPr>
          <w:snapToGrid w:val="0"/>
        </w:rPr>
        <w:t>.</w:t>
      </w:r>
      <w:r>
        <w:rPr>
          <w:snapToGrid w:val="0"/>
        </w:rPr>
        <w:tab/>
        <w:t>Administration</w:t>
      </w:r>
      <w:bookmarkEnd w:id="7"/>
      <w:r>
        <w:rPr>
          <w:snapToGrid w:val="0"/>
        </w:rPr>
        <w:t xml:space="preserve"> </w:t>
      </w:r>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 xml:space="preserve">[Section 7 amended by No. 28 of 1984 s. 92; No. 12 of 1994 s. 10; No. 28 of 2006 s. 282.] </w:t>
      </w:r>
    </w:p>
    <w:p>
      <w:pPr>
        <w:pStyle w:val="Heading5"/>
      </w:pPr>
      <w:bookmarkStart w:id="8" w:name="_Toc389745133"/>
      <w:r>
        <w:rPr>
          <w:rStyle w:val="CharSectno"/>
        </w:rPr>
        <w:t>7A</w:t>
      </w:r>
      <w:r>
        <w:t>.</w:t>
      </w:r>
      <w:r>
        <w:tab/>
        <w:t>Application: industrial hemp, industrial hemp seed and processed industrial hemp</w:t>
      </w:r>
      <w:bookmarkEnd w:id="8"/>
    </w:p>
    <w:p>
      <w:pPr>
        <w:pStyle w:val="Subsection"/>
        <w:keepNext/>
      </w:pPr>
      <w:r>
        <w:tab/>
      </w:r>
      <w:r>
        <w:tab/>
        <w:t xml:space="preserve">This Act does not apply to —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9" w:name="_Toc389745134"/>
      <w:r>
        <w:rPr>
          <w:rStyle w:val="CharPartNo"/>
        </w:rPr>
        <w:t>Part II</w:t>
      </w:r>
      <w:r>
        <w:rPr>
          <w:rStyle w:val="CharDivNo"/>
        </w:rPr>
        <w:t> </w:t>
      </w:r>
      <w:r>
        <w:t>—</w:t>
      </w:r>
      <w:r>
        <w:rPr>
          <w:rStyle w:val="CharDivText"/>
        </w:rPr>
        <w:t> </w:t>
      </w:r>
      <w:r>
        <w:rPr>
          <w:rStyle w:val="CharPartText"/>
        </w:rPr>
        <w:t>Poisons Advisory Committee</w:t>
      </w:r>
      <w:bookmarkEnd w:id="9"/>
      <w:r>
        <w:rPr>
          <w:rStyle w:val="CharPartText"/>
        </w:rPr>
        <w:t xml:space="preserve"> </w:t>
      </w:r>
    </w:p>
    <w:p>
      <w:pPr>
        <w:pStyle w:val="Heading5"/>
        <w:rPr>
          <w:snapToGrid w:val="0"/>
        </w:rPr>
      </w:pPr>
      <w:bookmarkStart w:id="10" w:name="_Toc389745135"/>
      <w:r>
        <w:rPr>
          <w:rStyle w:val="CharSectno"/>
        </w:rPr>
        <w:t>8</w:t>
      </w:r>
      <w:r>
        <w:rPr>
          <w:snapToGrid w:val="0"/>
        </w:rPr>
        <w:t>.</w:t>
      </w:r>
      <w:r>
        <w:rPr>
          <w:snapToGrid w:val="0"/>
        </w:rPr>
        <w:tab/>
        <w:t>Constitution of Poisons Advisory Committee</w:t>
      </w:r>
      <w:bookmarkEnd w:id="10"/>
      <w:r>
        <w:rPr>
          <w:snapToGrid w:val="0"/>
        </w:rPr>
        <w:t xml:space="preserve"> </w:t>
      </w:r>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Director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 nominated by the Minister for Agriculture</w:t>
      </w:r>
      <w:r>
        <w:rPr>
          <w:snapToGrid w:val="0"/>
          <w:vertAlign w:val="superscript"/>
        </w:rPr>
        <w:t xml:space="preserve"> 2</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 xml:space="preserve">[Section 8 amended by No. 63 of 1981 s. 4; No. 28 of 1984 s. 91; No. 12 of 1994 s. 5; No. 48 of 1995 s. 7; No. 28 of 2006 s. 282.] </w:t>
      </w:r>
    </w:p>
    <w:p>
      <w:pPr>
        <w:pStyle w:val="Heading5"/>
        <w:rPr>
          <w:snapToGrid w:val="0"/>
        </w:rPr>
      </w:pPr>
      <w:bookmarkStart w:id="11" w:name="_Toc389745136"/>
      <w:r>
        <w:rPr>
          <w:rStyle w:val="CharSectno"/>
        </w:rPr>
        <w:t>9</w:t>
      </w:r>
      <w:r>
        <w:rPr>
          <w:snapToGrid w:val="0"/>
        </w:rPr>
        <w:t>.</w:t>
      </w:r>
      <w:r>
        <w:rPr>
          <w:snapToGrid w:val="0"/>
        </w:rPr>
        <w:tab/>
        <w:t>Procedure on default of nomination</w:t>
      </w:r>
      <w:bookmarkEnd w:id="11"/>
      <w:r>
        <w:rPr>
          <w:snapToGrid w:val="0"/>
        </w:rPr>
        <w:t xml:space="preserve"> </w:t>
      </w:r>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2" w:name="_Toc389745137"/>
      <w:r>
        <w:rPr>
          <w:rStyle w:val="CharSectno"/>
        </w:rPr>
        <w:t>10</w:t>
      </w:r>
      <w:r>
        <w:rPr>
          <w:snapToGrid w:val="0"/>
        </w:rPr>
        <w:t>.</w:t>
      </w:r>
      <w:r>
        <w:rPr>
          <w:snapToGrid w:val="0"/>
        </w:rPr>
        <w:tab/>
        <w:t>Term of office of nominee member</w:t>
      </w:r>
      <w:bookmarkEnd w:id="12"/>
      <w:r>
        <w:rPr>
          <w:snapToGrid w:val="0"/>
        </w:rPr>
        <w:t xml:space="preserve"> </w:t>
      </w:r>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3" w:name="_Toc389745138"/>
      <w:r>
        <w:rPr>
          <w:rStyle w:val="CharSectno"/>
        </w:rPr>
        <w:t>11</w:t>
      </w:r>
      <w:r>
        <w:rPr>
          <w:snapToGrid w:val="0"/>
        </w:rPr>
        <w:t>.</w:t>
      </w:r>
      <w:r>
        <w:rPr>
          <w:snapToGrid w:val="0"/>
        </w:rPr>
        <w:tab/>
        <w:t>Vacation of office</w:t>
      </w:r>
      <w:bookmarkEnd w:id="13"/>
      <w:r>
        <w:rPr>
          <w:snapToGrid w:val="0"/>
        </w:rPr>
        <w:t xml:space="preserve"> </w:t>
      </w:r>
    </w:p>
    <w:p>
      <w:pPr>
        <w:pStyle w:val="Subsection"/>
        <w:rPr>
          <w:snapToGrid w:val="0"/>
        </w:rPr>
      </w:pPr>
      <w:r>
        <w:rPr>
          <w:snapToGrid w:val="0"/>
        </w:rPr>
        <w:tab/>
        <w:t>(1)</w:t>
      </w:r>
      <w:r>
        <w:rPr>
          <w:snapToGrid w:val="0"/>
        </w:rPr>
        <w:tab/>
        <w:t>The office of a member becomes vacant if —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14" w:name="_Toc389745139"/>
      <w:r>
        <w:rPr>
          <w:rStyle w:val="CharSectno"/>
        </w:rPr>
        <w:t>12</w:t>
      </w:r>
      <w:r>
        <w:rPr>
          <w:snapToGrid w:val="0"/>
        </w:rPr>
        <w:t>.</w:t>
      </w:r>
      <w:r>
        <w:rPr>
          <w:snapToGrid w:val="0"/>
        </w:rPr>
        <w:tab/>
        <w:t>Dismissal of members</w:t>
      </w:r>
      <w:bookmarkEnd w:id="14"/>
      <w:r>
        <w:rPr>
          <w:snapToGrid w:val="0"/>
        </w:rPr>
        <w:t xml:space="preserve"> </w:t>
      </w:r>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5" w:name="_Toc389745140"/>
      <w:r>
        <w:rPr>
          <w:rStyle w:val="CharSectno"/>
        </w:rPr>
        <w:t>13</w:t>
      </w:r>
      <w:r>
        <w:rPr>
          <w:snapToGrid w:val="0"/>
        </w:rPr>
        <w:t>.</w:t>
      </w:r>
      <w:r>
        <w:rPr>
          <w:snapToGrid w:val="0"/>
        </w:rPr>
        <w:tab/>
        <w:t>Leave of absence</w:t>
      </w:r>
      <w:bookmarkEnd w:id="15"/>
      <w:r>
        <w:rPr>
          <w:snapToGrid w:val="0"/>
        </w:rPr>
        <w:t xml:space="preserve"> </w:t>
      </w:r>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6" w:name="_Toc389745141"/>
      <w:r>
        <w:rPr>
          <w:rStyle w:val="CharSectno"/>
        </w:rPr>
        <w:t>14</w:t>
      </w:r>
      <w:r>
        <w:rPr>
          <w:snapToGrid w:val="0"/>
        </w:rPr>
        <w:t>.</w:t>
      </w:r>
      <w:r>
        <w:rPr>
          <w:snapToGrid w:val="0"/>
        </w:rPr>
        <w:tab/>
        <w:t>Deputies of members</w:t>
      </w:r>
      <w:bookmarkEnd w:id="16"/>
      <w:r>
        <w:rPr>
          <w:snapToGrid w:val="0"/>
        </w:rPr>
        <w:t xml:space="preserve"> </w:t>
      </w:r>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7" w:name="_Toc389745142"/>
      <w:r>
        <w:rPr>
          <w:rStyle w:val="CharSectno"/>
        </w:rPr>
        <w:t>15</w:t>
      </w:r>
      <w:r>
        <w:rPr>
          <w:snapToGrid w:val="0"/>
        </w:rPr>
        <w:t>.</w:t>
      </w:r>
      <w:r>
        <w:rPr>
          <w:snapToGrid w:val="0"/>
        </w:rPr>
        <w:tab/>
        <w:t>Acceptance of office</w:t>
      </w:r>
      <w:bookmarkEnd w:id="17"/>
      <w:r>
        <w:rPr>
          <w:snapToGrid w:val="0"/>
        </w:rPr>
        <w:t xml:space="preserve"> </w:t>
      </w:r>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 xml:space="preserve">[Section 15 amended by No. 32 of 1994 s. 3(2).] </w:t>
      </w:r>
    </w:p>
    <w:p>
      <w:pPr>
        <w:pStyle w:val="Heading5"/>
        <w:rPr>
          <w:snapToGrid w:val="0"/>
        </w:rPr>
      </w:pPr>
      <w:bookmarkStart w:id="18" w:name="_Toc389745143"/>
      <w:r>
        <w:rPr>
          <w:rStyle w:val="CharSectno"/>
        </w:rPr>
        <w:t>16</w:t>
      </w:r>
      <w:r>
        <w:rPr>
          <w:snapToGrid w:val="0"/>
        </w:rPr>
        <w:t>.</w:t>
      </w:r>
      <w:r>
        <w:rPr>
          <w:snapToGrid w:val="0"/>
        </w:rPr>
        <w:tab/>
        <w:t>Remuneration of members</w:t>
      </w:r>
      <w:bookmarkEnd w:id="18"/>
      <w:r>
        <w:rPr>
          <w:snapToGrid w:val="0"/>
        </w:rPr>
        <w:t xml:space="preserve"> </w:t>
      </w:r>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9" w:name="_Toc389745144"/>
      <w:r>
        <w:rPr>
          <w:rStyle w:val="CharSectno"/>
        </w:rPr>
        <w:t>17</w:t>
      </w:r>
      <w:r>
        <w:rPr>
          <w:snapToGrid w:val="0"/>
        </w:rPr>
        <w:t>.</w:t>
      </w:r>
      <w:r>
        <w:rPr>
          <w:snapToGrid w:val="0"/>
        </w:rPr>
        <w:tab/>
        <w:t>Meetings of Advisory Committee</w:t>
      </w:r>
      <w:bookmarkEnd w:id="19"/>
      <w:r>
        <w:rPr>
          <w:snapToGrid w:val="0"/>
        </w:rPr>
        <w:t xml:space="preserve"> </w:t>
      </w:r>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20" w:name="_Toc389745145"/>
      <w:r>
        <w:rPr>
          <w:rStyle w:val="CharSectno"/>
        </w:rPr>
        <w:t>18</w:t>
      </w:r>
      <w:r>
        <w:rPr>
          <w:snapToGrid w:val="0"/>
        </w:rPr>
        <w:t>.</w:t>
      </w:r>
      <w:r>
        <w:rPr>
          <w:snapToGrid w:val="0"/>
        </w:rPr>
        <w:tab/>
        <w:t>Officers of Advisory Committee</w:t>
      </w:r>
      <w:bookmarkEnd w:id="20"/>
      <w:r>
        <w:rPr>
          <w:snapToGrid w:val="0"/>
        </w:rPr>
        <w:t xml:space="preserve"> </w:t>
      </w:r>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 xml:space="preserve">[Section 18 amended by No. 32 of 1994 s. 3(2).] </w:t>
      </w:r>
    </w:p>
    <w:p>
      <w:pPr>
        <w:pStyle w:val="Heading5"/>
        <w:rPr>
          <w:snapToGrid w:val="0"/>
        </w:rPr>
      </w:pPr>
      <w:bookmarkStart w:id="21" w:name="_Toc389745146"/>
      <w:r>
        <w:rPr>
          <w:rStyle w:val="CharSectno"/>
        </w:rPr>
        <w:t>19</w:t>
      </w:r>
      <w:r>
        <w:rPr>
          <w:snapToGrid w:val="0"/>
        </w:rPr>
        <w:t>.</w:t>
      </w:r>
      <w:r>
        <w:rPr>
          <w:snapToGrid w:val="0"/>
        </w:rPr>
        <w:tab/>
        <w:t>Functions of Advisory Committee</w:t>
      </w:r>
      <w:bookmarkEnd w:id="21"/>
      <w:r>
        <w:rPr>
          <w:snapToGrid w:val="0"/>
        </w:rPr>
        <w:t xml:space="preserve"> </w:t>
      </w:r>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 xml:space="preserve">[Section 19 amended by No. 28 of 1984 s. 92; No. 12 of 1994 s. 10; No. 48 of 1995 s. 39; No. 28 of 2006 s. 282.] </w:t>
      </w:r>
    </w:p>
    <w:p>
      <w:pPr>
        <w:pStyle w:val="Heading2"/>
      </w:pPr>
      <w:bookmarkStart w:id="22" w:name="_Toc389745147"/>
      <w:r>
        <w:rPr>
          <w:rStyle w:val="CharPartNo"/>
        </w:rPr>
        <w:t>Part III</w:t>
      </w:r>
      <w:r>
        <w:t> — </w:t>
      </w:r>
      <w:r>
        <w:rPr>
          <w:rStyle w:val="CharPartText"/>
        </w:rPr>
        <w:t>Poisons and other substances</w:t>
      </w:r>
      <w:bookmarkEnd w:id="22"/>
      <w:r>
        <w:rPr>
          <w:rStyle w:val="CharPartText"/>
        </w:rPr>
        <w:t xml:space="preserve"> </w:t>
      </w:r>
    </w:p>
    <w:p>
      <w:pPr>
        <w:pStyle w:val="Heading3"/>
        <w:rPr>
          <w:snapToGrid w:val="0"/>
        </w:rPr>
      </w:pPr>
      <w:bookmarkStart w:id="23" w:name="_Toc389745148"/>
      <w:r>
        <w:rPr>
          <w:rStyle w:val="CharDivNo"/>
        </w:rPr>
        <w:t>Division 1</w:t>
      </w:r>
      <w:r>
        <w:rPr>
          <w:snapToGrid w:val="0"/>
        </w:rPr>
        <w:t> — </w:t>
      </w:r>
      <w:r>
        <w:rPr>
          <w:rStyle w:val="CharDivText"/>
        </w:rPr>
        <w:t>Classification</w:t>
      </w:r>
      <w:bookmarkEnd w:id="23"/>
      <w:r>
        <w:rPr>
          <w:rStyle w:val="CharDivText"/>
        </w:rPr>
        <w:t xml:space="preserve"> </w:t>
      </w:r>
    </w:p>
    <w:p>
      <w:pPr>
        <w:pStyle w:val="Heading5"/>
        <w:rPr>
          <w:snapToGrid w:val="0"/>
        </w:rPr>
      </w:pPr>
      <w:bookmarkStart w:id="24" w:name="_Toc389745149"/>
      <w:r>
        <w:rPr>
          <w:rStyle w:val="CharSectno"/>
        </w:rPr>
        <w:t>20</w:t>
      </w:r>
      <w:r>
        <w:rPr>
          <w:snapToGrid w:val="0"/>
        </w:rPr>
        <w:t>.</w:t>
      </w:r>
      <w:r>
        <w:rPr>
          <w:snapToGrid w:val="0"/>
        </w:rPr>
        <w:tab/>
        <w:t>Declaration of poisons</w:t>
      </w:r>
      <w:bookmarkEnd w:id="24"/>
      <w:r>
        <w:rPr>
          <w:snapToGrid w:val="0"/>
        </w:rPr>
        <w:t xml:space="preserve"> </w:t>
      </w:r>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 xml:space="preserve">[Section 20 inserted by No. 48 of 1995 s. 8; amended by No. 9 of 2003 s. 36.] </w:t>
      </w:r>
    </w:p>
    <w:p>
      <w:pPr>
        <w:pStyle w:val="Heading5"/>
        <w:spacing w:before="240"/>
        <w:rPr>
          <w:snapToGrid w:val="0"/>
        </w:rPr>
      </w:pPr>
      <w:bookmarkStart w:id="25" w:name="_Toc389745150"/>
      <w:r>
        <w:rPr>
          <w:rStyle w:val="CharSectno"/>
        </w:rPr>
        <w:t>20A</w:t>
      </w:r>
      <w:r>
        <w:rPr>
          <w:snapToGrid w:val="0"/>
        </w:rPr>
        <w:t>.</w:t>
      </w:r>
      <w:r>
        <w:rPr>
          <w:snapToGrid w:val="0"/>
        </w:rPr>
        <w:tab/>
        <w:t>How poisons may be identified in Schedules</w:t>
      </w:r>
      <w:bookmarkEnd w:id="25"/>
      <w:r>
        <w:rPr>
          <w:snapToGrid w:val="0"/>
        </w:rPr>
        <w:t xml:space="preserve"> </w:t>
      </w:r>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 xml:space="preserve">[Section 20A inserted by No. 48 of 1995 s. 8.] </w:t>
      </w:r>
    </w:p>
    <w:p>
      <w:pPr>
        <w:pStyle w:val="Heading5"/>
        <w:rPr>
          <w:snapToGrid w:val="0"/>
        </w:rPr>
      </w:pPr>
      <w:bookmarkStart w:id="26" w:name="_Toc389745151"/>
      <w:r>
        <w:rPr>
          <w:rStyle w:val="CharSectno"/>
        </w:rPr>
        <w:t>21</w:t>
      </w:r>
      <w:r>
        <w:rPr>
          <w:snapToGrid w:val="0"/>
        </w:rPr>
        <w:t>.</w:t>
      </w:r>
      <w:r>
        <w:rPr>
          <w:snapToGrid w:val="0"/>
        </w:rPr>
        <w:tab/>
        <w:t>Amendment of Appendix A</w:t>
      </w:r>
      <w:bookmarkEnd w:id="26"/>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b/>
          <w:snapToGrid w:val="0"/>
        </w:rPr>
        <w:t>“</w:t>
      </w:r>
      <w:r>
        <w:rPr>
          <w:rStyle w:val="CharDefText"/>
        </w:rPr>
        <w:t>subsidiary legislation</w:t>
      </w:r>
      <w:r>
        <w:rPr>
          <w:b/>
          <w:snapToGrid w:val="0"/>
        </w:rPr>
        <w:t>”</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 xml:space="preserve">[Section 21 inserted by No. 48 of 1995 s. 8.] </w:t>
      </w:r>
    </w:p>
    <w:p>
      <w:pPr>
        <w:pStyle w:val="Heading5"/>
        <w:rPr>
          <w:snapToGrid w:val="0"/>
        </w:rPr>
      </w:pPr>
      <w:bookmarkStart w:id="27" w:name="_Toc389745152"/>
      <w:r>
        <w:rPr>
          <w:rStyle w:val="CharSectno"/>
        </w:rPr>
        <w:t>21A</w:t>
      </w:r>
      <w:r>
        <w:rPr>
          <w:snapToGrid w:val="0"/>
        </w:rPr>
        <w:t>.</w:t>
      </w:r>
      <w:r>
        <w:rPr>
          <w:snapToGrid w:val="0"/>
        </w:rPr>
        <w:tab/>
        <w:t>Exemption of substances from Act</w:t>
      </w:r>
      <w:bookmarkEnd w:id="27"/>
      <w:r>
        <w:rPr>
          <w:snapToGrid w:val="0"/>
        </w:rPr>
        <w:t xml:space="preserve"> </w:t>
      </w:r>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 xml:space="preserve">[Section 21A inserted by No. 48 of 1995 s. 8.] </w:t>
      </w:r>
    </w:p>
    <w:p>
      <w:pPr>
        <w:pStyle w:val="Heading5"/>
        <w:rPr>
          <w:snapToGrid w:val="0"/>
        </w:rPr>
      </w:pPr>
      <w:bookmarkStart w:id="28" w:name="_Toc389745153"/>
      <w:r>
        <w:rPr>
          <w:rStyle w:val="CharSectno"/>
        </w:rPr>
        <w:t>22</w:t>
      </w:r>
      <w:r>
        <w:rPr>
          <w:snapToGrid w:val="0"/>
        </w:rPr>
        <w:t>.</w:t>
      </w:r>
      <w:r>
        <w:rPr>
          <w:snapToGrid w:val="0"/>
        </w:rPr>
        <w:tab/>
        <w:t>Sale of any poison may be prohibited</w:t>
      </w:r>
      <w:bookmarkEnd w:id="28"/>
      <w:r>
        <w:rPr>
          <w:snapToGrid w:val="0"/>
        </w:rPr>
        <w:t xml:space="preserve"> </w:t>
      </w:r>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 xml:space="preserve">[Section 22 amended by No. 48 of 1995 s. 9.] </w:t>
      </w:r>
    </w:p>
    <w:p>
      <w:pPr>
        <w:pStyle w:val="Heading5"/>
        <w:rPr>
          <w:snapToGrid w:val="0"/>
        </w:rPr>
      </w:pPr>
      <w:bookmarkStart w:id="29" w:name="_Toc389745154"/>
      <w:r>
        <w:rPr>
          <w:rStyle w:val="CharSectno"/>
        </w:rPr>
        <w:t>22A</w:t>
      </w:r>
      <w:r>
        <w:rPr>
          <w:snapToGrid w:val="0"/>
        </w:rPr>
        <w:t>.</w:t>
      </w:r>
      <w:r>
        <w:rPr>
          <w:snapToGrid w:val="0"/>
        </w:rPr>
        <w:tab/>
        <w:t>Specified drugs</w:t>
      </w:r>
      <w:bookmarkEnd w:id="29"/>
      <w:r>
        <w:rPr>
          <w:snapToGrid w:val="0"/>
        </w:rPr>
        <w:t xml:space="preserve"> </w:t>
      </w:r>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 xml:space="preserve">[Section 22A inserted by No. 6 of 1969 s. 4; amended by No. 57 of 1981 s. 15; No. 48 of 1995 s. 10.] </w:t>
      </w:r>
    </w:p>
    <w:p>
      <w:pPr>
        <w:pStyle w:val="Heading3"/>
        <w:spacing w:before="260"/>
        <w:rPr>
          <w:snapToGrid w:val="0"/>
        </w:rPr>
      </w:pPr>
      <w:bookmarkStart w:id="30" w:name="_Toc389745155"/>
      <w:r>
        <w:rPr>
          <w:rStyle w:val="CharDivNo"/>
        </w:rPr>
        <w:t>Division 2</w:t>
      </w:r>
      <w:r>
        <w:rPr>
          <w:snapToGrid w:val="0"/>
        </w:rPr>
        <w:t> — </w:t>
      </w:r>
      <w:r>
        <w:rPr>
          <w:rStyle w:val="CharDivText"/>
        </w:rPr>
        <w:t>Sale of poisons</w:t>
      </w:r>
      <w:bookmarkEnd w:id="30"/>
      <w:r>
        <w:rPr>
          <w:rStyle w:val="CharDivText"/>
        </w:rPr>
        <w:t xml:space="preserve"> </w:t>
      </w:r>
    </w:p>
    <w:p>
      <w:pPr>
        <w:pStyle w:val="Heading5"/>
        <w:rPr>
          <w:snapToGrid w:val="0"/>
        </w:rPr>
      </w:pPr>
      <w:bookmarkStart w:id="31" w:name="_Toc389745156"/>
      <w:r>
        <w:rPr>
          <w:rStyle w:val="CharSectno"/>
        </w:rPr>
        <w:t>23</w:t>
      </w:r>
      <w:r>
        <w:rPr>
          <w:snapToGrid w:val="0"/>
        </w:rPr>
        <w:t>.</w:t>
      </w:r>
      <w:r>
        <w:rPr>
          <w:snapToGrid w:val="0"/>
        </w:rPr>
        <w:tab/>
        <w:t>Persons authorised to sell poisons</w:t>
      </w:r>
      <w:bookmarkEnd w:id="31"/>
      <w:r>
        <w:rPr>
          <w:snapToGrid w:val="0"/>
        </w:rPr>
        <w:t xml:space="preserve"> </w:t>
      </w:r>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 xml:space="preserve">any dentist is authorised to have in his possession and to use in the lawful practice of his profession any poison; </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 xml:space="preserve">[Section 23 amended by No. 6 of 1969 s. 5; No. 43 of 1978 s. 3; No. 28 of 1984 s. 92; No. 12 of 1994 s. 10; No. 48 of 1995 s. 11; No. 9 of 2003 s. 37; No. 28 of 2006 s. 282.] </w:t>
      </w:r>
    </w:p>
    <w:p>
      <w:pPr>
        <w:pStyle w:val="Heading5"/>
        <w:rPr>
          <w:snapToGrid w:val="0"/>
        </w:rPr>
      </w:pPr>
      <w:bookmarkStart w:id="32" w:name="_Toc389745157"/>
      <w:r>
        <w:rPr>
          <w:rStyle w:val="CharSectno"/>
        </w:rPr>
        <w:t>24</w:t>
      </w:r>
      <w:r>
        <w:rPr>
          <w:snapToGrid w:val="0"/>
        </w:rPr>
        <w:t>.</w:t>
      </w:r>
      <w:r>
        <w:rPr>
          <w:snapToGrid w:val="0"/>
        </w:rPr>
        <w:tab/>
        <w:t>Licences to sell poisons</w:t>
      </w:r>
      <w:bookmarkEnd w:id="32"/>
      <w:r>
        <w:rPr>
          <w:snapToGrid w:val="0"/>
        </w:rPr>
        <w:t xml:space="preserve"> </w:t>
      </w:r>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 xml:space="preserve">[Section 24 amended by No. 6 of 1969 s. 6; No. 28 of 1984 s. 92; No. 12 of 1994 s. 10; No. 48 of 1995 s. 12; No. 28 of 2006 s. 282.] </w:t>
      </w:r>
    </w:p>
    <w:p>
      <w:pPr>
        <w:pStyle w:val="Heading5"/>
        <w:spacing w:before="240"/>
        <w:rPr>
          <w:snapToGrid w:val="0"/>
        </w:rPr>
      </w:pPr>
      <w:bookmarkStart w:id="33" w:name="_Toc389745158"/>
      <w:r>
        <w:rPr>
          <w:rStyle w:val="CharSectno"/>
        </w:rPr>
        <w:t>25</w:t>
      </w:r>
      <w:r>
        <w:rPr>
          <w:snapToGrid w:val="0"/>
        </w:rPr>
        <w:t>.</w:t>
      </w:r>
      <w:r>
        <w:rPr>
          <w:snapToGrid w:val="0"/>
        </w:rPr>
        <w:tab/>
        <w:t>Permits to purchase poisons for specified purposes</w:t>
      </w:r>
      <w:bookmarkEnd w:id="33"/>
      <w:r>
        <w:rPr>
          <w:snapToGrid w:val="0"/>
        </w:rPr>
        <w:t xml:space="preserve"> </w:t>
      </w:r>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 xml:space="preserve">[Section 25 amended by No. 23 of 1966 s. 3; No. 28 of 1984 s. 92; No. 12 of 1994 s. 10; No. 48 of 1995 s. 13; No. 28 of 2006 s. 282.] </w:t>
      </w:r>
    </w:p>
    <w:p>
      <w:pPr>
        <w:pStyle w:val="Heading5"/>
        <w:spacing w:before="240"/>
        <w:rPr>
          <w:snapToGrid w:val="0"/>
        </w:rPr>
      </w:pPr>
      <w:bookmarkStart w:id="34" w:name="_Toc389745159"/>
      <w:r>
        <w:rPr>
          <w:rStyle w:val="CharSectno"/>
        </w:rPr>
        <w:t>26</w:t>
      </w:r>
      <w:r>
        <w:rPr>
          <w:snapToGrid w:val="0"/>
        </w:rPr>
        <w:t>.</w:t>
      </w:r>
      <w:r>
        <w:rPr>
          <w:snapToGrid w:val="0"/>
        </w:rPr>
        <w:tab/>
        <w:t>Form of licences and permits</w:t>
      </w:r>
      <w:bookmarkEnd w:id="34"/>
      <w:r>
        <w:rPr>
          <w:snapToGrid w:val="0"/>
        </w:rPr>
        <w:t xml:space="preserve"> </w:t>
      </w:r>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 xml:space="preserve">[Section 26 inserted by No. 48 of 1995 s. 14.] </w:t>
      </w:r>
    </w:p>
    <w:p>
      <w:pPr>
        <w:pStyle w:val="Heading5"/>
        <w:spacing w:before="180"/>
        <w:rPr>
          <w:snapToGrid w:val="0"/>
        </w:rPr>
      </w:pPr>
      <w:bookmarkStart w:id="35" w:name="_Toc389745160"/>
      <w:r>
        <w:rPr>
          <w:rStyle w:val="CharSectno"/>
        </w:rPr>
        <w:t>26A</w:t>
      </w:r>
      <w:r>
        <w:rPr>
          <w:snapToGrid w:val="0"/>
        </w:rPr>
        <w:t>.</w:t>
      </w:r>
      <w:r>
        <w:rPr>
          <w:snapToGrid w:val="0"/>
        </w:rPr>
        <w:tab/>
        <w:t>Conditions</w:t>
      </w:r>
      <w:bookmarkEnd w:id="35"/>
      <w:r>
        <w:rPr>
          <w:snapToGrid w:val="0"/>
        </w:rPr>
        <w:t xml:space="preserve"> </w:t>
      </w:r>
    </w:p>
    <w:p>
      <w:pPr>
        <w:pStyle w:val="Subsection"/>
        <w:keepNext/>
        <w:keepLines/>
        <w:rPr>
          <w:snapToGrid w:val="0"/>
        </w:rPr>
      </w:pPr>
      <w:r>
        <w:rPr>
          <w:snapToGrid w:val="0"/>
        </w:rPr>
        <w:tab/>
        <w:t>(1)</w:t>
      </w:r>
      <w:r>
        <w:rPr>
          <w:snapToGrid w:val="0"/>
        </w:rPr>
        <w:tab/>
        <w:t>A licence or permit under this Act is subject to —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 xml:space="preserve">[Section 26A inserted by No. 48 of 1995 s. 14; amended by No. 28 of 2006 s. 282.] </w:t>
      </w:r>
    </w:p>
    <w:p>
      <w:pPr>
        <w:pStyle w:val="Heading5"/>
        <w:rPr>
          <w:snapToGrid w:val="0"/>
        </w:rPr>
      </w:pPr>
      <w:bookmarkStart w:id="36" w:name="_Toc389745161"/>
      <w:r>
        <w:rPr>
          <w:rStyle w:val="CharSectno"/>
        </w:rPr>
        <w:t>26B</w:t>
      </w:r>
      <w:r>
        <w:rPr>
          <w:snapToGrid w:val="0"/>
        </w:rPr>
        <w:t>.</w:t>
      </w:r>
      <w:r>
        <w:rPr>
          <w:snapToGrid w:val="0"/>
        </w:rPr>
        <w:tab/>
        <w:t>Duration of licences and permits</w:t>
      </w:r>
      <w:bookmarkEnd w:id="36"/>
      <w:r>
        <w:rPr>
          <w:snapToGrid w:val="0"/>
        </w:rPr>
        <w:t xml:space="preserve"> </w:t>
      </w:r>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 xml:space="preserve">[Section 26B inserted by No. 48 of 1995 s. 14; amended by No. 28 of 2006 s. 282.] </w:t>
      </w:r>
    </w:p>
    <w:p>
      <w:pPr>
        <w:pStyle w:val="Heading5"/>
        <w:rPr>
          <w:snapToGrid w:val="0"/>
        </w:rPr>
      </w:pPr>
      <w:bookmarkStart w:id="37" w:name="_Toc389745162"/>
      <w:r>
        <w:rPr>
          <w:rStyle w:val="CharSectno"/>
        </w:rPr>
        <w:t>27</w:t>
      </w:r>
      <w:r>
        <w:rPr>
          <w:snapToGrid w:val="0"/>
        </w:rPr>
        <w:t>.</w:t>
      </w:r>
      <w:r>
        <w:rPr>
          <w:snapToGrid w:val="0"/>
        </w:rPr>
        <w:tab/>
        <w:t>Fees for licences, permits and renewals</w:t>
      </w:r>
      <w:bookmarkEnd w:id="37"/>
      <w:r>
        <w:rPr>
          <w:snapToGrid w:val="0"/>
        </w:rPr>
        <w:t xml:space="preserve"> </w:t>
      </w:r>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 xml:space="preserve">[Section 27 amended by No. 28 of 1984 s. 92; No. 12 of 1994 s. 10; No. 28 of 2006 s. 282.] </w:t>
      </w:r>
    </w:p>
    <w:p>
      <w:pPr>
        <w:pStyle w:val="Heading5"/>
        <w:rPr>
          <w:snapToGrid w:val="0"/>
        </w:rPr>
      </w:pPr>
      <w:bookmarkStart w:id="38" w:name="_Toc389745163"/>
      <w:r>
        <w:rPr>
          <w:rStyle w:val="CharSectno"/>
        </w:rPr>
        <w:t>28</w:t>
      </w:r>
      <w:r>
        <w:rPr>
          <w:snapToGrid w:val="0"/>
        </w:rPr>
        <w:t>.</w:t>
      </w:r>
      <w:r>
        <w:rPr>
          <w:snapToGrid w:val="0"/>
        </w:rPr>
        <w:tab/>
      </w:r>
      <w:r>
        <w:t xml:space="preserve">CEO </w:t>
      </w:r>
      <w:r>
        <w:rPr>
          <w:snapToGrid w:val="0"/>
        </w:rPr>
        <w:t>may cancel, suspend or revoke licence or permit</w:t>
      </w:r>
      <w:bookmarkEnd w:id="38"/>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 xml:space="preserve">[Section 28 amended by No. 29 of 1984 s. 92; No. 12 of 1994 s. 10; No. 28 of 2006 s. 282.] </w:t>
      </w:r>
    </w:p>
    <w:p>
      <w:pPr>
        <w:pStyle w:val="Heading5"/>
        <w:rPr>
          <w:snapToGrid w:val="0"/>
        </w:rPr>
      </w:pPr>
      <w:bookmarkStart w:id="39" w:name="_Toc389745164"/>
      <w:r>
        <w:rPr>
          <w:rStyle w:val="CharSectno"/>
        </w:rPr>
        <w:t>29</w:t>
      </w:r>
      <w:r>
        <w:rPr>
          <w:snapToGrid w:val="0"/>
        </w:rPr>
        <w:t>.</w:t>
      </w:r>
      <w:r>
        <w:rPr>
          <w:snapToGrid w:val="0"/>
        </w:rPr>
        <w:tab/>
        <w:t xml:space="preserve">Application for review of order of </w:t>
      </w:r>
      <w:r>
        <w:t>CEO</w:t>
      </w:r>
      <w:bookmarkEnd w:id="39"/>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tabs>
          <w:tab w:val="clear" w:pos="879"/>
          <w:tab w:val="left" w:pos="1200"/>
        </w:tabs>
        <w:ind w:left="1200"/>
      </w:pPr>
      <w:r>
        <w:tab/>
        <w:t>[(2), (3)</w:t>
      </w:r>
      <w:r>
        <w:tab/>
        <w:t>repealed</w:t>
      </w:r>
    </w:p>
    <w:p>
      <w:pPr>
        <w:pStyle w:val="Footnotesection"/>
      </w:pPr>
      <w:r>
        <w:tab/>
        <w:t xml:space="preserve">[Section 29 amended by No. 28 of 1984 s. 92; No. 12 of 1994 s. 10; No. 55 of 2004 s. 965; No. 28 of 2006 s. 282.] </w:t>
      </w:r>
    </w:p>
    <w:p>
      <w:pPr>
        <w:pStyle w:val="Heading5"/>
        <w:rPr>
          <w:snapToGrid w:val="0"/>
        </w:rPr>
      </w:pPr>
      <w:bookmarkStart w:id="40" w:name="_Toc389745165"/>
      <w:r>
        <w:rPr>
          <w:rStyle w:val="CharSectno"/>
        </w:rPr>
        <w:t>30</w:t>
      </w:r>
      <w:r>
        <w:rPr>
          <w:snapToGrid w:val="0"/>
        </w:rPr>
        <w:t>.</w:t>
      </w:r>
      <w:r>
        <w:rPr>
          <w:snapToGrid w:val="0"/>
        </w:rPr>
        <w:tab/>
        <w:t>Licence not to be granted to company or friendly society</w:t>
      </w:r>
      <w:bookmarkEnd w:id="40"/>
      <w:r>
        <w:rPr>
          <w:snapToGrid w:val="0"/>
        </w:rPr>
        <w:t xml:space="preserve"> </w:t>
      </w:r>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b/>
        </w:rPr>
        <w:t>“</w:t>
      </w:r>
      <w:r>
        <w:rPr>
          <w:rStyle w:val="CharDefText"/>
        </w:rPr>
        <w:t>friendly society</w:t>
      </w:r>
      <w:r>
        <w:rPr>
          <w:b/>
        </w:rPr>
        <w:t>”</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rPr>
          <w:snapToGrid w:val="0"/>
        </w:rPr>
      </w:pPr>
      <w:bookmarkStart w:id="41" w:name="_Toc389745166"/>
      <w:r>
        <w:rPr>
          <w:rStyle w:val="CharDivNo"/>
        </w:rPr>
        <w:t>Division 3</w:t>
      </w:r>
      <w:r>
        <w:rPr>
          <w:snapToGrid w:val="0"/>
        </w:rPr>
        <w:t> — </w:t>
      </w:r>
      <w:r>
        <w:rPr>
          <w:rStyle w:val="CharDivText"/>
        </w:rPr>
        <w:t>General provisions</w:t>
      </w:r>
      <w:bookmarkEnd w:id="41"/>
      <w:r>
        <w:rPr>
          <w:rStyle w:val="CharDivText"/>
        </w:rPr>
        <w:t xml:space="preserve"> </w:t>
      </w:r>
    </w:p>
    <w:p>
      <w:pPr>
        <w:pStyle w:val="Heading5"/>
        <w:rPr>
          <w:snapToGrid w:val="0"/>
        </w:rPr>
      </w:pPr>
      <w:bookmarkStart w:id="42" w:name="_Toc389745167"/>
      <w:r>
        <w:rPr>
          <w:rStyle w:val="CharSectno"/>
        </w:rPr>
        <w:t>31</w:t>
      </w:r>
      <w:r>
        <w:rPr>
          <w:snapToGrid w:val="0"/>
        </w:rPr>
        <w:t>.</w:t>
      </w:r>
      <w:r>
        <w:rPr>
          <w:snapToGrid w:val="0"/>
        </w:rPr>
        <w:tab/>
        <w:t>Sales of poison to be recorded in a book</w:t>
      </w:r>
      <w:bookmarkEnd w:id="42"/>
      <w:r>
        <w:rPr>
          <w:snapToGrid w:val="0"/>
        </w:rPr>
        <w:t xml:space="preserve"> </w:t>
      </w:r>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 xml:space="preserve">[Section 31 amended by No. 48 of 1995 s. 15.] </w:t>
      </w:r>
    </w:p>
    <w:p>
      <w:pPr>
        <w:pStyle w:val="Heading5"/>
        <w:spacing w:before="180"/>
        <w:rPr>
          <w:snapToGrid w:val="0"/>
        </w:rPr>
      </w:pPr>
      <w:bookmarkStart w:id="43" w:name="_Toc389745168"/>
      <w:r>
        <w:rPr>
          <w:rStyle w:val="CharSectno"/>
        </w:rPr>
        <w:t>32</w:t>
      </w:r>
      <w:r>
        <w:rPr>
          <w:snapToGrid w:val="0"/>
        </w:rPr>
        <w:t>.</w:t>
      </w:r>
      <w:r>
        <w:rPr>
          <w:snapToGrid w:val="0"/>
        </w:rPr>
        <w:tab/>
        <w:t>Unauthorised sales of poisons</w:t>
      </w:r>
      <w:bookmarkEnd w:id="43"/>
      <w:r>
        <w:rPr>
          <w:snapToGrid w:val="0"/>
        </w:rPr>
        <w:t xml:space="preserve"> </w:t>
      </w:r>
    </w:p>
    <w:p>
      <w:pPr>
        <w:pStyle w:val="Subsection"/>
        <w:rPr>
          <w:snapToGrid w:val="0"/>
        </w:rPr>
      </w:pPr>
      <w:r>
        <w:rPr>
          <w:snapToGrid w:val="0"/>
        </w:rPr>
        <w:tab/>
      </w:r>
      <w:r>
        <w:rPr>
          <w:snapToGrid w:val="0"/>
        </w:rPr>
        <w:tab/>
        <w:t>A person shall not —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 xml:space="preserve">[Section 32 amended by No. 48 of 1995 s. 16.] </w:t>
      </w:r>
    </w:p>
    <w:p>
      <w:pPr>
        <w:pStyle w:val="Heading5"/>
        <w:keepLines w:val="0"/>
        <w:spacing w:before="180"/>
        <w:rPr>
          <w:snapToGrid w:val="0"/>
        </w:rPr>
      </w:pPr>
      <w:bookmarkStart w:id="44" w:name="_Toc389745169"/>
      <w:r>
        <w:rPr>
          <w:rStyle w:val="CharSectno"/>
        </w:rPr>
        <w:t>33</w:t>
      </w:r>
      <w:r>
        <w:rPr>
          <w:snapToGrid w:val="0"/>
        </w:rPr>
        <w:t>.</w:t>
      </w:r>
      <w:r>
        <w:rPr>
          <w:snapToGrid w:val="0"/>
        </w:rPr>
        <w:tab/>
        <w:t>Wholesaler not to sell by retail</w:t>
      </w:r>
      <w:bookmarkEnd w:id="44"/>
      <w:r>
        <w:rPr>
          <w:snapToGrid w:val="0"/>
        </w:rPr>
        <w:t xml:space="preserve"> </w:t>
      </w:r>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 xml:space="preserve">[Section 33 amended by No. 48 of 1995 s. 17.] </w:t>
      </w:r>
    </w:p>
    <w:p>
      <w:pPr>
        <w:pStyle w:val="Heading5"/>
        <w:spacing w:before="180"/>
        <w:rPr>
          <w:snapToGrid w:val="0"/>
        </w:rPr>
      </w:pPr>
      <w:bookmarkStart w:id="45" w:name="_Toc389745170"/>
      <w:r>
        <w:rPr>
          <w:rStyle w:val="CharSectno"/>
        </w:rPr>
        <w:t>34</w:t>
      </w:r>
      <w:r>
        <w:rPr>
          <w:snapToGrid w:val="0"/>
        </w:rPr>
        <w:t>.</w:t>
      </w:r>
      <w:r>
        <w:rPr>
          <w:snapToGrid w:val="0"/>
        </w:rPr>
        <w:tab/>
        <w:t>Sales to certain persons prohibited</w:t>
      </w:r>
      <w:bookmarkEnd w:id="45"/>
      <w:r>
        <w:rPr>
          <w:snapToGrid w:val="0"/>
        </w:rPr>
        <w:t xml:space="preserve"> </w:t>
      </w:r>
    </w:p>
    <w:p>
      <w:pPr>
        <w:pStyle w:val="Subsection"/>
        <w:rPr>
          <w:snapToGrid w:val="0"/>
        </w:rPr>
      </w:pPr>
      <w:r>
        <w:rPr>
          <w:snapToGrid w:val="0"/>
        </w:rPr>
        <w:tab/>
        <w:t>(1)</w:t>
      </w:r>
      <w:r>
        <w:rPr>
          <w:snapToGrid w:val="0"/>
        </w:rPr>
        <w:tab/>
        <w:t>A person shall not sell any poison or class of poison prescribed by regulation for the purposes of this section to any person —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 xml:space="preserve">[Section 34 amended by No. 23 of 1966 s. 4.] </w:t>
      </w:r>
    </w:p>
    <w:p>
      <w:pPr>
        <w:pStyle w:val="Heading5"/>
        <w:rPr>
          <w:snapToGrid w:val="0"/>
        </w:rPr>
      </w:pPr>
      <w:bookmarkStart w:id="46" w:name="_Toc389745171"/>
      <w:r>
        <w:rPr>
          <w:rStyle w:val="CharSectno"/>
        </w:rPr>
        <w:t>35</w:t>
      </w:r>
      <w:r>
        <w:rPr>
          <w:snapToGrid w:val="0"/>
        </w:rPr>
        <w:t>.</w:t>
      </w:r>
      <w:r>
        <w:rPr>
          <w:snapToGrid w:val="0"/>
        </w:rPr>
        <w:tab/>
        <w:t>Making false declarations</w:t>
      </w:r>
      <w:bookmarkEnd w:id="46"/>
      <w:r>
        <w:rPr>
          <w:snapToGrid w:val="0"/>
        </w:rPr>
        <w:t xml:space="preserve"> </w:t>
      </w:r>
    </w:p>
    <w:p>
      <w:pPr>
        <w:pStyle w:val="Subsection"/>
        <w:rPr>
          <w:snapToGrid w:val="0"/>
        </w:rPr>
      </w:pPr>
      <w:r>
        <w:rPr>
          <w:snapToGrid w:val="0"/>
        </w:rPr>
        <w:tab/>
      </w:r>
      <w:r>
        <w:rPr>
          <w:snapToGrid w:val="0"/>
        </w:rPr>
        <w:tab/>
        <w:t xml:space="preserve">A person who for the purpose of obtaining for himself or for any other person the grant, issue or renewal of a licence or permit under this Act —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47" w:name="_Toc389745172"/>
      <w:r>
        <w:rPr>
          <w:rStyle w:val="CharSectno"/>
        </w:rPr>
        <w:t>36</w:t>
      </w:r>
      <w:r>
        <w:rPr>
          <w:snapToGrid w:val="0"/>
        </w:rPr>
        <w:t>.</w:t>
      </w:r>
      <w:r>
        <w:rPr>
          <w:snapToGrid w:val="0"/>
        </w:rPr>
        <w:tab/>
        <w:t>Drugs not to be used for self administration</w:t>
      </w:r>
      <w:bookmarkEnd w:id="47"/>
      <w:r>
        <w:rPr>
          <w:snapToGrid w:val="0"/>
        </w:rPr>
        <w:t xml:space="preserve"> </w:t>
      </w:r>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 xml:space="preserve">[Section 36 amended by No. 12 of 1994 s. 6.] </w:t>
      </w:r>
    </w:p>
    <w:p>
      <w:pPr>
        <w:pStyle w:val="Heading5"/>
        <w:rPr>
          <w:snapToGrid w:val="0"/>
        </w:rPr>
      </w:pPr>
      <w:bookmarkStart w:id="48" w:name="_Toc389745173"/>
      <w:r>
        <w:rPr>
          <w:rStyle w:val="CharSectno"/>
        </w:rPr>
        <w:t>36A</w:t>
      </w:r>
      <w:r>
        <w:rPr>
          <w:snapToGrid w:val="0"/>
        </w:rPr>
        <w:t>.</w:t>
      </w:r>
      <w:r>
        <w:rPr>
          <w:snapToGrid w:val="0"/>
        </w:rPr>
        <w:tab/>
        <w:t>Defence for persons participating in the conduct of needle and syringe programmes</w:t>
      </w:r>
      <w:bookmarkEnd w:id="48"/>
      <w:r>
        <w:rPr>
          <w:snapToGrid w:val="0"/>
        </w:rPr>
        <w:t xml:space="preserve"> </w:t>
      </w:r>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 xml:space="preserve">[Section 36A inserted by No. 12 of 1994 s. 7; amended by No. 28 of 2006 s. 282.] </w:t>
      </w:r>
    </w:p>
    <w:p>
      <w:pPr>
        <w:pStyle w:val="Ednotesection"/>
      </w:pPr>
      <w:r>
        <w:t>[</w:t>
      </w:r>
      <w:r>
        <w:rPr>
          <w:b/>
        </w:rPr>
        <w:t>37</w:t>
      </w:r>
      <w:r>
        <w:rPr>
          <w:b/>
        </w:rPr>
        <w:noBreakHyphen/>
        <w:t>39.</w:t>
      </w:r>
      <w:r>
        <w:tab/>
        <w:t xml:space="preserve">Repealed by No. 48 of 1995 s. 18.] </w:t>
      </w:r>
    </w:p>
    <w:p>
      <w:pPr>
        <w:pStyle w:val="Heading5"/>
        <w:rPr>
          <w:snapToGrid w:val="0"/>
        </w:rPr>
      </w:pPr>
      <w:bookmarkStart w:id="49" w:name="_Toc389745174"/>
      <w:r>
        <w:rPr>
          <w:rStyle w:val="CharSectno"/>
        </w:rPr>
        <w:t>40</w:t>
      </w:r>
      <w:r>
        <w:rPr>
          <w:snapToGrid w:val="0"/>
        </w:rPr>
        <w:t>.</w:t>
      </w:r>
      <w:r>
        <w:rPr>
          <w:snapToGrid w:val="0"/>
        </w:rPr>
        <w:tab/>
        <w:t>Offences against this Part</w:t>
      </w:r>
      <w:bookmarkEnd w:id="49"/>
      <w:r>
        <w:rPr>
          <w:snapToGrid w:val="0"/>
        </w:rPr>
        <w:t xml:space="preserve"> </w:t>
      </w:r>
    </w:p>
    <w:p>
      <w:pPr>
        <w:pStyle w:val="Subsection"/>
        <w:keepNext/>
        <w:rPr>
          <w:snapToGrid w:val="0"/>
        </w:rPr>
      </w:pPr>
      <w:r>
        <w:rPr>
          <w:snapToGrid w:val="0"/>
        </w:rPr>
        <w:tab/>
      </w:r>
      <w:r>
        <w:rPr>
          <w:snapToGrid w:val="0"/>
        </w:rPr>
        <w:tab/>
        <w:t>Except where by this Act it is expressly enacted otherwise, every person who —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 xml:space="preserve">[Section 40 amended by No. 23 of 1966 s. 6; No. 43 of 1978 s. 4; No. 28 of 1984 s. 92; No. 12 of 1994 s. 10; No. 48 of 1995 s. 19; No. 28 of 2006 s. 282.] </w:t>
      </w:r>
    </w:p>
    <w:p>
      <w:pPr>
        <w:pStyle w:val="Heading2"/>
      </w:pPr>
      <w:bookmarkStart w:id="50" w:name="_Toc389745175"/>
      <w:r>
        <w:rPr>
          <w:rStyle w:val="CharPartNo"/>
        </w:rPr>
        <w:t>Part IV</w:t>
      </w:r>
      <w:r>
        <w:rPr>
          <w:rStyle w:val="CharDivNo"/>
        </w:rPr>
        <w:t> </w:t>
      </w:r>
      <w:r>
        <w:t>—</w:t>
      </w:r>
      <w:r>
        <w:rPr>
          <w:rStyle w:val="CharDivText"/>
        </w:rPr>
        <w:t> </w:t>
      </w:r>
      <w:r>
        <w:rPr>
          <w:rStyle w:val="CharPartText"/>
        </w:rPr>
        <w:t>Drugs of addiction</w:t>
      </w:r>
      <w:bookmarkEnd w:id="50"/>
      <w:r>
        <w:rPr>
          <w:rStyle w:val="CharPartText"/>
        </w:rPr>
        <w:t xml:space="preserve"> </w:t>
      </w:r>
    </w:p>
    <w:p>
      <w:pPr>
        <w:pStyle w:val="Heading5"/>
        <w:spacing w:before="240"/>
        <w:rPr>
          <w:snapToGrid w:val="0"/>
        </w:rPr>
      </w:pPr>
      <w:bookmarkStart w:id="51" w:name="_Toc389745176"/>
      <w:r>
        <w:rPr>
          <w:rStyle w:val="CharSectno"/>
        </w:rPr>
        <w:t>41</w:t>
      </w:r>
      <w:r>
        <w:rPr>
          <w:snapToGrid w:val="0"/>
        </w:rPr>
        <w:t>.</w:t>
      </w:r>
      <w:r>
        <w:rPr>
          <w:snapToGrid w:val="0"/>
        </w:rPr>
        <w:tab/>
        <w:t>Use of Schedule 9 poisons for research etc.</w:t>
      </w:r>
      <w:bookmarkEnd w:id="51"/>
      <w:r>
        <w:rPr>
          <w:snapToGrid w:val="0"/>
        </w:rPr>
        <w:t xml:space="preserve"> </w:t>
      </w:r>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 xml:space="preserve">[Section 41 inserted by No. 48 of 1995 s. 20.] </w:t>
      </w:r>
    </w:p>
    <w:p>
      <w:pPr>
        <w:pStyle w:val="Heading5"/>
        <w:spacing w:before="240"/>
        <w:rPr>
          <w:snapToGrid w:val="0"/>
        </w:rPr>
      </w:pPr>
      <w:bookmarkStart w:id="52" w:name="_Toc389745177"/>
      <w:r>
        <w:rPr>
          <w:rStyle w:val="CharSectno"/>
        </w:rPr>
        <w:t>41A</w:t>
      </w:r>
      <w:r>
        <w:rPr>
          <w:snapToGrid w:val="0"/>
        </w:rPr>
        <w:t>.</w:t>
      </w:r>
      <w:r>
        <w:rPr>
          <w:snapToGrid w:val="0"/>
        </w:rPr>
        <w:tab/>
        <w:t>Licence to cultivate prohibited plants</w:t>
      </w:r>
      <w:bookmarkEnd w:id="52"/>
      <w:r>
        <w:rPr>
          <w:snapToGrid w:val="0"/>
        </w:rPr>
        <w:t xml:space="preserve"> </w:t>
      </w:r>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 xml:space="preserve">[Section 41A inserted by No. 23 of 1966 s. 8; amended by No. 57 of 1981 s. 17; No. 28 of 1984 s. 92; No. 12 of 1994 s. 10; No. 28 of 2006 s. 282.] </w:t>
      </w:r>
    </w:p>
    <w:p>
      <w:pPr>
        <w:pStyle w:val="Ednotesection"/>
        <w:spacing w:before="240"/>
        <w:ind w:left="890" w:hanging="890"/>
      </w:pPr>
      <w:r>
        <w:t>[</w:t>
      </w:r>
      <w:r>
        <w:rPr>
          <w:b/>
        </w:rPr>
        <w:t>42.</w:t>
      </w:r>
      <w:r>
        <w:tab/>
        <w:t xml:space="preserve">Repealed by No. 57 of 1981 s. 18.] </w:t>
      </w:r>
    </w:p>
    <w:p>
      <w:pPr>
        <w:pStyle w:val="Ednotesection"/>
        <w:keepNext/>
      </w:pPr>
      <w:r>
        <w:t>[</w:t>
      </w:r>
      <w:r>
        <w:rPr>
          <w:b/>
        </w:rPr>
        <w:t>43.</w:t>
      </w:r>
      <w:r>
        <w:tab/>
        <w:t xml:space="preserve">Repealed by No. 57 of 1981 s. 19.] </w:t>
      </w:r>
    </w:p>
    <w:p>
      <w:pPr>
        <w:pStyle w:val="Ednotesection"/>
      </w:pPr>
      <w:r>
        <w:t>[</w:t>
      </w:r>
      <w:r>
        <w:rPr>
          <w:b/>
        </w:rPr>
        <w:t>43A.</w:t>
      </w:r>
      <w:r>
        <w:tab/>
        <w:t xml:space="preserve">Repealed by No. 43 of 1978 s. 5.] </w:t>
      </w:r>
    </w:p>
    <w:p>
      <w:pPr>
        <w:pStyle w:val="Heading5"/>
        <w:rPr>
          <w:snapToGrid w:val="0"/>
        </w:rPr>
      </w:pPr>
      <w:bookmarkStart w:id="53" w:name="_Toc389745178"/>
      <w:r>
        <w:rPr>
          <w:rStyle w:val="CharSectno"/>
        </w:rPr>
        <w:t>44</w:t>
      </w:r>
      <w:r>
        <w:rPr>
          <w:snapToGrid w:val="0"/>
        </w:rPr>
        <w:t>.</w:t>
      </w:r>
      <w:r>
        <w:rPr>
          <w:snapToGrid w:val="0"/>
        </w:rPr>
        <w:tab/>
        <w:t>Offences generally against this Part</w:t>
      </w:r>
      <w:bookmarkEnd w:id="53"/>
      <w:r>
        <w:rPr>
          <w:snapToGrid w:val="0"/>
        </w:rPr>
        <w:t xml:space="preserve"> </w:t>
      </w:r>
    </w:p>
    <w:p>
      <w:pPr>
        <w:pStyle w:val="Subsection"/>
        <w:keepNext/>
        <w:rPr>
          <w:snapToGrid w:val="0"/>
        </w:rPr>
      </w:pPr>
      <w:r>
        <w:rPr>
          <w:snapToGrid w:val="0"/>
        </w:rPr>
        <w:tab/>
        <w:t>(1)</w:t>
      </w:r>
      <w:r>
        <w:rPr>
          <w:snapToGrid w:val="0"/>
        </w:rPr>
        <w:tab/>
        <w:t>A person who —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 xml:space="preserve">[Section 44 amended by No. 23 of 1966 s. 9; No. 51 of 1967 s. 2; No. 87 of 1970 s. 4; No. 43 of 1978 s. 6; No. 48 of 1995 s. 21.] </w:t>
      </w:r>
    </w:p>
    <w:p>
      <w:pPr>
        <w:pStyle w:val="Heading5"/>
        <w:rPr>
          <w:snapToGrid w:val="0"/>
        </w:rPr>
      </w:pPr>
      <w:bookmarkStart w:id="54" w:name="_Toc389745179"/>
      <w:r>
        <w:rPr>
          <w:rStyle w:val="CharSectno"/>
        </w:rPr>
        <w:t>45</w:t>
      </w:r>
      <w:r>
        <w:rPr>
          <w:snapToGrid w:val="0"/>
        </w:rPr>
        <w:t>.</w:t>
      </w:r>
      <w:r>
        <w:rPr>
          <w:snapToGrid w:val="0"/>
        </w:rPr>
        <w:tab/>
        <w:t>Interpretation of “corresponding law”</w:t>
      </w:r>
      <w:bookmarkEnd w:id="54"/>
    </w:p>
    <w:p>
      <w:pPr>
        <w:pStyle w:val="Subsection"/>
        <w:keepNext/>
        <w:rPr>
          <w:snapToGrid w:val="0"/>
        </w:rPr>
      </w:pPr>
      <w:r>
        <w:rPr>
          <w:snapToGrid w:val="0"/>
        </w:rPr>
        <w:tab/>
        <w:t>(1)</w:t>
      </w:r>
      <w:r>
        <w:rPr>
          <w:snapToGrid w:val="0"/>
        </w:rPr>
        <w:tab/>
        <w:t xml:space="preserve">In this Part the expression, </w:t>
      </w:r>
      <w:r>
        <w:rPr>
          <w:b/>
          <w:snapToGrid w:val="0"/>
        </w:rPr>
        <w:t>“</w:t>
      </w:r>
      <w:r>
        <w:rPr>
          <w:rStyle w:val="CharDefText"/>
        </w:rPr>
        <w:t>corresponding law</w:t>
      </w:r>
      <w:r>
        <w:rPr>
          <w:b/>
          <w:snapToGrid w:val="0"/>
        </w:rPr>
        <w:t>”</w:t>
      </w:r>
      <w:r>
        <w:rPr>
          <w:snapToGrid w:val="0"/>
        </w:rPr>
        <w:t xml:space="preserve"> means any law stated in a certificate that purports to have been issued by or on behalf of the Government of —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 xml:space="preserve">[Section 45 amended by No. 48 of 1995 s. 22.] </w:t>
      </w:r>
    </w:p>
    <w:p>
      <w:pPr>
        <w:pStyle w:val="Heading2"/>
      </w:pPr>
      <w:bookmarkStart w:id="55" w:name="_Toc389745180"/>
      <w:r>
        <w:rPr>
          <w:rStyle w:val="CharPartNo"/>
        </w:rPr>
        <w:t>Part V</w:t>
      </w:r>
      <w:r>
        <w:rPr>
          <w:rStyle w:val="CharDivNo"/>
        </w:rPr>
        <w:t> </w:t>
      </w:r>
      <w:r>
        <w:t>—</w:t>
      </w:r>
      <w:r>
        <w:rPr>
          <w:rStyle w:val="CharDivText"/>
        </w:rPr>
        <w:t> </w:t>
      </w:r>
      <w:r>
        <w:rPr>
          <w:rStyle w:val="CharPartText"/>
        </w:rPr>
        <w:t>Miscellaneous provisions</w:t>
      </w:r>
      <w:bookmarkEnd w:id="55"/>
      <w:r>
        <w:rPr>
          <w:rStyle w:val="CharPartText"/>
        </w:rPr>
        <w:t xml:space="preserve"> </w:t>
      </w:r>
    </w:p>
    <w:p>
      <w:pPr>
        <w:pStyle w:val="Heading5"/>
        <w:spacing w:before="240"/>
        <w:rPr>
          <w:snapToGrid w:val="0"/>
        </w:rPr>
      </w:pPr>
      <w:bookmarkStart w:id="56" w:name="_Toc389745181"/>
      <w:r>
        <w:rPr>
          <w:rStyle w:val="CharSectno"/>
        </w:rPr>
        <w:t>46</w:t>
      </w:r>
      <w:r>
        <w:rPr>
          <w:snapToGrid w:val="0"/>
        </w:rPr>
        <w:t>.</w:t>
      </w:r>
      <w:r>
        <w:rPr>
          <w:snapToGrid w:val="0"/>
        </w:rPr>
        <w:tab/>
        <w:t>Containers of poisons to be marked or labelled</w:t>
      </w:r>
      <w:bookmarkEnd w:id="56"/>
      <w:r>
        <w:rPr>
          <w:snapToGrid w:val="0"/>
        </w:rPr>
        <w:t xml:space="preserve"> </w:t>
      </w:r>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 xml:space="preserve">[Section 46 amended by No. 48 of 1995 s. 23 and 39.] </w:t>
      </w:r>
    </w:p>
    <w:p>
      <w:pPr>
        <w:pStyle w:val="Heading5"/>
        <w:spacing w:before="240"/>
        <w:rPr>
          <w:snapToGrid w:val="0"/>
        </w:rPr>
      </w:pPr>
      <w:bookmarkStart w:id="57" w:name="_Toc389745182"/>
      <w:r>
        <w:rPr>
          <w:rStyle w:val="CharSectno"/>
        </w:rPr>
        <w:t>47</w:t>
      </w:r>
      <w:r>
        <w:rPr>
          <w:snapToGrid w:val="0"/>
        </w:rPr>
        <w:t>.</w:t>
      </w:r>
      <w:r>
        <w:rPr>
          <w:snapToGrid w:val="0"/>
        </w:rPr>
        <w:tab/>
        <w:t>Medicines for internal use not to be sold in certain packages or containers</w:t>
      </w:r>
      <w:bookmarkEnd w:id="57"/>
      <w:r>
        <w:rPr>
          <w:snapToGrid w:val="0"/>
        </w:rPr>
        <w:t xml:space="preserve"> </w:t>
      </w:r>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 xml:space="preserve">[Section 47 amended by No. 48 of 1995 s. 24.] </w:t>
      </w:r>
    </w:p>
    <w:p>
      <w:pPr>
        <w:pStyle w:val="Heading5"/>
        <w:spacing w:before="240"/>
        <w:rPr>
          <w:snapToGrid w:val="0"/>
        </w:rPr>
      </w:pPr>
      <w:bookmarkStart w:id="58" w:name="_Toc389745183"/>
      <w:r>
        <w:rPr>
          <w:rStyle w:val="CharSectno"/>
        </w:rPr>
        <w:t>48</w:t>
      </w:r>
      <w:r>
        <w:rPr>
          <w:snapToGrid w:val="0"/>
        </w:rPr>
        <w:t>.</w:t>
      </w:r>
      <w:r>
        <w:rPr>
          <w:snapToGrid w:val="0"/>
        </w:rPr>
        <w:tab/>
        <w:t>Prohibition against hawking, etc.</w:t>
      </w:r>
      <w:bookmarkEnd w:id="58"/>
      <w:r>
        <w:rPr>
          <w:snapToGrid w:val="0"/>
        </w:rPr>
        <w:t xml:space="preserve"> </w:t>
      </w:r>
    </w:p>
    <w:p>
      <w:pPr>
        <w:pStyle w:val="Subsection"/>
        <w:spacing w:before="180"/>
        <w:rPr>
          <w:snapToGrid w:val="0"/>
        </w:rPr>
      </w:pPr>
      <w:r>
        <w:rPr>
          <w:snapToGrid w:val="0"/>
        </w:rPr>
        <w:tab/>
      </w:r>
      <w:r>
        <w:rPr>
          <w:snapToGrid w:val="0"/>
        </w:rPr>
        <w:tab/>
        <w:t>A person shall not —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 xml:space="preserve">[Section 48 amended by No. 23 of 1966 s. 10; No. 28 of 1984 s. 92; No. 12 of 1994 s. 10; No. 48 of 1995 s. 25.] </w:t>
      </w:r>
    </w:p>
    <w:p>
      <w:pPr>
        <w:pStyle w:val="Heading5"/>
        <w:rPr>
          <w:snapToGrid w:val="0"/>
        </w:rPr>
      </w:pPr>
      <w:bookmarkStart w:id="59" w:name="_Toc389745184"/>
      <w:r>
        <w:rPr>
          <w:rStyle w:val="CharSectno"/>
        </w:rPr>
        <w:t>49</w:t>
      </w:r>
      <w:r>
        <w:rPr>
          <w:snapToGrid w:val="0"/>
        </w:rPr>
        <w:t>.</w:t>
      </w:r>
      <w:r>
        <w:rPr>
          <w:snapToGrid w:val="0"/>
        </w:rPr>
        <w:tab/>
        <w:t>Prohibition against selling by automatic machines</w:t>
      </w:r>
      <w:bookmarkEnd w:id="59"/>
      <w:r>
        <w:rPr>
          <w:snapToGrid w:val="0"/>
        </w:rPr>
        <w:t xml:space="preserve"> </w:t>
      </w:r>
    </w:p>
    <w:p>
      <w:pPr>
        <w:pStyle w:val="Subsection"/>
        <w:keepNext/>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 xml:space="preserve">[Section 49 amended by No. 23 of 1966 s. 11; No. 48 of 1995 s. 26; No. 50 of 2003 s. 84(2).] </w:t>
      </w:r>
    </w:p>
    <w:p>
      <w:pPr>
        <w:pStyle w:val="Heading5"/>
        <w:rPr>
          <w:snapToGrid w:val="0"/>
        </w:rPr>
      </w:pPr>
      <w:bookmarkStart w:id="60" w:name="_Toc389745185"/>
      <w:r>
        <w:rPr>
          <w:rStyle w:val="CharSectno"/>
        </w:rPr>
        <w:t>50</w:t>
      </w:r>
      <w:r>
        <w:rPr>
          <w:snapToGrid w:val="0"/>
        </w:rPr>
        <w:t>.</w:t>
      </w:r>
      <w:r>
        <w:rPr>
          <w:snapToGrid w:val="0"/>
        </w:rPr>
        <w:tab/>
        <w:t>Leaving poisons unlabelled an offence</w:t>
      </w:r>
      <w:bookmarkEnd w:id="60"/>
      <w:r>
        <w:rPr>
          <w:snapToGrid w:val="0"/>
        </w:rPr>
        <w:t xml:space="preserve"> </w:t>
      </w:r>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 xml:space="preserve">[Section 50 amended by No. 23 of 1966 s. 12; No. 28 of 1984 s. 92; No. 12 of 1994 s. 10; No. 48 of 1995 s. 27; No. 28 of 2006 s. 282.] </w:t>
      </w:r>
    </w:p>
    <w:p>
      <w:pPr>
        <w:pStyle w:val="Ednotesection"/>
      </w:pPr>
      <w:r>
        <w:t>[</w:t>
      </w:r>
      <w:r>
        <w:rPr>
          <w:b/>
        </w:rPr>
        <w:t>51.</w:t>
      </w:r>
      <w:r>
        <w:tab/>
        <w:t xml:space="preserve">Repealed by No. 48 of 1995 s. 28.] </w:t>
      </w:r>
    </w:p>
    <w:p>
      <w:pPr>
        <w:pStyle w:val="Heading2"/>
      </w:pPr>
      <w:bookmarkStart w:id="61" w:name="_Toc389745186"/>
      <w:r>
        <w:rPr>
          <w:rStyle w:val="CharPartNo"/>
        </w:rPr>
        <w:t>Part VI</w:t>
      </w:r>
      <w:r>
        <w:rPr>
          <w:rStyle w:val="CharDivNo"/>
        </w:rPr>
        <w:t> </w:t>
      </w:r>
      <w:r>
        <w:t>—</w:t>
      </w:r>
      <w:r>
        <w:rPr>
          <w:rStyle w:val="CharDivText"/>
        </w:rPr>
        <w:t> </w:t>
      </w:r>
      <w:r>
        <w:rPr>
          <w:rStyle w:val="CharPartText"/>
        </w:rPr>
        <w:t>Supplementary provisions</w:t>
      </w:r>
      <w:bookmarkEnd w:id="61"/>
      <w:r>
        <w:rPr>
          <w:rStyle w:val="CharPartText"/>
        </w:rPr>
        <w:t xml:space="preserve"> </w:t>
      </w:r>
    </w:p>
    <w:p>
      <w:pPr>
        <w:pStyle w:val="Heading5"/>
        <w:spacing w:before="180"/>
        <w:rPr>
          <w:snapToGrid w:val="0"/>
        </w:rPr>
      </w:pPr>
      <w:bookmarkStart w:id="62" w:name="_Toc389745187"/>
      <w:r>
        <w:rPr>
          <w:rStyle w:val="CharSectno"/>
        </w:rPr>
        <w:t>52</w:t>
      </w:r>
      <w:r>
        <w:rPr>
          <w:snapToGrid w:val="0"/>
        </w:rPr>
        <w:t>.</w:t>
      </w:r>
      <w:r>
        <w:rPr>
          <w:snapToGrid w:val="0"/>
        </w:rPr>
        <w:tab/>
        <w:t>Orders in Council may be cancelled or amended</w:t>
      </w:r>
      <w:bookmarkEnd w:id="62"/>
      <w:r>
        <w:rPr>
          <w:snapToGrid w:val="0"/>
        </w:rPr>
        <w:t xml:space="preserve"> </w:t>
      </w:r>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63" w:name="_Toc389745188"/>
      <w:r>
        <w:rPr>
          <w:rStyle w:val="CharSectno"/>
        </w:rPr>
        <w:t>52A</w:t>
      </w:r>
      <w:r>
        <w:rPr>
          <w:snapToGrid w:val="0"/>
        </w:rPr>
        <w:t>.</w:t>
      </w:r>
      <w:r>
        <w:rPr>
          <w:snapToGrid w:val="0"/>
        </w:rPr>
        <w:tab/>
        <w:t>Minister may declare a person to be an authorised officer</w:t>
      </w:r>
      <w:bookmarkEnd w:id="63"/>
      <w:r>
        <w:rPr>
          <w:snapToGrid w:val="0"/>
        </w:rPr>
        <w:t xml:space="preserve"> </w:t>
      </w:r>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 xml:space="preserve">[Section 52A inserted by No. 48 of 1995 s. 29.] </w:t>
      </w:r>
    </w:p>
    <w:p>
      <w:pPr>
        <w:pStyle w:val="Heading5"/>
        <w:spacing w:before="180"/>
        <w:rPr>
          <w:snapToGrid w:val="0"/>
        </w:rPr>
      </w:pPr>
      <w:bookmarkStart w:id="64" w:name="_Toc389745189"/>
      <w:r>
        <w:rPr>
          <w:rStyle w:val="CharSectno"/>
        </w:rPr>
        <w:t>53</w:t>
      </w:r>
      <w:r>
        <w:rPr>
          <w:snapToGrid w:val="0"/>
        </w:rPr>
        <w:t>.</w:t>
      </w:r>
      <w:r>
        <w:rPr>
          <w:snapToGrid w:val="0"/>
        </w:rPr>
        <w:tab/>
        <w:t>Apprehension of offenders</w:t>
      </w:r>
      <w:bookmarkEnd w:id="64"/>
      <w:r>
        <w:rPr>
          <w:snapToGrid w:val="0"/>
        </w:rPr>
        <w:t xml:space="preserve"> </w:t>
      </w:r>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 xml:space="preserve">The powers conferred by this section upon police officers are in addition to and not in diminution of the powers conferred on police officers by the provisions of the </w:t>
      </w:r>
      <w:r>
        <w:rPr>
          <w:i/>
          <w:snapToGrid w:val="0"/>
        </w:rPr>
        <w:t>Police Act 1892</w:t>
      </w:r>
      <w:r>
        <w:rPr>
          <w:snapToGrid w:val="0"/>
        </w:rPr>
        <w:t>, or of any other Act.</w:t>
      </w:r>
    </w:p>
    <w:p>
      <w:pPr>
        <w:pStyle w:val="Footnotesection"/>
        <w:keepLines w:val="0"/>
        <w:spacing w:before="80"/>
        <w:ind w:left="890" w:hanging="890"/>
      </w:pPr>
      <w:r>
        <w:tab/>
        <w:t xml:space="preserve">[Section 53 amended by No. 23 of 1966 s. 13; No. 48 of 1995 s. 30.] </w:t>
      </w:r>
    </w:p>
    <w:p>
      <w:pPr>
        <w:pStyle w:val="Heading5"/>
        <w:rPr>
          <w:snapToGrid w:val="0"/>
        </w:rPr>
      </w:pPr>
      <w:bookmarkStart w:id="65" w:name="_Toc389745190"/>
      <w:r>
        <w:rPr>
          <w:rStyle w:val="CharSectno"/>
        </w:rPr>
        <w:t>54</w:t>
      </w:r>
      <w:r>
        <w:rPr>
          <w:snapToGrid w:val="0"/>
        </w:rPr>
        <w:t>.</w:t>
      </w:r>
      <w:r>
        <w:rPr>
          <w:snapToGrid w:val="0"/>
        </w:rPr>
        <w:tab/>
        <w:t>Routine inspection</w:t>
      </w:r>
      <w:bookmarkEnd w:id="65"/>
      <w:r>
        <w:rPr>
          <w:snapToGrid w:val="0"/>
        </w:rPr>
        <w:t xml:space="preserve"> </w:t>
      </w:r>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 </w:t>
      </w:r>
    </w:p>
    <w:p>
      <w:pPr>
        <w:pStyle w:val="Indenta"/>
        <w:keepNext/>
        <w:spacing w:before="90"/>
        <w:rPr>
          <w:snapToGrid w:val="0"/>
        </w:rPr>
      </w:pPr>
      <w:r>
        <w:rPr>
          <w:snapToGrid w:val="0"/>
        </w:rPr>
        <w:tab/>
        <w:t>(a)</w:t>
      </w:r>
      <w:r>
        <w:rPr>
          <w:snapToGrid w:val="0"/>
        </w:rPr>
        <w:tab/>
        <w:t>enter upon —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 xml:space="preserve">[Section 54 inserted by No. 48 of 1995 s. 31.] </w:t>
      </w:r>
    </w:p>
    <w:p>
      <w:pPr>
        <w:pStyle w:val="Heading5"/>
        <w:rPr>
          <w:snapToGrid w:val="0"/>
        </w:rPr>
      </w:pPr>
      <w:bookmarkStart w:id="66" w:name="_Toc389745191"/>
      <w:r>
        <w:rPr>
          <w:rStyle w:val="CharSectno"/>
        </w:rPr>
        <w:t>55</w:t>
      </w:r>
      <w:r>
        <w:rPr>
          <w:snapToGrid w:val="0"/>
        </w:rPr>
        <w:t>.</w:t>
      </w:r>
      <w:r>
        <w:rPr>
          <w:snapToGrid w:val="0"/>
        </w:rPr>
        <w:tab/>
        <w:t>Powers in respect of premises, vehicles or vessels if offence suspected of being committed</w:t>
      </w:r>
      <w:bookmarkEnd w:id="66"/>
      <w:r>
        <w:rPr>
          <w:snapToGrid w:val="0"/>
        </w:rPr>
        <w:t xml:space="preserve"> </w:t>
      </w:r>
    </w:p>
    <w:p>
      <w:pPr>
        <w:pStyle w:val="Subsection"/>
        <w:keepNext/>
        <w:keepLines/>
        <w:rPr>
          <w:snapToGrid w:val="0"/>
        </w:rPr>
      </w:pPr>
      <w:r>
        <w:rPr>
          <w:snapToGrid w:val="0"/>
        </w:rPr>
        <w:tab/>
        <w:t>(1)</w:t>
      </w:r>
      <w:r>
        <w:rPr>
          <w:snapToGrid w:val="0"/>
        </w:rPr>
        <w:tab/>
        <w:t>If an authorised officer has reasonable grounds to suspect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 </w:t>
      </w:r>
    </w:p>
    <w:p>
      <w:pPr>
        <w:pStyle w:val="Indenta"/>
        <w:keepNext/>
        <w:rPr>
          <w:snapToGrid w:val="0"/>
        </w:rPr>
      </w:pPr>
      <w:r>
        <w:rPr>
          <w:snapToGrid w:val="0"/>
        </w:rPr>
        <w:tab/>
        <w:t>(a)</w:t>
      </w:r>
      <w:r>
        <w:rPr>
          <w:snapToGrid w:val="0"/>
        </w:rPr>
        <w:tab/>
        <w:t>signal or direct the person in control of the vehicle or vessel —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 xml:space="preserve">[Section 55 inserted by No. 48 of 1995 s. 31.] </w:t>
      </w:r>
    </w:p>
    <w:p>
      <w:pPr>
        <w:pStyle w:val="Heading5"/>
        <w:rPr>
          <w:snapToGrid w:val="0"/>
        </w:rPr>
      </w:pPr>
      <w:bookmarkStart w:id="67" w:name="_Toc389745192"/>
      <w:r>
        <w:rPr>
          <w:rStyle w:val="CharSectno"/>
        </w:rPr>
        <w:t>55A</w:t>
      </w:r>
      <w:r>
        <w:rPr>
          <w:snapToGrid w:val="0"/>
        </w:rPr>
        <w:t>.</w:t>
      </w:r>
      <w:r>
        <w:rPr>
          <w:snapToGrid w:val="0"/>
        </w:rPr>
        <w:tab/>
        <w:t>Warrants</w:t>
      </w:r>
      <w:bookmarkEnd w:id="67"/>
      <w:r>
        <w:rPr>
          <w:snapToGrid w:val="0"/>
        </w:rPr>
        <w:t xml:space="preserve"> </w:t>
      </w:r>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 xml:space="preserve">[Section 55A inserted by No. 48 of 1995 s. 31; amended by No. 84 of 2004 s. 80.] </w:t>
      </w:r>
    </w:p>
    <w:p>
      <w:pPr>
        <w:pStyle w:val="Heading5"/>
        <w:rPr>
          <w:snapToGrid w:val="0"/>
        </w:rPr>
      </w:pPr>
      <w:bookmarkStart w:id="68" w:name="_Toc389745193"/>
      <w:r>
        <w:rPr>
          <w:rStyle w:val="CharSectno"/>
        </w:rPr>
        <w:t>55B</w:t>
      </w:r>
      <w:r>
        <w:rPr>
          <w:snapToGrid w:val="0"/>
        </w:rPr>
        <w:t>.</w:t>
      </w:r>
      <w:r>
        <w:rPr>
          <w:snapToGrid w:val="0"/>
        </w:rPr>
        <w:tab/>
        <w:t>Person not to hinder or obstruct authorised officer</w:t>
      </w:r>
      <w:bookmarkEnd w:id="68"/>
      <w:r>
        <w:rPr>
          <w:snapToGrid w:val="0"/>
        </w:rPr>
        <w:t xml:space="preserve"> </w:t>
      </w:r>
    </w:p>
    <w:p>
      <w:pPr>
        <w:pStyle w:val="Subsection"/>
        <w:keepNext/>
        <w:rPr>
          <w:snapToGrid w:val="0"/>
        </w:rPr>
      </w:pPr>
      <w:r>
        <w:rPr>
          <w:snapToGrid w:val="0"/>
        </w:rPr>
        <w:tab/>
      </w:r>
      <w:r>
        <w:rPr>
          <w:snapToGrid w:val="0"/>
        </w:rPr>
        <w:tab/>
        <w:t>A person must not without reasonable excuse —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 xml:space="preserve">[Section 55B inserted by No. 48 of 1995 s. 31.] </w:t>
      </w:r>
    </w:p>
    <w:p>
      <w:pPr>
        <w:pStyle w:val="Heading5"/>
        <w:rPr>
          <w:snapToGrid w:val="0"/>
        </w:rPr>
      </w:pPr>
      <w:bookmarkStart w:id="69" w:name="_Toc389745194"/>
      <w:r>
        <w:rPr>
          <w:rStyle w:val="CharSectno"/>
        </w:rPr>
        <w:t>55C</w:t>
      </w:r>
      <w:r>
        <w:rPr>
          <w:snapToGrid w:val="0"/>
        </w:rPr>
        <w:t>.</w:t>
      </w:r>
      <w:r>
        <w:rPr>
          <w:snapToGrid w:val="0"/>
        </w:rPr>
        <w:tab/>
        <w:t xml:space="preserve">Sections 54 to 55A do not derogate from the </w:t>
      </w:r>
      <w:r>
        <w:rPr>
          <w:i/>
          <w:snapToGrid w:val="0"/>
        </w:rPr>
        <w:t>Misuse of Drugs Act 1981</w:t>
      </w:r>
      <w:bookmarkEnd w:id="69"/>
      <w:r>
        <w:rPr>
          <w:snapToGrid w:val="0"/>
        </w:rPr>
        <w:t xml:space="preserve"> </w:t>
      </w:r>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 xml:space="preserve">[Section 55C inserted by No. 48 of 1995 s. 31.] </w:t>
      </w:r>
    </w:p>
    <w:p>
      <w:pPr>
        <w:pStyle w:val="Heading5"/>
        <w:rPr>
          <w:snapToGrid w:val="0"/>
        </w:rPr>
      </w:pPr>
      <w:bookmarkStart w:id="70" w:name="_Toc389745195"/>
      <w:r>
        <w:rPr>
          <w:rStyle w:val="CharSectno"/>
        </w:rPr>
        <w:t>55D</w:t>
      </w:r>
      <w:r>
        <w:rPr>
          <w:snapToGrid w:val="0"/>
        </w:rPr>
        <w:t>.</w:t>
      </w:r>
      <w:r>
        <w:rPr>
          <w:snapToGrid w:val="0"/>
        </w:rPr>
        <w:tab/>
        <w:t>Order for forfeiture</w:t>
      </w:r>
      <w:bookmarkEnd w:id="70"/>
      <w:r>
        <w:rPr>
          <w:snapToGrid w:val="0"/>
        </w:rPr>
        <w:t xml:space="preserve"> </w:t>
      </w:r>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 xml:space="preserve">[Section 55D inserted by No. 48 of 1995 s. 31.] </w:t>
      </w:r>
    </w:p>
    <w:p>
      <w:pPr>
        <w:pStyle w:val="Heading5"/>
        <w:rPr>
          <w:snapToGrid w:val="0"/>
        </w:rPr>
      </w:pPr>
      <w:bookmarkStart w:id="71" w:name="_Toc389745196"/>
      <w:r>
        <w:rPr>
          <w:rStyle w:val="CharSectno"/>
        </w:rPr>
        <w:t>55E</w:t>
      </w:r>
      <w:r>
        <w:rPr>
          <w:snapToGrid w:val="0"/>
        </w:rPr>
        <w:t>.</w:t>
      </w:r>
      <w:r>
        <w:rPr>
          <w:snapToGrid w:val="0"/>
        </w:rPr>
        <w:tab/>
        <w:t>Powers to quarantine or destroy poisons in certain circumstances</w:t>
      </w:r>
      <w:bookmarkEnd w:id="71"/>
      <w:r>
        <w:rPr>
          <w:snapToGrid w:val="0"/>
        </w:rPr>
        <w:t xml:space="preserve"> </w:t>
      </w:r>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 xml:space="preserve">[Section 55E inserted by No. 48 of 1995 s. 31; amended by No. 28 of 2006 s. 281.] </w:t>
      </w:r>
    </w:p>
    <w:p>
      <w:pPr>
        <w:pStyle w:val="Heading5"/>
        <w:rPr>
          <w:snapToGrid w:val="0"/>
        </w:rPr>
      </w:pPr>
      <w:bookmarkStart w:id="72" w:name="_Toc389745197"/>
      <w:r>
        <w:rPr>
          <w:rStyle w:val="CharSectno"/>
        </w:rPr>
        <w:t>56</w:t>
      </w:r>
      <w:r>
        <w:rPr>
          <w:snapToGrid w:val="0"/>
        </w:rPr>
        <w:t>.</w:t>
      </w:r>
      <w:r>
        <w:rPr>
          <w:snapToGrid w:val="0"/>
        </w:rPr>
        <w:tab/>
        <w:t>Sales by employees, etc.</w:t>
      </w:r>
      <w:bookmarkEnd w:id="72"/>
      <w:r>
        <w:rPr>
          <w:snapToGrid w:val="0"/>
        </w:rPr>
        <w:t xml:space="preserve"> </w:t>
      </w:r>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73" w:name="_Toc389745198"/>
      <w:r>
        <w:rPr>
          <w:rStyle w:val="CharSectno"/>
        </w:rPr>
        <w:t>57</w:t>
      </w:r>
      <w:r>
        <w:rPr>
          <w:snapToGrid w:val="0"/>
        </w:rPr>
        <w:t>.</w:t>
      </w:r>
      <w:r>
        <w:rPr>
          <w:snapToGrid w:val="0"/>
        </w:rPr>
        <w:tab/>
        <w:t>Persons deemed to have sold poisons</w:t>
      </w:r>
      <w:bookmarkEnd w:id="73"/>
      <w:r>
        <w:rPr>
          <w:snapToGrid w:val="0"/>
        </w:rPr>
        <w:t xml:space="preserve"> </w:t>
      </w:r>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 xml:space="preserve">[Section 57 amended by No. 48 of 1995 s. 32 and 39; No. 59 of 2004 s. 141.] </w:t>
      </w:r>
    </w:p>
    <w:p>
      <w:pPr>
        <w:pStyle w:val="Heading5"/>
        <w:rPr>
          <w:snapToGrid w:val="0"/>
        </w:rPr>
      </w:pPr>
      <w:bookmarkStart w:id="74" w:name="_Toc389745199"/>
      <w:r>
        <w:rPr>
          <w:rStyle w:val="CharSectno"/>
        </w:rPr>
        <w:t>58</w:t>
      </w:r>
      <w:r>
        <w:rPr>
          <w:snapToGrid w:val="0"/>
        </w:rPr>
        <w:t>.</w:t>
      </w:r>
      <w:r>
        <w:rPr>
          <w:snapToGrid w:val="0"/>
        </w:rPr>
        <w:tab/>
        <w:t>Evidence on prosecutions</w:t>
      </w:r>
      <w:bookmarkEnd w:id="74"/>
      <w:r>
        <w:rPr>
          <w:snapToGrid w:val="0"/>
        </w:rPr>
        <w:t xml:space="preserve"> </w:t>
      </w:r>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 xml:space="preserve">[Section 58 amended by No. 48 of 1995 s. 33 and 39.] </w:t>
      </w:r>
    </w:p>
    <w:p>
      <w:pPr>
        <w:pStyle w:val="Heading5"/>
        <w:rPr>
          <w:snapToGrid w:val="0"/>
        </w:rPr>
      </w:pPr>
      <w:bookmarkStart w:id="75" w:name="_Toc389745200"/>
      <w:r>
        <w:rPr>
          <w:rStyle w:val="CharSectno"/>
        </w:rPr>
        <w:t>59</w:t>
      </w:r>
      <w:r>
        <w:rPr>
          <w:snapToGrid w:val="0"/>
        </w:rPr>
        <w:t>.</w:t>
      </w:r>
      <w:r>
        <w:rPr>
          <w:snapToGrid w:val="0"/>
        </w:rPr>
        <w:tab/>
        <w:t>Publication of list of licensed persons</w:t>
      </w:r>
      <w:bookmarkEnd w:id="75"/>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 xml:space="preserve">[Section 59 amended by No. 28 of 1984 s. 92; No. 12 of 1994 s. 10; No. 28 of 2006 s. 282.] </w:t>
      </w:r>
    </w:p>
    <w:p>
      <w:pPr>
        <w:pStyle w:val="Heading5"/>
        <w:rPr>
          <w:snapToGrid w:val="0"/>
        </w:rPr>
      </w:pPr>
      <w:bookmarkStart w:id="76" w:name="_Toc389745201"/>
      <w:r>
        <w:rPr>
          <w:rStyle w:val="CharSectno"/>
        </w:rPr>
        <w:t>60</w:t>
      </w:r>
      <w:r>
        <w:rPr>
          <w:snapToGrid w:val="0"/>
        </w:rPr>
        <w:t>.</w:t>
      </w:r>
      <w:r>
        <w:rPr>
          <w:snapToGrid w:val="0"/>
        </w:rPr>
        <w:tab/>
        <w:t>Proof of certificate of analysts</w:t>
      </w:r>
      <w:bookmarkEnd w:id="76"/>
      <w:r>
        <w:rPr>
          <w:snapToGrid w:val="0"/>
        </w:rPr>
        <w:t xml:space="preserve"> </w:t>
      </w:r>
    </w:p>
    <w:p>
      <w:pPr>
        <w:pStyle w:val="Subsection"/>
        <w:keepNext/>
        <w:rPr>
          <w:snapToGrid w:val="0"/>
        </w:rPr>
      </w:pPr>
      <w:r>
        <w:rPr>
          <w:snapToGrid w:val="0"/>
        </w:rPr>
        <w:tab/>
        <w:t>(1)</w:t>
      </w:r>
      <w:r>
        <w:rPr>
          <w:snapToGrid w:val="0"/>
        </w:rPr>
        <w:tab/>
        <w:t>In any legal proceedings for offences against this Act —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b/>
          <w:snapToGrid w:val="0"/>
        </w:rPr>
        <w:t>“</w:t>
      </w:r>
      <w:r>
        <w:rPr>
          <w:rStyle w:val="CharDefText"/>
        </w:rPr>
        <w:t>analyst</w:t>
      </w:r>
      <w:r>
        <w:rPr>
          <w:b/>
          <w:snapToGrid w:val="0"/>
        </w:rPr>
        <w:t>”</w:t>
      </w:r>
      <w:r>
        <w:rPr>
          <w:snapToGrid w:val="0"/>
        </w:rPr>
        <w:t xml:space="preserve"> means an analyst appointed under the provisions of the </w:t>
      </w:r>
      <w:r>
        <w:rPr>
          <w:i/>
          <w:snapToGrid w:val="0"/>
        </w:rPr>
        <w:t>Health Act 1911</w:t>
      </w:r>
      <w:r>
        <w:rPr>
          <w:snapToGrid w:val="0"/>
        </w:rPr>
        <w:t>.</w:t>
      </w:r>
    </w:p>
    <w:p>
      <w:pPr>
        <w:pStyle w:val="Footnotesection"/>
      </w:pPr>
      <w:r>
        <w:tab/>
        <w:t xml:space="preserve">[Section 60 amended by No. 84 of 2004 s. 80 and 82.] </w:t>
      </w:r>
    </w:p>
    <w:p>
      <w:pPr>
        <w:pStyle w:val="Heading5"/>
        <w:rPr>
          <w:snapToGrid w:val="0"/>
        </w:rPr>
      </w:pPr>
      <w:bookmarkStart w:id="77" w:name="_Toc389745202"/>
      <w:bookmarkStart w:id="78" w:name="_Toc389745226"/>
      <w:r>
        <w:rPr>
          <w:rStyle w:val="CharSectno"/>
        </w:rPr>
        <w:t>61</w:t>
      </w:r>
      <w:r>
        <w:rPr>
          <w:snapToGrid w:val="0"/>
        </w:rPr>
        <w:t>.</w:t>
      </w:r>
      <w:r>
        <w:rPr>
          <w:snapToGrid w:val="0"/>
        </w:rPr>
        <w:tab/>
        <w:t>Evidence of qualifications</w:t>
      </w:r>
      <w:bookmarkEnd w:id="77"/>
      <w:bookmarkEnd w:id="78"/>
      <w:r>
        <w:rPr>
          <w:snapToGrid w:val="0"/>
        </w:rPr>
        <w:t xml:space="preserve"> </w:t>
      </w:r>
    </w:p>
    <w:p>
      <w:pPr>
        <w:pStyle w:val="Subsection"/>
        <w:keepNext/>
        <w:rPr>
          <w:snapToGrid w:val="0"/>
        </w:rPr>
      </w:pPr>
      <w:r>
        <w:rPr>
          <w:snapToGrid w:val="0"/>
        </w:rPr>
        <w:tab/>
      </w:r>
      <w:r>
        <w:rPr>
          <w:snapToGrid w:val="0"/>
        </w:rPr>
        <w:tab/>
        <w:t>In any legal proceedings under this Act —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 </w:t>
      </w:r>
    </w:p>
    <w:p>
      <w:pPr>
        <w:pStyle w:val="Indenti"/>
        <w:rPr>
          <w:snapToGrid w:val="0"/>
        </w:rPr>
      </w:pPr>
      <w:r>
        <w:rPr>
          <w:snapToGrid w:val="0"/>
        </w:rPr>
        <w:tab/>
        <w:t>(i)</w:t>
      </w:r>
      <w:r>
        <w:rPr>
          <w:snapToGrid w:val="0"/>
        </w:rPr>
        <w:tab/>
        <w:t xml:space="preserve">in the case of a medical practitioner, by the registrar of the Medical Board constituted under the </w:t>
      </w:r>
      <w:r>
        <w:rPr>
          <w:i/>
          <w:snapToGrid w:val="0"/>
        </w:rPr>
        <w:t>Medical Act 1894</w:t>
      </w:r>
      <w:r>
        <w:rPr>
          <w:snapToGrid w:val="0"/>
        </w:rPr>
        <w:t>;</w:t>
      </w:r>
    </w:p>
    <w:p>
      <w:pPr>
        <w:pStyle w:val="Indenti"/>
      </w:pPr>
      <w:r>
        <w:tab/>
        <w:t>(ia)</w:t>
      </w:r>
      <w:r>
        <w:tab/>
        <w:t xml:space="preserve">in the case of a nurse practitioner, by the registrar of the Nurses Board of Western Australia constituted under the </w:t>
      </w:r>
      <w:r>
        <w:rPr>
          <w:i/>
        </w:rPr>
        <w:t>Nurses Act 1992</w:t>
      </w:r>
      <w: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 xml:space="preserve">[Section 61 amended by No. 28 of 1984 s. 92; No. 12 of 1994 s. 10; No. 9 of 2003 s. 38; No. 84 of 2004 s. 82; No. 28 of 2006 s. 282.] </w:t>
      </w:r>
    </w:p>
    <w:p>
      <w:pPr>
        <w:pStyle w:val="Heading5"/>
        <w:rPr>
          <w:snapToGrid w:val="0"/>
        </w:rPr>
      </w:pPr>
      <w:bookmarkStart w:id="79" w:name="_Toc389745203"/>
      <w:bookmarkStart w:id="80" w:name="_Toc389745227"/>
      <w:r>
        <w:rPr>
          <w:rStyle w:val="CharSectno"/>
        </w:rPr>
        <w:t>61A</w:t>
      </w:r>
      <w:r>
        <w:rPr>
          <w:snapToGrid w:val="0"/>
        </w:rPr>
        <w:t>.</w:t>
      </w:r>
      <w:r>
        <w:rPr>
          <w:snapToGrid w:val="0"/>
        </w:rPr>
        <w:tab/>
        <w:t>Evidence of approval</w:t>
      </w:r>
      <w:bookmarkEnd w:id="79"/>
      <w:bookmarkEnd w:id="80"/>
      <w:r>
        <w:rPr>
          <w:snapToGrid w:val="0"/>
        </w:rPr>
        <w:t xml:space="preserve"> </w:t>
      </w:r>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 xml:space="preserve">[Section 61A inserted by No. 12 of 1994 s. 8; amended by No. 28 of 2006 s. 282.] </w:t>
      </w:r>
    </w:p>
    <w:p>
      <w:pPr>
        <w:pStyle w:val="Heading5"/>
        <w:rPr>
          <w:snapToGrid w:val="0"/>
        </w:rPr>
      </w:pPr>
      <w:bookmarkStart w:id="81" w:name="_Toc389745204"/>
      <w:bookmarkStart w:id="82" w:name="_Toc389745228"/>
      <w:r>
        <w:rPr>
          <w:rStyle w:val="CharSectno"/>
        </w:rPr>
        <w:t>61B</w:t>
      </w:r>
      <w:r>
        <w:rPr>
          <w:snapToGrid w:val="0"/>
        </w:rPr>
        <w:t>.</w:t>
      </w:r>
      <w:r>
        <w:rPr>
          <w:snapToGrid w:val="0"/>
        </w:rPr>
        <w:tab/>
        <w:t>Evidence of contents of standard</w:t>
      </w:r>
      <w:bookmarkEnd w:id="81"/>
      <w:bookmarkEnd w:id="82"/>
      <w:r>
        <w:rPr>
          <w:snapToGrid w:val="0"/>
        </w:rPr>
        <w:t xml:space="preserve"> </w:t>
      </w:r>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 xml:space="preserve">[Section 61B inserted by No. 48 of 1995 s. 34; amended by No. 28 of 2006 s. 282.] </w:t>
      </w:r>
    </w:p>
    <w:p>
      <w:pPr>
        <w:pStyle w:val="Heading5"/>
        <w:rPr>
          <w:snapToGrid w:val="0"/>
        </w:rPr>
      </w:pPr>
      <w:bookmarkStart w:id="83" w:name="_Toc389745205"/>
      <w:bookmarkStart w:id="84" w:name="_Toc389745229"/>
      <w:r>
        <w:rPr>
          <w:rStyle w:val="CharSectno"/>
        </w:rPr>
        <w:t>62</w:t>
      </w:r>
      <w:r>
        <w:rPr>
          <w:snapToGrid w:val="0"/>
        </w:rPr>
        <w:t>.</w:t>
      </w:r>
      <w:r>
        <w:rPr>
          <w:snapToGrid w:val="0"/>
        </w:rPr>
        <w:tab/>
        <w:t>General penalty</w:t>
      </w:r>
      <w:bookmarkEnd w:id="83"/>
      <w:bookmarkEnd w:id="84"/>
      <w:r>
        <w:rPr>
          <w:snapToGrid w:val="0"/>
        </w:rPr>
        <w:t xml:space="preserve"> </w:t>
      </w:r>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 xml:space="preserve">[Section 62 amended by No. 23 of 1966 s. 16; No. 48 of 1995 s. 35.] </w:t>
      </w:r>
    </w:p>
    <w:p>
      <w:pPr>
        <w:pStyle w:val="Heading5"/>
        <w:rPr>
          <w:snapToGrid w:val="0"/>
        </w:rPr>
      </w:pPr>
      <w:bookmarkStart w:id="85" w:name="_Toc389745206"/>
      <w:bookmarkStart w:id="86" w:name="_Toc389745230"/>
      <w:r>
        <w:rPr>
          <w:rStyle w:val="CharSectno"/>
        </w:rPr>
        <w:t>63</w:t>
      </w:r>
      <w:r>
        <w:rPr>
          <w:snapToGrid w:val="0"/>
        </w:rPr>
        <w:t>.</w:t>
      </w:r>
      <w:r>
        <w:rPr>
          <w:snapToGrid w:val="0"/>
        </w:rPr>
        <w:tab/>
        <w:t>Protection from liability</w:t>
      </w:r>
      <w:bookmarkEnd w:id="85"/>
      <w:bookmarkEnd w:id="86"/>
      <w:r>
        <w:rPr>
          <w:snapToGrid w:val="0"/>
        </w:rPr>
        <w:t xml:space="preserve"> </w:t>
      </w:r>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 xml:space="preserve">[Section 63 amended by No. 28 of 1984 s. 92; No. 12 of 1994 s. 10; No. 48 of 1995 s. 36; No. 28 of 2006 s. 282.] </w:t>
      </w:r>
    </w:p>
    <w:p>
      <w:pPr>
        <w:pStyle w:val="Heading5"/>
        <w:rPr>
          <w:snapToGrid w:val="0"/>
        </w:rPr>
      </w:pPr>
      <w:bookmarkStart w:id="87" w:name="_Toc389745207"/>
      <w:bookmarkStart w:id="88" w:name="_Toc389745231"/>
      <w:r>
        <w:rPr>
          <w:rStyle w:val="CharSectno"/>
        </w:rPr>
        <w:t>64</w:t>
      </w:r>
      <w:r>
        <w:rPr>
          <w:snapToGrid w:val="0"/>
        </w:rPr>
        <w:t>.</w:t>
      </w:r>
      <w:r>
        <w:rPr>
          <w:snapToGrid w:val="0"/>
        </w:rPr>
        <w:tab/>
        <w:t>Regulations</w:t>
      </w:r>
      <w:bookmarkEnd w:id="87"/>
      <w:bookmarkEnd w:id="88"/>
      <w:r>
        <w:rPr>
          <w:snapToGrid w:val="0"/>
        </w:rPr>
        <w:t xml:space="preserve"> </w:t>
      </w:r>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 xml:space="preserve">deleted] </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 xml:space="preserve">[Section 64 amended by No. 23 of 1966 s. 17; No. 6 of 1969 s. 8; No. 43 of 1978 s. 7; No. 57 of 1981 s. 21; No. 28 of 1984 s. 92; No. 12 of 1994 s. 9 and 10; No. 48 of 1995 s. 37 and 39; No. 9 of 2003 s. 39; No. 28 of 2006 s. 282.] </w:t>
      </w:r>
    </w:p>
    <w:p>
      <w:pPr>
        <w:pStyle w:val="Heading5"/>
        <w:rPr>
          <w:snapToGrid w:val="0"/>
        </w:rPr>
      </w:pPr>
      <w:bookmarkStart w:id="89" w:name="_Toc389745208"/>
      <w:bookmarkStart w:id="90" w:name="_Toc389745232"/>
      <w:r>
        <w:rPr>
          <w:rStyle w:val="CharSectno"/>
        </w:rPr>
        <w:t>64A</w:t>
      </w:r>
      <w:r>
        <w:rPr>
          <w:snapToGrid w:val="0"/>
        </w:rPr>
        <w:t>.</w:t>
      </w:r>
      <w:r>
        <w:rPr>
          <w:snapToGrid w:val="0"/>
        </w:rPr>
        <w:tab/>
        <w:t>Regulations may adopt standards</w:t>
      </w:r>
      <w:bookmarkEnd w:id="89"/>
      <w:bookmarkEnd w:id="90"/>
      <w:r>
        <w:rPr>
          <w:snapToGrid w:val="0"/>
        </w:rPr>
        <w:t xml:space="preserve"> </w:t>
      </w:r>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 xml:space="preserve">[Section 64A inserted by No. 48 of 1995 s. 38.] </w:t>
      </w:r>
    </w:p>
    <w:p>
      <w:pPr>
        <w:pStyle w:val="Heading5"/>
        <w:rPr>
          <w:snapToGrid w:val="0"/>
        </w:rPr>
      </w:pPr>
      <w:bookmarkStart w:id="91" w:name="_Toc389745209"/>
      <w:bookmarkStart w:id="92" w:name="_Toc389745233"/>
      <w:r>
        <w:rPr>
          <w:rStyle w:val="CharSectno"/>
        </w:rPr>
        <w:t>64B</w:t>
      </w:r>
      <w:r>
        <w:rPr>
          <w:snapToGrid w:val="0"/>
        </w:rPr>
        <w:t>.</w:t>
      </w:r>
      <w:r>
        <w:rPr>
          <w:snapToGrid w:val="0"/>
        </w:rPr>
        <w:tab/>
        <w:t>Copies of standards to be kept and made available to public</w:t>
      </w:r>
      <w:bookmarkEnd w:id="91"/>
      <w:bookmarkEnd w:id="92"/>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 xml:space="preserve">[Section 64B inserted by No. 48 of 1995 s. 38; amended by No. 28 of 2006 s. 282.] </w:t>
      </w:r>
    </w:p>
    <w:p>
      <w:p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start="1"/>
          <w:cols w:space="720"/>
          <w:noEndnote/>
          <w:titlePg/>
          <w:docGrid w:linePitch="326"/>
        </w:sectPr>
      </w:pPr>
    </w:p>
    <w:p>
      <w:pPr>
        <w:pStyle w:val="yScheduleHeading"/>
      </w:pPr>
      <w:bookmarkStart w:id="93" w:name="_Toc389745210"/>
      <w:bookmarkStart w:id="94" w:name="_Toc389745234"/>
      <w:r>
        <w:rPr>
          <w:rStyle w:val="CharSchNo"/>
        </w:rPr>
        <w:t>Appendix A</w:t>
      </w:r>
      <w:bookmarkEnd w:id="93"/>
      <w:bookmarkEnd w:id="94"/>
      <w:r>
        <w:rPr>
          <w:rStyle w:val="CharSchText"/>
        </w:rPr>
        <w:t xml:space="preserve"> </w:t>
      </w:r>
    </w:p>
    <w:p>
      <w:pPr>
        <w:pStyle w:val="yFootnotesection"/>
        <w:ind w:firstLine="0"/>
      </w:pPr>
      <w:r>
        <w:t>[Heading inserted by No. 48 of 1995 s. 40.]</w:t>
      </w:r>
    </w:p>
    <w:p>
      <w:pPr>
        <w:pStyle w:val="yHeading5"/>
        <w:outlineLvl w:val="9"/>
        <w:rPr>
          <w:snapToGrid w:val="0"/>
        </w:rPr>
      </w:pPr>
      <w:bookmarkStart w:id="95" w:name="_Toc389745211"/>
      <w:bookmarkStart w:id="96" w:name="_Toc389745235"/>
      <w:r>
        <w:rPr>
          <w:rStyle w:val="CharSClsNo"/>
        </w:rPr>
        <w:t>1</w:t>
      </w:r>
      <w:r>
        <w:rPr>
          <w:snapToGrid w:val="0"/>
        </w:rPr>
        <w:t>.</w:t>
      </w:r>
      <w:r>
        <w:rPr>
          <w:snapToGrid w:val="0"/>
        </w:rPr>
        <w:tab/>
        <w:t>Interpretation</w:t>
      </w:r>
      <w:bookmarkEnd w:id="95"/>
      <w:bookmarkEnd w:id="96"/>
      <w:r>
        <w:rPr>
          <w:snapToGrid w:val="0"/>
        </w:rPr>
        <w:t xml:space="preserve"> </w:t>
      </w:r>
    </w:p>
    <w:p>
      <w:pPr>
        <w:pStyle w:val="ySubsection"/>
        <w:spacing w:before="200"/>
        <w:rPr>
          <w:snapToGrid w:val="0"/>
        </w:rPr>
      </w:pPr>
      <w:r>
        <w:rPr>
          <w:snapToGrid w:val="0"/>
        </w:rPr>
        <w:tab/>
        <w:t>(1)</w:t>
      </w:r>
      <w:r>
        <w:rPr>
          <w:snapToGrid w:val="0"/>
        </w:rPr>
        <w:tab/>
      </w:r>
      <w:r>
        <w:t xml:space="preserve">In this Appendix, </w:t>
      </w:r>
      <w:r>
        <w:rPr>
          <w:b/>
        </w:rPr>
        <w:t>“</w:t>
      </w:r>
      <w:r>
        <w:rPr>
          <w:rStyle w:val="CharDefText"/>
        </w:rPr>
        <w:t>SUSDP</w:t>
      </w:r>
      <w:r>
        <w:rPr>
          <w:b/>
        </w:rPr>
        <w:t>”</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Pr>
      <w:bookmarkStart w:id="97" w:name="_Toc389745212"/>
      <w:bookmarkStart w:id="98" w:name="_Toc389745236"/>
      <w:r>
        <w:t>Schedule 1</w:t>
      </w:r>
      <w:bookmarkEnd w:id="97"/>
      <w:bookmarkEnd w:id="98"/>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Pr>
      <w:bookmarkStart w:id="99" w:name="_Toc389745213"/>
      <w:bookmarkStart w:id="100" w:name="_Toc389745237"/>
      <w:r>
        <w:t>Schedule 2</w:t>
      </w:r>
      <w:bookmarkEnd w:id="99"/>
      <w:bookmarkEnd w:id="100"/>
      <w:r>
        <w:t xml:space="preserve"> </w:t>
      </w:r>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Pr>
      <w:bookmarkStart w:id="101" w:name="_Toc389745214"/>
      <w:bookmarkStart w:id="102" w:name="_Toc389745238"/>
      <w:r>
        <w:t>Schedule 3</w:t>
      </w:r>
      <w:bookmarkEnd w:id="101"/>
      <w:bookmarkEnd w:id="102"/>
      <w:r>
        <w:t xml:space="preserve"> </w:t>
      </w:r>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sectPr>
          <w:headerReference w:type="even" r:id="rId15"/>
          <w:headerReference w:type="default" r:id="rId16"/>
          <w:headerReference w:type="first" r:id="rId17"/>
          <w:pgSz w:w="11906" w:h="16838" w:code="9"/>
          <w:pgMar w:top="2376" w:right="2405" w:bottom="3542" w:left="2405" w:header="706" w:footer="3380" w:gutter="0"/>
          <w:cols w:space="720"/>
          <w:noEndnote/>
          <w:docGrid w:linePitch="326"/>
        </w:sectPr>
      </w:pPr>
    </w:p>
    <w:p>
      <w:pPr>
        <w:pStyle w:val="yScheduleHeading"/>
      </w:pPr>
      <w:bookmarkStart w:id="103" w:name="_Toc389745215"/>
      <w:bookmarkStart w:id="104" w:name="_Toc389745239"/>
      <w:r>
        <w:t>Schedule 4</w:t>
      </w:r>
      <w:bookmarkEnd w:id="103"/>
      <w:bookmarkEnd w:id="104"/>
      <w:r>
        <w:t xml:space="preserve"> </w:t>
      </w:r>
    </w:p>
    <w:p>
      <w:pPr>
        <w:pStyle w:val="yMiscellaneousBody"/>
        <w:keepNext/>
        <w:keepLines/>
        <w:rPr>
          <w:snapToGrid w:val="0"/>
        </w:rPr>
      </w:pPr>
      <w:r>
        <w:rPr>
          <w:snapToGrid w:val="0"/>
        </w:rPr>
        <w:t xml:space="preserve">All substances listed in Schedule 4 to the SUSDP, subject to the following modification — </w:t>
      </w:r>
    </w:p>
    <w:p>
      <w:pPr>
        <w:pStyle w:val="yMiscellaneousBody"/>
        <w:keepNext/>
        <w:keepLines/>
        <w:rPr>
          <w:snapToGrid w:val="0"/>
          <w:u w:val="single"/>
        </w:rPr>
      </w:pPr>
      <w:r>
        <w:rPr>
          <w:snapToGrid w:val="0"/>
          <w:u w:val="single"/>
        </w:rPr>
        <w:t xml:space="preserve">The following substance is added to Schedule 4 to the SUSDP —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Pr>
      <w:bookmarkStart w:id="105" w:name="_Toc389745216"/>
      <w:bookmarkStart w:id="106" w:name="_Toc389745240"/>
      <w:r>
        <w:t>Schedule 5</w:t>
      </w:r>
      <w:bookmarkEnd w:id="105"/>
      <w:bookmarkEnd w:id="106"/>
      <w:r>
        <w:t xml:space="preserve"> </w:t>
      </w:r>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Pr>
      <w:bookmarkStart w:id="107" w:name="_Toc389745217"/>
      <w:bookmarkStart w:id="108" w:name="_Toc389745241"/>
      <w:r>
        <w:t>Schedule 6</w:t>
      </w:r>
      <w:bookmarkEnd w:id="107"/>
      <w:bookmarkEnd w:id="108"/>
      <w:r>
        <w:t xml:space="preserve"> </w:t>
      </w:r>
    </w:p>
    <w:p>
      <w:pPr>
        <w:pStyle w:val="yMiscellaneousBody"/>
      </w:pPr>
      <w:r>
        <w:rPr>
          <w:snapToGrid w:val="0"/>
        </w:rPr>
        <w:t xml:space="preserve">All substances listed in Schedule 6 to the SUSDP, subject to the following </w:t>
      </w:r>
      <w:r>
        <w:t xml:space="preserve">modification — </w:t>
      </w:r>
    </w:p>
    <w:p>
      <w:pPr>
        <w:pStyle w:val="yMiscellaneousBody"/>
        <w:rPr>
          <w:snapToGrid w:val="0"/>
          <w:u w:val="single"/>
        </w:rPr>
      </w:pPr>
      <w:r>
        <w:rPr>
          <w:snapToGrid w:val="0"/>
          <w:u w:val="single"/>
        </w:rPr>
        <w:t>The following substance is deleted from Schedule 6 to the SUSDP —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Pr>
      <w:bookmarkStart w:id="109" w:name="_Toc389745218"/>
      <w:bookmarkStart w:id="110" w:name="_Toc389745242"/>
      <w:r>
        <w:t>Schedule 7</w:t>
      </w:r>
      <w:bookmarkEnd w:id="109"/>
      <w:bookmarkEnd w:id="110"/>
      <w:r>
        <w:t xml:space="preserve"> </w:t>
      </w:r>
    </w:p>
    <w:p>
      <w:pPr>
        <w:pStyle w:val="yMiscellaneousBody"/>
        <w:rPr>
          <w:snapToGrid w:val="0"/>
        </w:rPr>
      </w:pPr>
      <w:r>
        <w:rPr>
          <w:snapToGrid w:val="0"/>
        </w:rPr>
        <w:t>All substances listed in Schedule 7 to the SUSDP, subject to the following modifications — </w:t>
      </w:r>
    </w:p>
    <w:p>
      <w:pPr>
        <w:pStyle w:val="yMiscellaneousBody"/>
        <w:rPr>
          <w:snapToGrid w:val="0"/>
        </w:rPr>
      </w:pPr>
      <w:r>
        <w:rPr>
          <w:snapToGrid w:val="0"/>
          <w:u w:val="single"/>
        </w:rPr>
        <w:t>The description of the following substance in Schedule 7 to the SUSDP is modified in the following manner</w:t>
      </w:r>
      <w:r>
        <w:rPr>
          <w:snapToGrid w:val="0"/>
        </w:rPr>
        <w:t> —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snuff”.</w:t>
      </w:r>
    </w:p>
    <w:p>
      <w:pPr>
        <w:pStyle w:val="yMiscellaneousBody"/>
        <w:keepNext/>
        <w:keepLines/>
        <w:rPr>
          <w:snapToGrid w:val="0"/>
        </w:rPr>
      </w:pPr>
      <w:r>
        <w:rPr>
          <w:snapToGrid w:val="0"/>
        </w:rPr>
        <w:t>The following substances are added to Schedule 7 to the SUSDP —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Pr>
      <w:bookmarkStart w:id="111" w:name="_Toc389745219"/>
      <w:bookmarkStart w:id="112" w:name="_Toc389745243"/>
      <w:r>
        <w:t>Schedule 8</w:t>
      </w:r>
      <w:bookmarkEnd w:id="111"/>
      <w:bookmarkEnd w:id="112"/>
      <w:r>
        <w:t xml:space="preserve"> </w:t>
      </w:r>
    </w:p>
    <w:p>
      <w:pPr>
        <w:pStyle w:val="yMiscellaneousBody"/>
        <w:rPr>
          <w:snapToGrid w:val="0"/>
        </w:rPr>
      </w:pPr>
      <w:r>
        <w:rPr>
          <w:snapToGrid w:val="0"/>
        </w:rPr>
        <w:t>All substances listed in Schedule 8 to the SUSDP, subject to the following modification — </w:t>
      </w:r>
    </w:p>
    <w:p>
      <w:pPr>
        <w:pStyle w:val="yMiscellaneousBody"/>
        <w:rPr>
          <w:snapToGrid w:val="0"/>
          <w:u w:val="single"/>
        </w:rPr>
      </w:pPr>
      <w:r>
        <w:rPr>
          <w:snapToGrid w:val="0"/>
          <w:u w:val="single"/>
        </w:rPr>
        <w:t>The following substance is added to Schedule 8 to the SUSDP —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113" w:name="_Toc389745220"/>
      <w:bookmarkStart w:id="114" w:name="_Toc389745244"/>
      <w:r>
        <w:t>Schedule 9</w:t>
      </w:r>
      <w:bookmarkEnd w:id="113"/>
      <w:bookmarkEnd w:id="114"/>
      <w:r>
        <w:t xml:space="preserve"> </w:t>
      </w:r>
    </w:p>
    <w:p>
      <w:pPr>
        <w:pStyle w:val="yMiscellaneousBody"/>
        <w:rPr>
          <w:snapToGrid w:val="0"/>
        </w:rPr>
      </w:pPr>
      <w:r>
        <w:rPr>
          <w:snapToGrid w:val="0"/>
        </w:rPr>
        <w:t>All substances listed in Schedule 9 to the SUSDP, subject to the following modification — </w:t>
      </w:r>
    </w:p>
    <w:p>
      <w:pPr>
        <w:pStyle w:val="yMiscellaneousBody"/>
        <w:rPr>
          <w:snapToGrid w:val="0"/>
          <w:u w:val="single"/>
        </w:rPr>
      </w:pPr>
      <w:r>
        <w:rPr>
          <w:snapToGrid w:val="0"/>
          <w:u w:val="single"/>
        </w:rPr>
        <w:t>The following substances are added to Schedule 9 to the SUSDP —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 xml:space="preserve">ETHYLAMPHETAMINE *(MDE) </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115" w:name="_Toc389745221"/>
      <w:bookmarkStart w:id="116" w:name="_Toc389745245"/>
      <w:r>
        <w:rPr>
          <w:rStyle w:val="CharSchNo"/>
        </w:rPr>
        <w:t>Appendix B</w:t>
      </w:r>
      <w:bookmarkEnd w:id="115"/>
      <w:bookmarkEnd w:id="116"/>
    </w:p>
    <w:p>
      <w:pPr>
        <w:pStyle w:val="yShoulderClause"/>
        <w:rPr>
          <w:snapToGrid w:val="0"/>
        </w:rPr>
      </w:pPr>
      <w:r>
        <w:rPr>
          <w:snapToGrid w:val="0"/>
        </w:rPr>
        <w:t>[Section 45]</w:t>
      </w:r>
    </w:p>
    <w:p>
      <w:pPr>
        <w:pStyle w:val="yFootnotesection"/>
      </w:pPr>
      <w:r>
        <w:tab/>
        <w:t xml:space="preserve">[Heading inserted by No. 48 of 1995 s. 41.] </w:t>
      </w:r>
    </w:p>
    <w:p>
      <w:pPr>
        <w:pStyle w:val="yHeading2"/>
        <w:outlineLvl w:val="9"/>
      </w:pPr>
      <w:bookmarkStart w:id="117" w:name="_Toc389745222"/>
      <w:bookmarkStart w:id="118" w:name="_Toc389745246"/>
      <w:r>
        <w:t>Conventions</w:t>
      </w:r>
      <w:bookmarkEnd w:id="117"/>
      <w:bookmarkEnd w:id="118"/>
    </w:p>
    <w:p>
      <w:pPr>
        <w:pStyle w:val="yFootnotesection"/>
      </w:pPr>
      <w:r>
        <w:tab/>
        <w:t xml:space="preserve">[Heading inserted by No. 48 of 1995 s. 41.] </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 xml:space="preserve">[Appendix B inserted by No. 48 of 1995 s. 41.] </w:t>
      </w:r>
    </w:p>
    <w:p>
      <w:pPr>
        <w:pStyle w:val="yEdnoteschedule"/>
      </w:pPr>
      <w:r>
        <w:t xml:space="preserve">[Appendix C repealed by No. 48 of 1995 s. 42.] </w:t>
      </w:r>
    </w:p>
    <w:p>
      <w:pPr>
        <w:sectPr>
          <w:headerReference w:type="even" r:id="rId18"/>
          <w:headerReference w:type="default" r:id="rId19"/>
          <w:pgSz w:w="11906" w:h="16838" w:code="9"/>
          <w:pgMar w:top="2376" w:right="2405" w:bottom="3542" w:left="2405" w:header="706" w:footer="3380" w:gutter="0"/>
          <w:cols w:space="720"/>
          <w:noEndnote/>
          <w:docGrid w:linePitch="326"/>
        </w:sectPr>
      </w:pPr>
    </w:p>
    <w:p>
      <w:pPr>
        <w:pStyle w:val="nHeading2"/>
      </w:pPr>
      <w:bookmarkStart w:id="119" w:name="_Toc389745223"/>
      <w:bookmarkStart w:id="120" w:name="_Toc389745247"/>
      <w:r>
        <w:t>Notes</w:t>
      </w:r>
      <w:bookmarkEnd w:id="119"/>
      <w:bookmarkEnd w:id="120"/>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21" w:name="_Toc389745224"/>
      <w:bookmarkStart w:id="122" w:name="_Toc389745248"/>
      <w:r>
        <w:rPr>
          <w:snapToGrid w:val="0"/>
        </w:rPr>
        <w:t>Compilation table</w:t>
      </w:r>
      <w:bookmarkEnd w:id="121"/>
      <w:bookmarkEnd w:id="122"/>
    </w:p>
    <w:tbl>
      <w:tblPr>
        <w:tblW w:w="0" w:type="auto"/>
        <w:tblInd w:w="28" w:type="dxa"/>
        <w:tblLayout w:type="fixed"/>
        <w:tblCellMar>
          <w:left w:w="56" w:type="dxa"/>
          <w:right w:w="56" w:type="dxa"/>
        </w:tblCellMar>
        <w:tblLook w:val="0000" w:firstRow="0" w:lastRow="0" w:firstColumn="0" w:lastColumn="0" w:noHBand="0" w:noVBand="0"/>
      </w:tblPr>
      <w:tblGrid>
        <w:gridCol w:w="14"/>
        <w:gridCol w:w="2144"/>
        <w:gridCol w:w="18"/>
        <w:gridCol w:w="10"/>
        <w:gridCol w:w="16"/>
        <w:gridCol w:w="6"/>
        <w:gridCol w:w="6"/>
        <w:gridCol w:w="12"/>
        <w:gridCol w:w="13"/>
        <w:gridCol w:w="35"/>
        <w:gridCol w:w="994"/>
        <w:gridCol w:w="15"/>
        <w:gridCol w:w="10"/>
        <w:gridCol w:w="24"/>
        <w:gridCol w:w="15"/>
        <w:gridCol w:w="15"/>
        <w:gridCol w:w="19"/>
        <w:gridCol w:w="40"/>
        <w:gridCol w:w="985"/>
        <w:gridCol w:w="9"/>
        <w:gridCol w:w="51"/>
        <w:gridCol w:w="6"/>
        <w:gridCol w:w="32"/>
        <w:gridCol w:w="11"/>
        <w:gridCol w:w="39"/>
        <w:gridCol w:w="2303"/>
        <w:gridCol w:w="33"/>
        <w:gridCol w:w="15"/>
        <w:gridCol w:w="61"/>
        <w:gridCol w:w="7"/>
        <w:gridCol w:w="8"/>
        <w:gridCol w:w="44"/>
        <w:gridCol w:w="24"/>
        <w:gridCol w:w="56"/>
        <w:gridCol w:w="11"/>
      </w:tblGrid>
      <w:tr>
        <w:trPr>
          <w:gridAfter w:val="9"/>
          <w:wAfter w:w="259" w:type="dxa"/>
          <w:cantSplit/>
          <w:tblHeader/>
        </w:trPr>
        <w:tc>
          <w:tcPr>
            <w:tcW w:w="2158" w:type="dxa"/>
            <w:gridSpan w:val="2"/>
            <w:tcBorders>
              <w:top w:val="single" w:sz="8" w:space="0" w:color="auto"/>
              <w:bottom w:val="single" w:sz="8" w:space="0" w:color="auto"/>
            </w:tcBorders>
          </w:tcPr>
          <w:p>
            <w:pPr>
              <w:pStyle w:val="nTable"/>
              <w:spacing w:after="40"/>
              <w:rPr>
                <w:b/>
                <w:sz w:val="19"/>
              </w:rPr>
            </w:pPr>
            <w:r>
              <w:rPr>
                <w:b/>
                <w:sz w:val="19"/>
              </w:rPr>
              <w:t>Short title</w:t>
            </w:r>
          </w:p>
        </w:tc>
        <w:tc>
          <w:tcPr>
            <w:tcW w:w="1110" w:type="dxa"/>
            <w:gridSpan w:val="9"/>
            <w:tcBorders>
              <w:top w:val="single" w:sz="8" w:space="0" w:color="auto"/>
              <w:bottom w:val="single" w:sz="8" w:space="0" w:color="auto"/>
            </w:tcBorders>
          </w:tcPr>
          <w:p>
            <w:pPr>
              <w:pStyle w:val="nTable"/>
              <w:spacing w:after="40"/>
              <w:rPr>
                <w:b/>
                <w:sz w:val="19"/>
              </w:rPr>
            </w:pPr>
            <w:r>
              <w:rPr>
                <w:b/>
                <w:sz w:val="19"/>
              </w:rPr>
              <w:t>Number and year</w:t>
            </w:r>
          </w:p>
        </w:tc>
        <w:tc>
          <w:tcPr>
            <w:tcW w:w="1123" w:type="dxa"/>
            <w:gridSpan w:val="8"/>
            <w:tcBorders>
              <w:top w:val="single" w:sz="8" w:space="0" w:color="auto"/>
              <w:bottom w:val="single" w:sz="8" w:space="0" w:color="auto"/>
            </w:tcBorders>
          </w:tcPr>
          <w:p>
            <w:pPr>
              <w:pStyle w:val="nTable"/>
              <w:spacing w:after="40"/>
              <w:rPr>
                <w:b/>
                <w:sz w:val="19"/>
              </w:rPr>
            </w:pPr>
            <w:r>
              <w:rPr>
                <w:b/>
                <w:sz w:val="19"/>
              </w:rPr>
              <w:t>Assent</w:t>
            </w:r>
          </w:p>
        </w:tc>
        <w:tc>
          <w:tcPr>
            <w:tcW w:w="2451" w:type="dxa"/>
            <w:gridSpan w:val="7"/>
            <w:tcBorders>
              <w:top w:val="single" w:sz="8" w:space="0" w:color="auto"/>
              <w:bottom w:val="single" w:sz="8" w:space="0" w:color="auto"/>
            </w:tcBorders>
          </w:tcPr>
          <w:p>
            <w:pPr>
              <w:pStyle w:val="nTable"/>
              <w:spacing w:after="40"/>
              <w:rPr>
                <w:b/>
                <w:sz w:val="19"/>
              </w:rPr>
            </w:pPr>
            <w:r>
              <w:rPr>
                <w:b/>
                <w:sz w:val="19"/>
              </w:rPr>
              <w:t>Commencement</w:t>
            </w:r>
          </w:p>
        </w:tc>
      </w:tr>
      <w:tr>
        <w:trPr>
          <w:gridAfter w:val="9"/>
          <w:wAfter w:w="259" w:type="dxa"/>
          <w:cantSplit/>
        </w:trPr>
        <w:tc>
          <w:tcPr>
            <w:tcW w:w="2158" w:type="dxa"/>
            <w:gridSpan w:val="2"/>
            <w:tcBorders>
              <w:top w:val="single" w:sz="8" w:space="0" w:color="auto"/>
            </w:tcBorders>
          </w:tcPr>
          <w:p>
            <w:pPr>
              <w:pStyle w:val="nTable"/>
              <w:spacing w:after="40"/>
              <w:rPr>
                <w:sz w:val="19"/>
              </w:rPr>
            </w:pPr>
            <w:r>
              <w:rPr>
                <w:i/>
                <w:sz w:val="19"/>
              </w:rPr>
              <w:t>Poisons Act 1964</w:t>
            </w:r>
          </w:p>
        </w:tc>
        <w:tc>
          <w:tcPr>
            <w:tcW w:w="1110" w:type="dxa"/>
            <w:gridSpan w:val="9"/>
            <w:tcBorders>
              <w:top w:val="single" w:sz="8" w:space="0" w:color="auto"/>
            </w:tcBorders>
          </w:tcPr>
          <w:p>
            <w:pPr>
              <w:pStyle w:val="nTable"/>
              <w:spacing w:after="40"/>
              <w:rPr>
                <w:sz w:val="19"/>
              </w:rPr>
            </w:pPr>
            <w:r>
              <w:rPr>
                <w:sz w:val="19"/>
              </w:rPr>
              <w:t>70 of 1964 (13 Eliz. II No. 70)</w:t>
            </w:r>
          </w:p>
        </w:tc>
        <w:tc>
          <w:tcPr>
            <w:tcW w:w="1123" w:type="dxa"/>
            <w:gridSpan w:val="8"/>
            <w:tcBorders>
              <w:top w:val="single" w:sz="8" w:space="0" w:color="auto"/>
            </w:tcBorders>
          </w:tcPr>
          <w:p>
            <w:pPr>
              <w:pStyle w:val="nTable"/>
              <w:spacing w:after="40"/>
              <w:rPr>
                <w:sz w:val="19"/>
              </w:rPr>
            </w:pPr>
            <w:r>
              <w:rPr>
                <w:sz w:val="19"/>
              </w:rPr>
              <w:t>11 Dec 1964</w:t>
            </w:r>
          </w:p>
        </w:tc>
        <w:tc>
          <w:tcPr>
            <w:tcW w:w="2451" w:type="dxa"/>
            <w:gridSpan w:val="7"/>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8"/>
          <w:wAfter w:w="226" w:type="dxa"/>
          <w:cantSplit/>
        </w:trPr>
        <w:tc>
          <w:tcPr>
            <w:tcW w:w="2158" w:type="dxa"/>
            <w:gridSpan w:val="2"/>
          </w:tcPr>
          <w:p>
            <w:pPr>
              <w:pStyle w:val="nTable"/>
              <w:spacing w:after="40"/>
              <w:rPr>
                <w:sz w:val="19"/>
              </w:rPr>
            </w:pPr>
            <w:r>
              <w:rPr>
                <w:i/>
                <w:sz w:val="19"/>
              </w:rPr>
              <w:t>Poisons Act Amendment Act 1966</w:t>
            </w:r>
          </w:p>
        </w:tc>
        <w:tc>
          <w:tcPr>
            <w:tcW w:w="1110" w:type="dxa"/>
            <w:gridSpan w:val="9"/>
          </w:tcPr>
          <w:p>
            <w:pPr>
              <w:pStyle w:val="nTable"/>
              <w:spacing w:after="40"/>
              <w:rPr>
                <w:sz w:val="19"/>
              </w:rPr>
            </w:pPr>
            <w:r>
              <w:rPr>
                <w:sz w:val="19"/>
              </w:rPr>
              <w:t>23 of 1966</w:t>
            </w:r>
          </w:p>
        </w:tc>
        <w:tc>
          <w:tcPr>
            <w:tcW w:w="1123" w:type="dxa"/>
            <w:gridSpan w:val="8"/>
          </w:tcPr>
          <w:p>
            <w:pPr>
              <w:pStyle w:val="nTable"/>
              <w:spacing w:after="40"/>
              <w:rPr>
                <w:sz w:val="19"/>
              </w:rPr>
            </w:pPr>
            <w:r>
              <w:rPr>
                <w:sz w:val="19"/>
              </w:rPr>
              <w:t>27 Oct 1966</w:t>
            </w:r>
          </w:p>
        </w:tc>
        <w:tc>
          <w:tcPr>
            <w:tcW w:w="2484" w:type="dxa"/>
            <w:gridSpan w:val="8"/>
          </w:tcPr>
          <w:p>
            <w:pPr>
              <w:pStyle w:val="nTable"/>
              <w:spacing w:after="40"/>
              <w:rPr>
                <w:sz w:val="19"/>
              </w:rPr>
            </w:pPr>
            <w:r>
              <w:rPr>
                <w:sz w:val="19"/>
              </w:rPr>
              <w:t>27 Oct 1966</w:t>
            </w:r>
          </w:p>
        </w:tc>
      </w:tr>
      <w:tr>
        <w:trPr>
          <w:gridAfter w:val="8"/>
          <w:wAfter w:w="226" w:type="dxa"/>
          <w:cantSplit/>
        </w:trPr>
        <w:tc>
          <w:tcPr>
            <w:tcW w:w="2158" w:type="dxa"/>
            <w:gridSpan w:val="2"/>
          </w:tcPr>
          <w:p>
            <w:pPr>
              <w:pStyle w:val="nTable"/>
              <w:spacing w:after="40"/>
              <w:rPr>
                <w:sz w:val="19"/>
              </w:rPr>
            </w:pPr>
            <w:r>
              <w:rPr>
                <w:i/>
                <w:sz w:val="19"/>
              </w:rPr>
              <w:t>Poisons Act Amendment Act 1967</w:t>
            </w:r>
          </w:p>
        </w:tc>
        <w:tc>
          <w:tcPr>
            <w:tcW w:w="1110" w:type="dxa"/>
            <w:gridSpan w:val="9"/>
          </w:tcPr>
          <w:p>
            <w:pPr>
              <w:pStyle w:val="nTable"/>
              <w:spacing w:after="40"/>
              <w:rPr>
                <w:sz w:val="19"/>
              </w:rPr>
            </w:pPr>
            <w:r>
              <w:rPr>
                <w:sz w:val="19"/>
              </w:rPr>
              <w:t>28 of 1967</w:t>
            </w:r>
          </w:p>
        </w:tc>
        <w:tc>
          <w:tcPr>
            <w:tcW w:w="1123" w:type="dxa"/>
            <w:gridSpan w:val="8"/>
          </w:tcPr>
          <w:p>
            <w:pPr>
              <w:pStyle w:val="nTable"/>
              <w:spacing w:after="40"/>
              <w:rPr>
                <w:sz w:val="19"/>
              </w:rPr>
            </w:pPr>
            <w:r>
              <w:rPr>
                <w:sz w:val="19"/>
              </w:rPr>
              <w:t>17 Nov 1967</w:t>
            </w:r>
          </w:p>
        </w:tc>
        <w:tc>
          <w:tcPr>
            <w:tcW w:w="2484" w:type="dxa"/>
            <w:gridSpan w:val="8"/>
          </w:tcPr>
          <w:p>
            <w:pPr>
              <w:pStyle w:val="nTable"/>
              <w:spacing w:after="40"/>
              <w:rPr>
                <w:sz w:val="19"/>
              </w:rPr>
            </w:pPr>
            <w:r>
              <w:rPr>
                <w:sz w:val="19"/>
              </w:rPr>
              <w:t>17 Nov 1967</w:t>
            </w:r>
          </w:p>
        </w:tc>
      </w:tr>
      <w:tr>
        <w:trPr>
          <w:gridAfter w:val="8"/>
          <w:wAfter w:w="226" w:type="dxa"/>
          <w:cantSplit/>
        </w:trPr>
        <w:tc>
          <w:tcPr>
            <w:tcW w:w="2176" w:type="dxa"/>
            <w:gridSpan w:val="3"/>
          </w:tcPr>
          <w:p>
            <w:pPr>
              <w:pStyle w:val="nTable"/>
              <w:spacing w:after="40"/>
              <w:rPr>
                <w:sz w:val="19"/>
              </w:rPr>
            </w:pPr>
            <w:r>
              <w:rPr>
                <w:i/>
                <w:sz w:val="19"/>
              </w:rPr>
              <w:t>Poisons Act Amendment Act (No. 2) 1967</w:t>
            </w:r>
          </w:p>
        </w:tc>
        <w:tc>
          <w:tcPr>
            <w:tcW w:w="1107" w:type="dxa"/>
            <w:gridSpan w:val="9"/>
          </w:tcPr>
          <w:p>
            <w:pPr>
              <w:pStyle w:val="nTable"/>
              <w:spacing w:after="40"/>
              <w:rPr>
                <w:sz w:val="19"/>
              </w:rPr>
            </w:pPr>
            <w:r>
              <w:rPr>
                <w:sz w:val="19"/>
              </w:rPr>
              <w:t>51 of 1967</w:t>
            </w:r>
          </w:p>
        </w:tc>
        <w:tc>
          <w:tcPr>
            <w:tcW w:w="1108" w:type="dxa"/>
            <w:gridSpan w:val="7"/>
          </w:tcPr>
          <w:p>
            <w:pPr>
              <w:pStyle w:val="nTable"/>
              <w:spacing w:after="40"/>
              <w:rPr>
                <w:sz w:val="19"/>
              </w:rPr>
            </w:pPr>
            <w:r>
              <w:rPr>
                <w:sz w:val="19"/>
              </w:rPr>
              <w:t>5 Dec 1967</w:t>
            </w:r>
          </w:p>
        </w:tc>
        <w:tc>
          <w:tcPr>
            <w:tcW w:w="2484" w:type="dxa"/>
            <w:gridSpan w:val="8"/>
          </w:tcPr>
          <w:p>
            <w:pPr>
              <w:pStyle w:val="nTable"/>
              <w:spacing w:after="40"/>
              <w:rPr>
                <w:sz w:val="19"/>
              </w:rPr>
            </w:pPr>
            <w:r>
              <w:rPr>
                <w:sz w:val="19"/>
              </w:rPr>
              <w:t>5 Dec 1967</w:t>
            </w:r>
          </w:p>
        </w:tc>
      </w:tr>
      <w:tr>
        <w:trPr>
          <w:gridAfter w:val="8"/>
          <w:wAfter w:w="226" w:type="dxa"/>
          <w:cantSplit/>
        </w:trPr>
        <w:tc>
          <w:tcPr>
            <w:tcW w:w="2176" w:type="dxa"/>
            <w:gridSpan w:val="3"/>
          </w:tcPr>
          <w:p>
            <w:pPr>
              <w:pStyle w:val="nTable"/>
              <w:spacing w:after="40"/>
              <w:rPr>
                <w:sz w:val="19"/>
              </w:rPr>
            </w:pPr>
            <w:r>
              <w:rPr>
                <w:i/>
                <w:sz w:val="19"/>
              </w:rPr>
              <w:t>Poisons Act Amendment Act 1969</w:t>
            </w:r>
          </w:p>
        </w:tc>
        <w:tc>
          <w:tcPr>
            <w:tcW w:w="1107" w:type="dxa"/>
            <w:gridSpan w:val="9"/>
          </w:tcPr>
          <w:p>
            <w:pPr>
              <w:pStyle w:val="nTable"/>
              <w:spacing w:after="40"/>
              <w:rPr>
                <w:sz w:val="19"/>
              </w:rPr>
            </w:pPr>
            <w:r>
              <w:rPr>
                <w:sz w:val="19"/>
              </w:rPr>
              <w:t>6 of 1969</w:t>
            </w:r>
          </w:p>
        </w:tc>
        <w:tc>
          <w:tcPr>
            <w:tcW w:w="1108" w:type="dxa"/>
            <w:gridSpan w:val="7"/>
          </w:tcPr>
          <w:p>
            <w:pPr>
              <w:pStyle w:val="nTable"/>
              <w:spacing w:after="40"/>
              <w:rPr>
                <w:sz w:val="19"/>
              </w:rPr>
            </w:pPr>
            <w:r>
              <w:rPr>
                <w:sz w:val="19"/>
              </w:rPr>
              <w:t>21 Apr 1969</w:t>
            </w:r>
          </w:p>
        </w:tc>
        <w:tc>
          <w:tcPr>
            <w:tcW w:w="2484" w:type="dxa"/>
            <w:gridSpan w:val="8"/>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8"/>
          <w:wAfter w:w="226" w:type="dxa"/>
          <w:cantSplit/>
        </w:trPr>
        <w:tc>
          <w:tcPr>
            <w:tcW w:w="2176" w:type="dxa"/>
            <w:gridSpan w:val="3"/>
          </w:tcPr>
          <w:p>
            <w:pPr>
              <w:pStyle w:val="nTable"/>
              <w:spacing w:after="40"/>
              <w:rPr>
                <w:sz w:val="19"/>
              </w:rPr>
            </w:pPr>
            <w:r>
              <w:rPr>
                <w:i/>
                <w:sz w:val="19"/>
              </w:rPr>
              <w:t>Poisons Act Amendment Act 1970</w:t>
            </w:r>
          </w:p>
        </w:tc>
        <w:tc>
          <w:tcPr>
            <w:tcW w:w="1107" w:type="dxa"/>
            <w:gridSpan w:val="9"/>
          </w:tcPr>
          <w:p>
            <w:pPr>
              <w:pStyle w:val="nTable"/>
              <w:spacing w:after="40"/>
              <w:rPr>
                <w:sz w:val="19"/>
              </w:rPr>
            </w:pPr>
            <w:r>
              <w:rPr>
                <w:sz w:val="19"/>
              </w:rPr>
              <w:t>87 of 1970</w:t>
            </w:r>
          </w:p>
        </w:tc>
        <w:tc>
          <w:tcPr>
            <w:tcW w:w="1108" w:type="dxa"/>
            <w:gridSpan w:val="7"/>
          </w:tcPr>
          <w:p>
            <w:pPr>
              <w:pStyle w:val="nTable"/>
              <w:spacing w:after="40"/>
              <w:rPr>
                <w:sz w:val="19"/>
              </w:rPr>
            </w:pPr>
            <w:r>
              <w:rPr>
                <w:sz w:val="19"/>
              </w:rPr>
              <w:t>30 Nov 1970</w:t>
            </w:r>
          </w:p>
        </w:tc>
        <w:tc>
          <w:tcPr>
            <w:tcW w:w="2484" w:type="dxa"/>
            <w:gridSpan w:val="8"/>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8"/>
          <w:wAfter w:w="226" w:type="dxa"/>
          <w:cantSplit/>
        </w:trPr>
        <w:tc>
          <w:tcPr>
            <w:tcW w:w="6875" w:type="dxa"/>
            <w:gridSpan w:val="27"/>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8"/>
          <w:wAfter w:w="226" w:type="dxa"/>
          <w:cantSplit/>
        </w:trPr>
        <w:tc>
          <w:tcPr>
            <w:tcW w:w="2176" w:type="dxa"/>
            <w:gridSpan w:val="3"/>
          </w:tcPr>
          <w:p>
            <w:pPr>
              <w:pStyle w:val="nTable"/>
              <w:spacing w:after="40"/>
              <w:rPr>
                <w:sz w:val="19"/>
              </w:rPr>
            </w:pPr>
            <w:r>
              <w:rPr>
                <w:i/>
                <w:sz w:val="19"/>
              </w:rPr>
              <w:t>Poisons Act Amendment Act 1978</w:t>
            </w:r>
          </w:p>
        </w:tc>
        <w:tc>
          <w:tcPr>
            <w:tcW w:w="1107" w:type="dxa"/>
            <w:gridSpan w:val="9"/>
          </w:tcPr>
          <w:p>
            <w:pPr>
              <w:pStyle w:val="nTable"/>
              <w:spacing w:after="40"/>
              <w:rPr>
                <w:sz w:val="19"/>
              </w:rPr>
            </w:pPr>
            <w:r>
              <w:rPr>
                <w:sz w:val="19"/>
              </w:rPr>
              <w:t>43 of 1978</w:t>
            </w:r>
          </w:p>
        </w:tc>
        <w:tc>
          <w:tcPr>
            <w:tcW w:w="1108" w:type="dxa"/>
            <w:gridSpan w:val="7"/>
          </w:tcPr>
          <w:p>
            <w:pPr>
              <w:pStyle w:val="nTable"/>
              <w:spacing w:after="40"/>
              <w:rPr>
                <w:sz w:val="19"/>
              </w:rPr>
            </w:pPr>
            <w:r>
              <w:rPr>
                <w:sz w:val="19"/>
              </w:rPr>
              <w:t>29 Aug 1978</w:t>
            </w:r>
          </w:p>
        </w:tc>
        <w:tc>
          <w:tcPr>
            <w:tcW w:w="2484" w:type="dxa"/>
            <w:gridSpan w:val="8"/>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7"/>
          <w:wAfter w:w="211" w:type="dxa"/>
          <w:cantSplit/>
        </w:trPr>
        <w:tc>
          <w:tcPr>
            <w:tcW w:w="2186" w:type="dxa"/>
            <w:gridSpan w:val="4"/>
          </w:tcPr>
          <w:p>
            <w:pPr>
              <w:pStyle w:val="nTable"/>
              <w:spacing w:after="40"/>
              <w:rPr>
                <w:sz w:val="19"/>
              </w:rPr>
            </w:pPr>
            <w:r>
              <w:rPr>
                <w:i/>
                <w:sz w:val="19"/>
              </w:rPr>
              <w:t>Acts Amendment (Misuse of Drugs) Act 1981</w:t>
            </w:r>
            <w:r>
              <w:rPr>
                <w:sz w:val="19"/>
              </w:rPr>
              <w:t xml:space="preserve"> Pt. IV</w:t>
            </w:r>
          </w:p>
        </w:tc>
        <w:tc>
          <w:tcPr>
            <w:tcW w:w="1107" w:type="dxa"/>
            <w:gridSpan w:val="9"/>
          </w:tcPr>
          <w:p>
            <w:pPr>
              <w:pStyle w:val="nTable"/>
              <w:keepNext/>
              <w:spacing w:after="40"/>
              <w:rPr>
                <w:sz w:val="19"/>
              </w:rPr>
            </w:pPr>
            <w:r>
              <w:rPr>
                <w:sz w:val="19"/>
              </w:rPr>
              <w:t>57 of 1981</w:t>
            </w:r>
          </w:p>
        </w:tc>
        <w:tc>
          <w:tcPr>
            <w:tcW w:w="1107" w:type="dxa"/>
            <w:gridSpan w:val="7"/>
          </w:tcPr>
          <w:p>
            <w:pPr>
              <w:pStyle w:val="nTable"/>
              <w:spacing w:after="40"/>
              <w:rPr>
                <w:sz w:val="19"/>
              </w:rPr>
            </w:pPr>
            <w:r>
              <w:rPr>
                <w:sz w:val="19"/>
              </w:rPr>
              <w:t>13 Oct 1981</w:t>
            </w:r>
          </w:p>
        </w:tc>
        <w:tc>
          <w:tcPr>
            <w:tcW w:w="2490" w:type="dxa"/>
            <w:gridSpan w:val="8"/>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7"/>
          <w:wAfter w:w="211" w:type="dxa"/>
          <w:cantSplit/>
        </w:trPr>
        <w:tc>
          <w:tcPr>
            <w:tcW w:w="2186" w:type="dxa"/>
            <w:gridSpan w:val="4"/>
          </w:tcPr>
          <w:p>
            <w:pPr>
              <w:pStyle w:val="nTable"/>
              <w:spacing w:after="40"/>
              <w:rPr>
                <w:sz w:val="19"/>
              </w:rPr>
            </w:pPr>
            <w:r>
              <w:rPr>
                <w:i/>
                <w:sz w:val="19"/>
              </w:rPr>
              <w:t>Acts Amendment (Statutory Designations) and Validation Act 1981</w:t>
            </w:r>
            <w:r>
              <w:rPr>
                <w:sz w:val="19"/>
              </w:rPr>
              <w:t xml:space="preserve"> s. 4</w:t>
            </w:r>
          </w:p>
        </w:tc>
        <w:tc>
          <w:tcPr>
            <w:tcW w:w="1107" w:type="dxa"/>
            <w:gridSpan w:val="9"/>
          </w:tcPr>
          <w:p>
            <w:pPr>
              <w:pStyle w:val="nTable"/>
              <w:keepNext/>
              <w:keepLines/>
              <w:spacing w:after="40"/>
              <w:rPr>
                <w:sz w:val="19"/>
              </w:rPr>
            </w:pPr>
            <w:r>
              <w:rPr>
                <w:sz w:val="19"/>
              </w:rPr>
              <w:t>63 of 1981</w:t>
            </w:r>
          </w:p>
        </w:tc>
        <w:tc>
          <w:tcPr>
            <w:tcW w:w="1107" w:type="dxa"/>
            <w:gridSpan w:val="7"/>
          </w:tcPr>
          <w:p>
            <w:pPr>
              <w:pStyle w:val="nTable"/>
              <w:spacing w:after="40"/>
              <w:rPr>
                <w:sz w:val="19"/>
              </w:rPr>
            </w:pPr>
            <w:r>
              <w:rPr>
                <w:sz w:val="19"/>
              </w:rPr>
              <w:t>13 Oct 1981</w:t>
            </w:r>
          </w:p>
        </w:tc>
        <w:tc>
          <w:tcPr>
            <w:tcW w:w="2490" w:type="dxa"/>
            <w:gridSpan w:val="8"/>
          </w:tcPr>
          <w:p>
            <w:pPr>
              <w:pStyle w:val="nTable"/>
              <w:spacing w:after="40"/>
              <w:rPr>
                <w:sz w:val="19"/>
              </w:rPr>
            </w:pPr>
            <w:r>
              <w:rPr>
                <w:sz w:val="19"/>
              </w:rPr>
              <w:t>13 Oct 1981</w:t>
            </w:r>
          </w:p>
        </w:tc>
      </w:tr>
      <w:tr>
        <w:trPr>
          <w:gridAfter w:val="6"/>
          <w:wAfter w:w="150" w:type="dxa"/>
          <w:cantSplit/>
        </w:trPr>
        <w:tc>
          <w:tcPr>
            <w:tcW w:w="6951" w:type="dxa"/>
            <w:gridSpan w:val="29"/>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6"/>
          <w:wAfter w:w="150" w:type="dxa"/>
          <w:cantSplit/>
        </w:trPr>
        <w:tc>
          <w:tcPr>
            <w:tcW w:w="2202" w:type="dxa"/>
            <w:gridSpan w:val="5"/>
          </w:tcPr>
          <w:p>
            <w:pPr>
              <w:pStyle w:val="nTable"/>
              <w:spacing w:after="40"/>
              <w:rPr>
                <w:sz w:val="19"/>
              </w:rPr>
            </w:pPr>
            <w:r>
              <w:rPr>
                <w:i/>
                <w:sz w:val="19"/>
              </w:rPr>
              <w:t>Health Legislation Amendment Act 1984</w:t>
            </w:r>
            <w:r>
              <w:rPr>
                <w:sz w:val="19"/>
              </w:rPr>
              <w:t xml:space="preserve"> Pt. XX</w:t>
            </w:r>
          </w:p>
        </w:tc>
        <w:tc>
          <w:tcPr>
            <w:tcW w:w="1115" w:type="dxa"/>
            <w:gridSpan w:val="9"/>
          </w:tcPr>
          <w:p>
            <w:pPr>
              <w:pStyle w:val="nTable"/>
              <w:spacing w:after="40"/>
              <w:rPr>
                <w:sz w:val="19"/>
              </w:rPr>
            </w:pPr>
            <w:r>
              <w:rPr>
                <w:sz w:val="19"/>
              </w:rPr>
              <w:t>28 of 1984</w:t>
            </w:r>
          </w:p>
        </w:tc>
        <w:tc>
          <w:tcPr>
            <w:tcW w:w="1134" w:type="dxa"/>
            <w:gridSpan w:val="7"/>
          </w:tcPr>
          <w:p>
            <w:pPr>
              <w:pStyle w:val="nTable"/>
              <w:spacing w:after="40"/>
              <w:rPr>
                <w:sz w:val="19"/>
              </w:rPr>
            </w:pPr>
            <w:r>
              <w:rPr>
                <w:sz w:val="19"/>
              </w:rPr>
              <w:t>31 May 1984</w:t>
            </w:r>
          </w:p>
        </w:tc>
        <w:tc>
          <w:tcPr>
            <w:tcW w:w="2500" w:type="dxa"/>
            <w:gridSpan w:val="8"/>
          </w:tcPr>
          <w:p>
            <w:pPr>
              <w:pStyle w:val="nTable"/>
              <w:spacing w:after="40"/>
              <w:rPr>
                <w:sz w:val="19"/>
              </w:rPr>
            </w:pPr>
            <w:r>
              <w:rPr>
                <w:sz w:val="19"/>
              </w:rPr>
              <w:t xml:space="preserve">1 Jul 1984 (see s. 2 and </w:t>
            </w:r>
            <w:r>
              <w:rPr>
                <w:i/>
                <w:sz w:val="19"/>
              </w:rPr>
              <w:t>Gazette</w:t>
            </w:r>
            <w:r>
              <w:rPr>
                <w:sz w:val="19"/>
              </w:rPr>
              <w:t> 15 Jun 1984 p. 1629)</w:t>
            </w:r>
          </w:p>
        </w:tc>
      </w:tr>
      <w:tr>
        <w:trPr>
          <w:gridAfter w:val="6"/>
          <w:wAfter w:w="150" w:type="dxa"/>
          <w:cantSplit/>
        </w:trPr>
        <w:tc>
          <w:tcPr>
            <w:tcW w:w="6951" w:type="dxa"/>
            <w:gridSpan w:val="29"/>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6"/>
          <w:wAfter w:w="150" w:type="dxa"/>
          <w:cantSplit/>
        </w:trPr>
        <w:tc>
          <w:tcPr>
            <w:tcW w:w="2202" w:type="dxa"/>
            <w:gridSpan w:val="5"/>
          </w:tcPr>
          <w:p>
            <w:pPr>
              <w:pStyle w:val="nTable"/>
              <w:keepNext/>
              <w:spacing w:after="40"/>
              <w:rPr>
                <w:sz w:val="19"/>
              </w:rPr>
            </w:pPr>
            <w:r>
              <w:rPr>
                <w:i/>
                <w:sz w:val="19"/>
              </w:rPr>
              <w:t>Poisons Amendment Act 1994</w:t>
            </w:r>
          </w:p>
        </w:tc>
        <w:tc>
          <w:tcPr>
            <w:tcW w:w="1115" w:type="dxa"/>
            <w:gridSpan w:val="9"/>
          </w:tcPr>
          <w:p>
            <w:pPr>
              <w:pStyle w:val="nTable"/>
              <w:keepNext/>
              <w:spacing w:after="40"/>
              <w:rPr>
                <w:sz w:val="19"/>
              </w:rPr>
            </w:pPr>
            <w:r>
              <w:rPr>
                <w:sz w:val="19"/>
              </w:rPr>
              <w:t>12 of 1994</w:t>
            </w:r>
          </w:p>
        </w:tc>
        <w:tc>
          <w:tcPr>
            <w:tcW w:w="1134" w:type="dxa"/>
            <w:gridSpan w:val="7"/>
          </w:tcPr>
          <w:p>
            <w:pPr>
              <w:pStyle w:val="nTable"/>
              <w:keepNext/>
              <w:spacing w:after="40"/>
              <w:rPr>
                <w:sz w:val="19"/>
              </w:rPr>
            </w:pPr>
            <w:r>
              <w:rPr>
                <w:sz w:val="19"/>
              </w:rPr>
              <w:t>15 Apr 1994</w:t>
            </w:r>
          </w:p>
        </w:tc>
        <w:tc>
          <w:tcPr>
            <w:tcW w:w="2500" w:type="dxa"/>
            <w:gridSpan w:val="8"/>
          </w:tcPr>
          <w:p>
            <w:pPr>
              <w:pStyle w:val="nTable"/>
              <w:keepNext/>
              <w:spacing w:after="40"/>
              <w:rPr>
                <w:sz w:val="19"/>
              </w:rPr>
            </w:pPr>
            <w:r>
              <w:rPr>
                <w:sz w:val="19"/>
              </w:rPr>
              <w:t xml:space="preserve">27 May 1994 (see s. 2 and </w:t>
            </w:r>
            <w:r>
              <w:rPr>
                <w:i/>
                <w:sz w:val="19"/>
              </w:rPr>
              <w:t>Gazette</w:t>
            </w:r>
            <w:r>
              <w:rPr>
                <w:sz w:val="19"/>
              </w:rPr>
              <w:t xml:space="preserve"> 27 May 1994 p. 2205)</w:t>
            </w:r>
          </w:p>
        </w:tc>
      </w:tr>
      <w:tr>
        <w:trPr>
          <w:gridAfter w:val="6"/>
          <w:wAfter w:w="150" w:type="dxa"/>
          <w:cantSplit/>
        </w:trPr>
        <w:tc>
          <w:tcPr>
            <w:tcW w:w="2202" w:type="dxa"/>
            <w:gridSpan w:val="5"/>
          </w:tcPr>
          <w:p>
            <w:pPr>
              <w:pStyle w:val="nTable"/>
              <w:spacing w:after="40"/>
              <w:rPr>
                <w:sz w:val="19"/>
              </w:rPr>
            </w:pPr>
            <w:r>
              <w:rPr>
                <w:i/>
                <w:sz w:val="19"/>
              </w:rPr>
              <w:t>Acts Amendment (Public Sector Management) Act 1994</w:t>
            </w:r>
            <w:r>
              <w:rPr>
                <w:sz w:val="19"/>
              </w:rPr>
              <w:t xml:space="preserve"> s. 3(2)</w:t>
            </w:r>
          </w:p>
        </w:tc>
        <w:tc>
          <w:tcPr>
            <w:tcW w:w="1115" w:type="dxa"/>
            <w:gridSpan w:val="9"/>
          </w:tcPr>
          <w:p>
            <w:pPr>
              <w:pStyle w:val="nTable"/>
              <w:spacing w:after="40"/>
              <w:rPr>
                <w:sz w:val="19"/>
              </w:rPr>
            </w:pPr>
            <w:r>
              <w:rPr>
                <w:sz w:val="19"/>
              </w:rPr>
              <w:t>32 of 1994</w:t>
            </w:r>
          </w:p>
        </w:tc>
        <w:tc>
          <w:tcPr>
            <w:tcW w:w="1134" w:type="dxa"/>
            <w:gridSpan w:val="7"/>
          </w:tcPr>
          <w:p>
            <w:pPr>
              <w:pStyle w:val="nTable"/>
              <w:spacing w:after="40"/>
              <w:rPr>
                <w:sz w:val="19"/>
              </w:rPr>
            </w:pPr>
            <w:r>
              <w:rPr>
                <w:sz w:val="19"/>
              </w:rPr>
              <w:t>29 Jun 1994</w:t>
            </w:r>
          </w:p>
        </w:tc>
        <w:tc>
          <w:tcPr>
            <w:tcW w:w="2500" w:type="dxa"/>
            <w:gridSpan w:val="8"/>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5"/>
          <w:wAfter w:w="143" w:type="dxa"/>
          <w:cantSplit/>
        </w:trPr>
        <w:tc>
          <w:tcPr>
            <w:tcW w:w="2208" w:type="dxa"/>
            <w:gridSpan w:val="6"/>
          </w:tcPr>
          <w:p>
            <w:pPr>
              <w:pStyle w:val="nTable"/>
              <w:spacing w:after="40"/>
              <w:rPr>
                <w:sz w:val="19"/>
              </w:rPr>
            </w:pPr>
            <w:r>
              <w:rPr>
                <w:i/>
                <w:sz w:val="19"/>
              </w:rPr>
              <w:t>Poisons Amendment Act 1995</w:t>
            </w:r>
          </w:p>
        </w:tc>
        <w:tc>
          <w:tcPr>
            <w:tcW w:w="1124" w:type="dxa"/>
            <w:gridSpan w:val="9"/>
          </w:tcPr>
          <w:p>
            <w:pPr>
              <w:pStyle w:val="nTable"/>
              <w:spacing w:after="40"/>
              <w:rPr>
                <w:sz w:val="19"/>
              </w:rPr>
            </w:pPr>
            <w:r>
              <w:rPr>
                <w:sz w:val="19"/>
              </w:rPr>
              <w:t>48 of 1995</w:t>
            </w:r>
          </w:p>
        </w:tc>
        <w:tc>
          <w:tcPr>
            <w:tcW w:w="1119" w:type="dxa"/>
            <w:gridSpan w:val="6"/>
          </w:tcPr>
          <w:p>
            <w:pPr>
              <w:pStyle w:val="nTable"/>
              <w:spacing w:after="40"/>
              <w:rPr>
                <w:sz w:val="19"/>
              </w:rPr>
            </w:pPr>
            <w:r>
              <w:rPr>
                <w:sz w:val="19"/>
              </w:rPr>
              <w:t>6 Nov 1995</w:t>
            </w:r>
          </w:p>
        </w:tc>
        <w:tc>
          <w:tcPr>
            <w:tcW w:w="2507" w:type="dxa"/>
            <w:gridSpan w:val="9"/>
          </w:tcPr>
          <w:p>
            <w:pPr>
              <w:pStyle w:val="nTable"/>
              <w:spacing w:after="40"/>
              <w:rPr>
                <w:sz w:val="19"/>
              </w:rPr>
            </w:pPr>
            <w:r>
              <w:rPr>
                <w:sz w:val="19"/>
              </w:rPr>
              <w:t xml:space="preserve">20 Mar 1996 (see s. 2 and </w:t>
            </w:r>
            <w:r>
              <w:rPr>
                <w:i/>
                <w:sz w:val="19"/>
              </w:rPr>
              <w:t>Gazette</w:t>
            </w:r>
            <w:r>
              <w:rPr>
                <w:sz w:val="19"/>
              </w:rPr>
              <w:t xml:space="preserve"> 19 Mar 1996 p. 1203)</w:t>
            </w:r>
          </w:p>
        </w:tc>
      </w:tr>
      <w:tr>
        <w:trPr>
          <w:gridAfter w:val="5"/>
          <w:wAfter w:w="143" w:type="dxa"/>
          <w:cantSplit/>
        </w:trPr>
        <w:tc>
          <w:tcPr>
            <w:tcW w:w="4451" w:type="dxa"/>
            <w:gridSpan w:val="21"/>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07" w:type="dxa"/>
            <w:gridSpan w:val="9"/>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5"/>
          <w:wAfter w:w="143" w:type="dxa"/>
          <w:cantSplit/>
        </w:trPr>
        <w:tc>
          <w:tcPr>
            <w:tcW w:w="6958" w:type="dxa"/>
            <w:gridSpan w:val="30"/>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4"/>
          <w:wAfter w:w="135" w:type="dxa"/>
          <w:cantSplit/>
        </w:trPr>
        <w:tc>
          <w:tcPr>
            <w:tcW w:w="2214" w:type="dxa"/>
            <w:gridSpan w:val="7"/>
          </w:tcPr>
          <w:p>
            <w:pPr>
              <w:pStyle w:val="nTable"/>
              <w:spacing w:after="40"/>
              <w:rPr>
                <w:sz w:val="19"/>
              </w:rPr>
            </w:pPr>
            <w:r>
              <w:rPr>
                <w:i/>
                <w:sz w:val="19"/>
              </w:rPr>
              <w:t>Local Government (Consequential Amendments) Act 1996</w:t>
            </w:r>
            <w:r>
              <w:rPr>
                <w:sz w:val="19"/>
              </w:rPr>
              <w:t xml:space="preserve"> s. 4</w:t>
            </w:r>
          </w:p>
        </w:tc>
        <w:tc>
          <w:tcPr>
            <w:tcW w:w="1118" w:type="dxa"/>
            <w:gridSpan w:val="8"/>
          </w:tcPr>
          <w:p>
            <w:pPr>
              <w:pStyle w:val="nTable"/>
              <w:keepNext/>
              <w:spacing w:after="40"/>
              <w:rPr>
                <w:sz w:val="19"/>
              </w:rPr>
            </w:pPr>
            <w:r>
              <w:rPr>
                <w:sz w:val="19"/>
              </w:rPr>
              <w:t>14 of 1996</w:t>
            </w:r>
          </w:p>
        </w:tc>
        <w:tc>
          <w:tcPr>
            <w:tcW w:w="1125" w:type="dxa"/>
            <w:gridSpan w:val="7"/>
          </w:tcPr>
          <w:p>
            <w:pPr>
              <w:pStyle w:val="nTable"/>
              <w:spacing w:after="40"/>
              <w:rPr>
                <w:sz w:val="19"/>
              </w:rPr>
            </w:pPr>
            <w:r>
              <w:rPr>
                <w:sz w:val="19"/>
              </w:rPr>
              <w:t>28 Jun 1996</w:t>
            </w:r>
          </w:p>
        </w:tc>
        <w:tc>
          <w:tcPr>
            <w:tcW w:w="2509" w:type="dxa"/>
            <w:gridSpan w:val="9"/>
          </w:tcPr>
          <w:p>
            <w:pPr>
              <w:pStyle w:val="nTable"/>
              <w:spacing w:after="40"/>
              <w:rPr>
                <w:sz w:val="19"/>
              </w:rPr>
            </w:pPr>
            <w:r>
              <w:rPr>
                <w:sz w:val="19"/>
              </w:rPr>
              <w:t>1 Jul 1996 (see s. 2)</w:t>
            </w:r>
          </w:p>
        </w:tc>
      </w:tr>
      <w:tr>
        <w:trPr>
          <w:gridAfter w:val="4"/>
          <w:wAfter w:w="135" w:type="dxa"/>
          <w:cantSplit/>
        </w:trPr>
        <w:tc>
          <w:tcPr>
            <w:tcW w:w="4457" w:type="dxa"/>
            <w:gridSpan w:val="22"/>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09" w:type="dxa"/>
            <w:gridSpan w:val="9"/>
          </w:tcPr>
          <w:p>
            <w:pPr>
              <w:pStyle w:val="nTable"/>
              <w:spacing w:after="40"/>
              <w:rPr>
                <w:sz w:val="19"/>
              </w:rPr>
            </w:pPr>
            <w:r>
              <w:rPr>
                <w:sz w:val="19"/>
              </w:rPr>
              <w:t>24 Sep 1996 (see cl. 2)</w:t>
            </w:r>
          </w:p>
        </w:tc>
      </w:tr>
      <w:tr>
        <w:trPr>
          <w:gridAfter w:val="4"/>
          <w:wAfter w:w="135" w:type="dxa"/>
          <w:cantSplit/>
        </w:trPr>
        <w:tc>
          <w:tcPr>
            <w:tcW w:w="4457" w:type="dxa"/>
            <w:gridSpan w:val="22"/>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09" w:type="dxa"/>
            <w:gridSpan w:val="9"/>
          </w:tcPr>
          <w:p>
            <w:pPr>
              <w:pStyle w:val="nTable"/>
              <w:spacing w:after="40"/>
              <w:rPr>
                <w:sz w:val="19"/>
              </w:rPr>
            </w:pPr>
            <w:r>
              <w:rPr>
                <w:sz w:val="19"/>
              </w:rPr>
              <w:t>10 Feb 1998 (see cl. 2)</w:t>
            </w:r>
          </w:p>
        </w:tc>
      </w:tr>
      <w:tr>
        <w:trPr>
          <w:gridAfter w:val="3"/>
          <w:wAfter w:w="91" w:type="dxa"/>
          <w:cantSplit/>
        </w:trPr>
        <w:tc>
          <w:tcPr>
            <w:tcW w:w="2226" w:type="dxa"/>
            <w:gridSpan w:val="8"/>
          </w:tcPr>
          <w:p>
            <w:pPr>
              <w:pStyle w:val="nTable"/>
              <w:spacing w:after="40"/>
              <w:rPr>
                <w:sz w:val="19"/>
              </w:rPr>
            </w:pPr>
            <w:r>
              <w:rPr>
                <w:i/>
                <w:sz w:val="19"/>
              </w:rPr>
              <w:t>Statutes (Repeals and Minor Amendments) Act (No. 2) 1998</w:t>
            </w:r>
            <w:r>
              <w:rPr>
                <w:sz w:val="19"/>
              </w:rPr>
              <w:t xml:space="preserve"> s. 76</w:t>
            </w:r>
          </w:p>
        </w:tc>
        <w:tc>
          <w:tcPr>
            <w:tcW w:w="1121" w:type="dxa"/>
            <w:gridSpan w:val="8"/>
          </w:tcPr>
          <w:p>
            <w:pPr>
              <w:pStyle w:val="nTable"/>
              <w:keepNext/>
              <w:spacing w:after="40"/>
              <w:rPr>
                <w:sz w:val="19"/>
              </w:rPr>
            </w:pPr>
            <w:r>
              <w:rPr>
                <w:sz w:val="19"/>
              </w:rPr>
              <w:t>10 of 1998</w:t>
            </w:r>
          </w:p>
        </w:tc>
        <w:tc>
          <w:tcPr>
            <w:tcW w:w="1142" w:type="dxa"/>
            <w:gridSpan w:val="7"/>
          </w:tcPr>
          <w:p>
            <w:pPr>
              <w:pStyle w:val="nTable"/>
              <w:spacing w:after="40"/>
              <w:rPr>
                <w:sz w:val="19"/>
              </w:rPr>
            </w:pPr>
            <w:r>
              <w:rPr>
                <w:sz w:val="19"/>
              </w:rPr>
              <w:t>30 Apr 1998</w:t>
            </w:r>
          </w:p>
        </w:tc>
        <w:tc>
          <w:tcPr>
            <w:tcW w:w="2521" w:type="dxa"/>
            <w:gridSpan w:val="9"/>
          </w:tcPr>
          <w:p>
            <w:pPr>
              <w:pStyle w:val="nTable"/>
              <w:spacing w:after="40"/>
              <w:rPr>
                <w:sz w:val="19"/>
              </w:rPr>
            </w:pPr>
            <w:r>
              <w:rPr>
                <w:sz w:val="19"/>
              </w:rPr>
              <w:t>30 Apr 1998 (see s. 2(1))</w:t>
            </w:r>
          </w:p>
        </w:tc>
      </w:tr>
      <w:tr>
        <w:trPr>
          <w:gridAfter w:val="3"/>
          <w:wAfter w:w="91" w:type="dxa"/>
          <w:cantSplit/>
        </w:trPr>
        <w:tc>
          <w:tcPr>
            <w:tcW w:w="4489"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21" w:type="dxa"/>
            <w:gridSpan w:val="9"/>
          </w:tcPr>
          <w:p>
            <w:pPr>
              <w:pStyle w:val="nTable"/>
              <w:spacing w:after="40"/>
              <w:rPr>
                <w:sz w:val="19"/>
              </w:rPr>
            </w:pPr>
            <w:r>
              <w:rPr>
                <w:sz w:val="19"/>
              </w:rPr>
              <w:t>22 Sep 1998 (see cl. 2)</w:t>
            </w:r>
          </w:p>
        </w:tc>
      </w:tr>
      <w:tr>
        <w:trPr>
          <w:gridAfter w:val="3"/>
          <w:wAfter w:w="91" w:type="dxa"/>
          <w:cantSplit/>
        </w:trPr>
        <w:tc>
          <w:tcPr>
            <w:tcW w:w="7010" w:type="dxa"/>
            <w:gridSpan w:val="32"/>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3"/>
          <w:wAfter w:w="91" w:type="dxa"/>
          <w:cantSplit/>
        </w:trPr>
        <w:tc>
          <w:tcPr>
            <w:tcW w:w="2226" w:type="dxa"/>
            <w:gridSpan w:val="8"/>
          </w:tcPr>
          <w:p>
            <w:pPr>
              <w:pStyle w:val="nTable"/>
              <w:spacing w:after="40"/>
              <w:rPr>
                <w:sz w:val="19"/>
              </w:rPr>
            </w:pPr>
            <w:r>
              <w:rPr>
                <w:i/>
                <w:sz w:val="19"/>
              </w:rPr>
              <w:t>Acts Amendment and Repeal (Financial Sector Reform) Act 1999</w:t>
            </w:r>
            <w:r>
              <w:rPr>
                <w:sz w:val="19"/>
              </w:rPr>
              <w:t xml:space="preserve"> s. 96</w:t>
            </w:r>
          </w:p>
        </w:tc>
        <w:tc>
          <w:tcPr>
            <w:tcW w:w="1121" w:type="dxa"/>
            <w:gridSpan w:val="8"/>
          </w:tcPr>
          <w:p>
            <w:pPr>
              <w:pStyle w:val="nTable"/>
              <w:keepNext/>
              <w:spacing w:after="40"/>
              <w:rPr>
                <w:sz w:val="19"/>
              </w:rPr>
            </w:pPr>
            <w:r>
              <w:rPr>
                <w:sz w:val="19"/>
              </w:rPr>
              <w:t>26 of 1999</w:t>
            </w:r>
          </w:p>
        </w:tc>
        <w:tc>
          <w:tcPr>
            <w:tcW w:w="1142" w:type="dxa"/>
            <w:gridSpan w:val="7"/>
          </w:tcPr>
          <w:p>
            <w:pPr>
              <w:pStyle w:val="nTable"/>
              <w:spacing w:after="40"/>
              <w:rPr>
                <w:sz w:val="19"/>
              </w:rPr>
            </w:pPr>
            <w:r>
              <w:rPr>
                <w:sz w:val="19"/>
              </w:rPr>
              <w:t>29 Jun 1999</w:t>
            </w:r>
          </w:p>
        </w:tc>
        <w:tc>
          <w:tcPr>
            <w:tcW w:w="2521" w:type="dxa"/>
            <w:gridSpan w:val="9"/>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3"/>
          <w:wAfter w:w="91" w:type="dxa"/>
          <w:cantSplit/>
        </w:trPr>
        <w:tc>
          <w:tcPr>
            <w:tcW w:w="4489"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21" w:type="dxa"/>
            <w:gridSpan w:val="9"/>
          </w:tcPr>
          <w:p>
            <w:pPr>
              <w:pStyle w:val="nTable"/>
              <w:spacing w:after="40"/>
              <w:rPr>
                <w:sz w:val="19"/>
              </w:rPr>
            </w:pPr>
            <w:r>
              <w:rPr>
                <w:sz w:val="19"/>
              </w:rPr>
              <w:t>8 Oct 1999</w:t>
            </w:r>
          </w:p>
        </w:tc>
      </w:tr>
      <w:tr>
        <w:trPr>
          <w:gridAfter w:val="3"/>
          <w:wAfter w:w="91" w:type="dxa"/>
          <w:cantSplit/>
        </w:trPr>
        <w:tc>
          <w:tcPr>
            <w:tcW w:w="4489"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21" w:type="dxa"/>
            <w:gridSpan w:val="9"/>
          </w:tcPr>
          <w:p>
            <w:pPr>
              <w:pStyle w:val="nTable"/>
              <w:spacing w:after="40"/>
              <w:rPr>
                <w:sz w:val="19"/>
              </w:rPr>
            </w:pPr>
            <w:r>
              <w:rPr>
                <w:sz w:val="19"/>
              </w:rPr>
              <w:t>14 Sep 2001</w:t>
            </w:r>
          </w:p>
        </w:tc>
      </w:tr>
      <w:tr>
        <w:trPr>
          <w:gridAfter w:val="3"/>
          <w:wAfter w:w="91" w:type="dxa"/>
          <w:cantSplit/>
        </w:trPr>
        <w:tc>
          <w:tcPr>
            <w:tcW w:w="4489"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21" w:type="dxa"/>
            <w:gridSpan w:val="9"/>
          </w:tcPr>
          <w:p>
            <w:pPr>
              <w:pStyle w:val="nTable"/>
              <w:spacing w:after="40"/>
              <w:rPr>
                <w:sz w:val="19"/>
              </w:rPr>
            </w:pPr>
            <w:r>
              <w:rPr>
                <w:sz w:val="19"/>
              </w:rPr>
              <w:t>8 Nov 2002 (see cl. 2)</w:t>
            </w:r>
          </w:p>
        </w:tc>
      </w:tr>
      <w:tr>
        <w:trPr>
          <w:gridAfter w:val="2"/>
          <w:wAfter w:w="67" w:type="dxa"/>
          <w:cantSplit/>
        </w:trPr>
        <w:tc>
          <w:tcPr>
            <w:tcW w:w="2239" w:type="dxa"/>
            <w:gridSpan w:val="9"/>
          </w:tcPr>
          <w:p>
            <w:pPr>
              <w:pStyle w:val="nTable"/>
              <w:spacing w:after="40"/>
              <w:rPr>
                <w:i/>
                <w:sz w:val="19"/>
              </w:rPr>
            </w:pPr>
            <w:r>
              <w:rPr>
                <w:i/>
                <w:sz w:val="19"/>
              </w:rPr>
              <w:t>Nurses Amendment Act 2003</w:t>
            </w:r>
            <w:r>
              <w:rPr>
                <w:sz w:val="19"/>
              </w:rPr>
              <w:t xml:space="preserve"> Pt. 3 Div. 4</w:t>
            </w:r>
          </w:p>
        </w:tc>
        <w:tc>
          <w:tcPr>
            <w:tcW w:w="1127" w:type="dxa"/>
            <w:gridSpan w:val="8"/>
          </w:tcPr>
          <w:p>
            <w:pPr>
              <w:pStyle w:val="nTable"/>
              <w:keepNext/>
              <w:spacing w:after="40"/>
              <w:rPr>
                <w:sz w:val="19"/>
              </w:rPr>
            </w:pPr>
            <w:r>
              <w:rPr>
                <w:sz w:val="19"/>
              </w:rPr>
              <w:t>9 of 2003</w:t>
            </w:r>
          </w:p>
        </w:tc>
        <w:tc>
          <w:tcPr>
            <w:tcW w:w="1134" w:type="dxa"/>
            <w:gridSpan w:val="7"/>
          </w:tcPr>
          <w:p>
            <w:pPr>
              <w:pStyle w:val="nTable"/>
              <w:spacing w:after="40"/>
              <w:rPr>
                <w:sz w:val="19"/>
              </w:rPr>
            </w:pPr>
            <w:r>
              <w:rPr>
                <w:sz w:val="19"/>
              </w:rPr>
              <w:t>9 Apr 2003</w:t>
            </w:r>
          </w:p>
        </w:tc>
        <w:tc>
          <w:tcPr>
            <w:tcW w:w="2534" w:type="dxa"/>
            <w:gridSpan w:val="9"/>
          </w:tcPr>
          <w:p>
            <w:pPr>
              <w:pStyle w:val="nTable"/>
              <w:spacing w:after="40"/>
              <w:rPr>
                <w:sz w:val="19"/>
              </w:rPr>
            </w:pPr>
            <w:r>
              <w:rPr>
                <w:sz w:val="19"/>
              </w:rPr>
              <w:t>9 Apr 2003 (see s. 2)</w:t>
            </w:r>
          </w:p>
        </w:tc>
      </w:tr>
      <w:tr>
        <w:trPr>
          <w:gridAfter w:val="2"/>
          <w:wAfter w:w="67" w:type="dxa"/>
          <w:cantSplit/>
        </w:trPr>
        <w:tc>
          <w:tcPr>
            <w:tcW w:w="2239" w:type="dxa"/>
            <w:gridSpan w:val="9"/>
          </w:tcPr>
          <w:p>
            <w:pPr>
              <w:pStyle w:val="nTable"/>
              <w:spacing w:after="40"/>
              <w:rPr>
                <w:i/>
                <w:sz w:val="19"/>
              </w:rPr>
            </w:pPr>
            <w:r>
              <w:rPr>
                <w:i/>
                <w:sz w:val="19"/>
              </w:rPr>
              <w:t xml:space="preserve">Sentencing Legislation Amendment and Repeal Act 2003 </w:t>
            </w:r>
            <w:r>
              <w:rPr>
                <w:sz w:val="19"/>
              </w:rPr>
              <w:t>s. 84</w:t>
            </w:r>
          </w:p>
        </w:tc>
        <w:tc>
          <w:tcPr>
            <w:tcW w:w="1127" w:type="dxa"/>
            <w:gridSpan w:val="8"/>
          </w:tcPr>
          <w:p>
            <w:pPr>
              <w:pStyle w:val="nTable"/>
              <w:keepNext/>
              <w:spacing w:after="40"/>
              <w:rPr>
                <w:sz w:val="19"/>
              </w:rPr>
            </w:pPr>
            <w:r>
              <w:rPr>
                <w:sz w:val="19"/>
              </w:rPr>
              <w:t>50 of 2003</w:t>
            </w:r>
          </w:p>
        </w:tc>
        <w:tc>
          <w:tcPr>
            <w:tcW w:w="1134" w:type="dxa"/>
            <w:gridSpan w:val="7"/>
          </w:tcPr>
          <w:p>
            <w:pPr>
              <w:pStyle w:val="nTable"/>
              <w:spacing w:after="40"/>
              <w:rPr>
                <w:sz w:val="19"/>
              </w:rPr>
            </w:pPr>
            <w:r>
              <w:rPr>
                <w:sz w:val="19"/>
              </w:rPr>
              <w:t>9 Jul 2003</w:t>
            </w:r>
          </w:p>
        </w:tc>
        <w:tc>
          <w:tcPr>
            <w:tcW w:w="2534" w:type="dxa"/>
            <w:gridSpan w:val="9"/>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2"/>
          <w:wAfter w:w="67" w:type="dxa"/>
          <w:cantSplit/>
        </w:trPr>
        <w:tc>
          <w:tcPr>
            <w:tcW w:w="4500"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34" w:type="dxa"/>
            <w:gridSpan w:val="9"/>
          </w:tcPr>
          <w:p>
            <w:pPr>
              <w:pStyle w:val="nTable"/>
              <w:spacing w:after="40"/>
              <w:rPr>
                <w:sz w:val="19"/>
              </w:rPr>
            </w:pPr>
            <w:r>
              <w:rPr>
                <w:sz w:val="19"/>
              </w:rPr>
              <w:t>10 Oct 2003 (see cl. 2)</w:t>
            </w:r>
          </w:p>
        </w:tc>
      </w:tr>
      <w:tr>
        <w:trPr>
          <w:gridAfter w:val="2"/>
          <w:wAfter w:w="67" w:type="dxa"/>
          <w:cantSplit/>
        </w:trPr>
        <w:tc>
          <w:tcPr>
            <w:tcW w:w="4500"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34" w:type="dxa"/>
            <w:gridSpan w:val="9"/>
          </w:tcPr>
          <w:p>
            <w:pPr>
              <w:pStyle w:val="nTable"/>
              <w:spacing w:after="40"/>
              <w:rPr>
                <w:sz w:val="19"/>
              </w:rPr>
            </w:pPr>
            <w:r>
              <w:rPr>
                <w:sz w:val="19"/>
              </w:rPr>
              <w:t>1 Jan 2004 (see cl. 2)</w:t>
            </w:r>
          </w:p>
        </w:tc>
      </w:tr>
      <w:tr>
        <w:trPr>
          <w:gridBefore w:val="1"/>
          <w:gridAfter w:val="1"/>
          <w:wBefore w:w="14" w:type="dxa"/>
          <w:wAfter w:w="11" w:type="dxa"/>
          <w:cantSplit/>
        </w:trPr>
        <w:tc>
          <w:tcPr>
            <w:tcW w:w="2260" w:type="dxa"/>
            <w:gridSpan w:val="9"/>
          </w:tcPr>
          <w:p>
            <w:pPr>
              <w:pStyle w:val="nTable"/>
              <w:spacing w:after="40"/>
              <w:rPr>
                <w:sz w:val="19"/>
              </w:rPr>
            </w:pPr>
            <w:r>
              <w:rPr>
                <w:i/>
                <w:sz w:val="19"/>
              </w:rPr>
              <w:t>Industrial Hemp Act 2004</w:t>
            </w:r>
            <w:r>
              <w:rPr>
                <w:sz w:val="19"/>
              </w:rPr>
              <w:t xml:space="preserve"> Pt. 8</w:t>
            </w:r>
          </w:p>
        </w:tc>
        <w:tc>
          <w:tcPr>
            <w:tcW w:w="1132" w:type="dxa"/>
            <w:gridSpan w:val="8"/>
          </w:tcPr>
          <w:p>
            <w:pPr>
              <w:pStyle w:val="nTable"/>
              <w:keepNext/>
              <w:spacing w:after="40"/>
              <w:rPr>
                <w:sz w:val="19"/>
              </w:rPr>
            </w:pPr>
            <w:r>
              <w:rPr>
                <w:sz w:val="19"/>
              </w:rPr>
              <w:t>1 of 2004</w:t>
            </w:r>
          </w:p>
        </w:tc>
        <w:tc>
          <w:tcPr>
            <w:tcW w:w="1133" w:type="dxa"/>
            <w:gridSpan w:val="7"/>
          </w:tcPr>
          <w:p>
            <w:pPr>
              <w:pStyle w:val="nTable"/>
              <w:spacing w:after="40"/>
              <w:rPr>
                <w:sz w:val="19"/>
              </w:rPr>
            </w:pPr>
            <w:r>
              <w:rPr>
                <w:sz w:val="19"/>
              </w:rPr>
              <w:t>12 Mar 2004</w:t>
            </w:r>
          </w:p>
        </w:tc>
        <w:tc>
          <w:tcPr>
            <w:tcW w:w="2551" w:type="dxa"/>
            <w:gridSpan w:val="9"/>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Before w:val="1"/>
          <w:gridAfter w:val="1"/>
          <w:wBefore w:w="14" w:type="dxa"/>
          <w:wAfter w:w="11" w:type="dxa"/>
          <w:cantSplit/>
        </w:trPr>
        <w:tc>
          <w:tcPr>
            <w:tcW w:w="7076" w:type="dxa"/>
            <w:gridSpan w:val="33"/>
          </w:tcPr>
          <w:p>
            <w:pPr>
              <w:pStyle w:val="nTable"/>
              <w:spacing w:after="40"/>
              <w:rPr>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Before w:val="1"/>
          <w:gridAfter w:val="1"/>
          <w:wBefore w:w="14" w:type="dxa"/>
          <w:wAfter w:w="11" w:type="dxa"/>
        </w:trPr>
        <w:tc>
          <w:tcPr>
            <w:tcW w:w="2260" w:type="dxa"/>
            <w:gridSpan w:val="9"/>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w:t>
            </w:r>
          </w:p>
        </w:tc>
        <w:tc>
          <w:tcPr>
            <w:tcW w:w="1132" w:type="dxa"/>
            <w:gridSpan w:val="8"/>
            <w:tcBorders>
              <w:top w:val="nil"/>
              <w:bottom w:val="nil"/>
            </w:tcBorders>
          </w:tcPr>
          <w:p>
            <w:pPr>
              <w:pStyle w:val="nTable"/>
              <w:spacing w:after="40"/>
              <w:rPr>
                <w:snapToGrid w:val="0"/>
                <w:sz w:val="19"/>
              </w:rPr>
            </w:pPr>
            <w:r>
              <w:rPr>
                <w:snapToGrid w:val="0"/>
                <w:sz w:val="19"/>
              </w:rPr>
              <w:t>59 of 2004</w:t>
            </w:r>
          </w:p>
        </w:tc>
        <w:tc>
          <w:tcPr>
            <w:tcW w:w="1133" w:type="dxa"/>
            <w:gridSpan w:val="7"/>
            <w:tcBorders>
              <w:top w:val="nil"/>
              <w:bottom w:val="nil"/>
            </w:tcBorders>
          </w:tcPr>
          <w:p>
            <w:pPr>
              <w:pStyle w:val="nTable"/>
              <w:spacing w:after="40"/>
              <w:rPr>
                <w:sz w:val="19"/>
              </w:rPr>
            </w:pPr>
            <w:r>
              <w:rPr>
                <w:sz w:val="19"/>
              </w:rPr>
              <w:t>23 Nov 2004</w:t>
            </w:r>
          </w:p>
        </w:tc>
        <w:tc>
          <w:tcPr>
            <w:tcW w:w="2551" w:type="dxa"/>
            <w:gridSpan w:val="9"/>
            <w:tcBorders>
              <w:top w:val="nil"/>
              <w:bottom w:val="nil"/>
            </w:tcBorders>
          </w:tcPr>
          <w:p>
            <w:pPr>
              <w:pStyle w:val="nTable"/>
              <w:spacing w:after="40"/>
              <w:rPr>
                <w:snapToGrid w:val="0"/>
                <w:sz w:val="19"/>
              </w:rPr>
            </w:pPr>
            <w:r>
              <w:rPr>
                <w:snapToGrid w:val="0"/>
                <w:sz w:val="19"/>
              </w:rPr>
              <w:t xml:space="preserve">1 May 2005 (see s. 2 and </w:t>
            </w:r>
            <w:r>
              <w:rPr>
                <w:i/>
                <w:snapToGrid w:val="0"/>
                <w:sz w:val="19"/>
              </w:rPr>
              <w:t>Gazette</w:t>
            </w:r>
            <w:r>
              <w:rPr>
                <w:snapToGrid w:val="0"/>
                <w:sz w:val="19"/>
              </w:rPr>
              <w:t xml:space="preserve"> 31 Dec 2004 p. 7128)</w:t>
            </w:r>
          </w:p>
        </w:tc>
      </w:tr>
      <w:tr>
        <w:tblPrEx>
          <w:tblBorders>
            <w:top w:val="single" w:sz="4" w:space="0" w:color="auto"/>
            <w:bottom w:val="single" w:sz="4" w:space="0" w:color="auto"/>
            <w:insideH w:val="single" w:sz="4" w:space="0" w:color="auto"/>
          </w:tblBorders>
        </w:tblPrEx>
        <w:trPr>
          <w:gridBefore w:val="1"/>
          <w:gridAfter w:val="1"/>
          <w:wBefore w:w="14" w:type="dxa"/>
          <w:wAfter w:w="11" w:type="dxa"/>
        </w:trPr>
        <w:tc>
          <w:tcPr>
            <w:tcW w:w="2260" w:type="dxa"/>
            <w:gridSpan w:val="9"/>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3</w:t>
            </w:r>
          </w:p>
        </w:tc>
        <w:tc>
          <w:tcPr>
            <w:tcW w:w="1132" w:type="dxa"/>
            <w:gridSpan w:val="8"/>
            <w:tcBorders>
              <w:top w:val="nil"/>
              <w:bottom w:val="nil"/>
            </w:tcBorders>
          </w:tcPr>
          <w:p>
            <w:pPr>
              <w:pStyle w:val="nTable"/>
              <w:spacing w:after="40"/>
              <w:rPr>
                <w:sz w:val="19"/>
              </w:rPr>
            </w:pPr>
            <w:r>
              <w:rPr>
                <w:sz w:val="19"/>
              </w:rPr>
              <w:t>55 of 2004</w:t>
            </w:r>
          </w:p>
        </w:tc>
        <w:tc>
          <w:tcPr>
            <w:tcW w:w="1133" w:type="dxa"/>
            <w:gridSpan w:val="7"/>
            <w:tcBorders>
              <w:top w:val="nil"/>
              <w:bottom w:val="nil"/>
            </w:tcBorders>
          </w:tcPr>
          <w:p>
            <w:pPr>
              <w:pStyle w:val="nTable"/>
              <w:spacing w:after="40"/>
              <w:rPr>
                <w:sz w:val="19"/>
              </w:rPr>
            </w:pPr>
            <w:r>
              <w:rPr>
                <w:sz w:val="19"/>
              </w:rPr>
              <w:t>24 Nov 2004</w:t>
            </w:r>
          </w:p>
        </w:tc>
        <w:tc>
          <w:tcPr>
            <w:tcW w:w="2551" w:type="dxa"/>
            <w:gridSpan w:val="9"/>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Before w:val="1"/>
          <w:gridAfter w:val="1"/>
          <w:wBefore w:w="14" w:type="dxa"/>
          <w:wAfter w:w="11" w:type="dxa"/>
        </w:trPr>
        <w:tc>
          <w:tcPr>
            <w:tcW w:w="2260" w:type="dxa"/>
            <w:gridSpan w:val="9"/>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2" w:type="dxa"/>
            <w:gridSpan w:val="8"/>
            <w:tcBorders>
              <w:top w:val="nil"/>
              <w:bottom w:val="nil"/>
            </w:tcBorders>
          </w:tcPr>
          <w:p>
            <w:pPr>
              <w:pStyle w:val="nTable"/>
              <w:spacing w:after="40"/>
              <w:rPr>
                <w:sz w:val="19"/>
              </w:rPr>
            </w:pPr>
            <w:r>
              <w:rPr>
                <w:snapToGrid w:val="0"/>
                <w:sz w:val="19"/>
              </w:rPr>
              <w:t>84 of 2004</w:t>
            </w:r>
          </w:p>
        </w:tc>
        <w:tc>
          <w:tcPr>
            <w:tcW w:w="1133" w:type="dxa"/>
            <w:gridSpan w:val="7"/>
            <w:tcBorders>
              <w:top w:val="nil"/>
              <w:bottom w:val="nil"/>
            </w:tcBorders>
          </w:tcPr>
          <w:p>
            <w:pPr>
              <w:pStyle w:val="nTable"/>
              <w:spacing w:after="40"/>
              <w:rPr>
                <w:sz w:val="19"/>
              </w:rPr>
            </w:pPr>
            <w:r>
              <w:rPr>
                <w:sz w:val="19"/>
              </w:rPr>
              <w:t>16 Dec 2004</w:t>
            </w:r>
          </w:p>
        </w:tc>
        <w:tc>
          <w:tcPr>
            <w:tcW w:w="2551" w:type="dxa"/>
            <w:gridSpan w:val="9"/>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gridBefore w:val="1"/>
          <w:gridAfter w:val="1"/>
          <w:wBefore w:w="14" w:type="dxa"/>
          <w:wAfter w:w="11" w:type="dxa"/>
          <w:cantSplit/>
        </w:trPr>
        <w:tc>
          <w:tcPr>
            <w:tcW w:w="2260" w:type="dxa"/>
            <w:gridSpan w:val="9"/>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r>
              <w:rPr>
                <w:snapToGrid w:val="0"/>
                <w:sz w:val="19"/>
                <w:vertAlign w:val="superscript"/>
              </w:rPr>
              <w:t>4, 5</w:t>
            </w:r>
          </w:p>
        </w:tc>
        <w:tc>
          <w:tcPr>
            <w:tcW w:w="1132" w:type="dxa"/>
            <w:gridSpan w:val="8"/>
          </w:tcPr>
          <w:p>
            <w:pPr>
              <w:pStyle w:val="nTable"/>
              <w:spacing w:after="40"/>
              <w:rPr>
                <w:snapToGrid w:val="0"/>
                <w:sz w:val="19"/>
              </w:rPr>
            </w:pPr>
            <w:r>
              <w:rPr>
                <w:snapToGrid w:val="0"/>
                <w:sz w:val="19"/>
              </w:rPr>
              <w:t>28 of 2006</w:t>
            </w:r>
          </w:p>
        </w:tc>
        <w:tc>
          <w:tcPr>
            <w:tcW w:w="1133" w:type="dxa"/>
            <w:gridSpan w:val="7"/>
          </w:tcPr>
          <w:p>
            <w:pPr>
              <w:pStyle w:val="nTable"/>
              <w:spacing w:after="40"/>
              <w:rPr>
                <w:sz w:val="19"/>
              </w:rPr>
            </w:pPr>
            <w:r>
              <w:rPr>
                <w:sz w:val="19"/>
              </w:rPr>
              <w:t>26 Jun 2006</w:t>
            </w:r>
          </w:p>
        </w:tc>
        <w:tc>
          <w:tcPr>
            <w:tcW w:w="2551" w:type="dxa"/>
            <w:gridSpan w:val="9"/>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Before w:val="1"/>
          <w:wBefore w:w="14" w:type="dxa"/>
          <w:cantSplit/>
        </w:trPr>
        <w:tc>
          <w:tcPr>
            <w:tcW w:w="7087" w:type="dxa"/>
            <w:gridSpan w:val="34"/>
            <w:tcBorders>
              <w:bottom w:val="single" w:sz="8" w:space="0" w:color="auto"/>
            </w:tcBorders>
          </w:tcPr>
          <w:p>
            <w:pPr>
              <w:pStyle w:val="nTable"/>
              <w:spacing w:after="40"/>
              <w:rPr>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23" w:name="_Toc389745225"/>
      <w:bookmarkStart w:id="124" w:name="_Toc389745249"/>
      <w:r>
        <w:rPr>
          <w:snapToGrid w:val="0"/>
        </w:rPr>
        <w:t>Provisions that have not come into operation</w:t>
      </w:r>
      <w:bookmarkEnd w:id="123"/>
      <w:bookmarkEnd w:id="124"/>
    </w:p>
    <w:tbl>
      <w:tblPr>
        <w:tblW w:w="7080" w:type="dxa"/>
        <w:tblInd w:w="17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80"/>
        <w:gridCol w:w="1080"/>
        <w:gridCol w:w="1200"/>
        <w:gridCol w:w="2511"/>
        <w:gridCol w:w="9"/>
      </w:tblGrid>
      <w:tr>
        <w:trPr>
          <w:gridAfter w:val="1"/>
          <w:wAfter w:w="9" w:type="dxa"/>
        </w:trPr>
        <w:tc>
          <w:tcPr>
            <w:tcW w:w="2280" w:type="dxa"/>
            <w:tcBorders>
              <w:top w:val="single" w:sz="8" w:space="0" w:color="auto"/>
              <w:bottom w:val="single" w:sz="8" w:space="0" w:color="auto"/>
            </w:tcBorders>
          </w:tcPr>
          <w:p>
            <w:pPr>
              <w:pStyle w:val="nTable"/>
              <w:spacing w:after="40"/>
              <w:rPr>
                <w:b/>
                <w:snapToGrid w:val="0"/>
                <w:sz w:val="19"/>
              </w:rPr>
            </w:pPr>
            <w:r>
              <w:rPr>
                <w:b/>
                <w:snapToGrid w:val="0"/>
                <w:sz w:val="19"/>
              </w:rPr>
              <w:t>Short title</w:t>
            </w:r>
          </w:p>
        </w:tc>
        <w:tc>
          <w:tcPr>
            <w:tcW w:w="1080" w:type="dxa"/>
            <w:tcBorders>
              <w:top w:val="single" w:sz="8" w:space="0" w:color="auto"/>
              <w:bottom w:val="single" w:sz="8" w:space="0" w:color="auto"/>
            </w:tcBorders>
          </w:tcPr>
          <w:p>
            <w:pPr>
              <w:pStyle w:val="nTable"/>
              <w:spacing w:after="40"/>
              <w:rPr>
                <w:b/>
                <w:snapToGrid w:val="0"/>
                <w:sz w:val="19"/>
              </w:rPr>
            </w:pPr>
            <w:r>
              <w:rPr>
                <w:b/>
                <w:snapToGrid w:val="0"/>
                <w:sz w:val="19"/>
              </w:rPr>
              <w:t>Number and year</w:t>
            </w:r>
          </w:p>
        </w:tc>
        <w:tc>
          <w:tcPr>
            <w:tcW w:w="1200" w:type="dxa"/>
            <w:tcBorders>
              <w:top w:val="single" w:sz="8" w:space="0" w:color="auto"/>
              <w:bottom w:val="single" w:sz="8" w:space="0" w:color="auto"/>
            </w:tcBorders>
          </w:tcPr>
          <w:p>
            <w:pPr>
              <w:pStyle w:val="nTable"/>
              <w:spacing w:after="40"/>
              <w:rPr>
                <w:b/>
                <w:snapToGrid w:val="0"/>
                <w:sz w:val="19"/>
              </w:rPr>
            </w:pPr>
            <w:r>
              <w:rPr>
                <w:b/>
                <w:snapToGrid w:val="0"/>
                <w:sz w:val="19"/>
              </w:rPr>
              <w:t>Assent</w:t>
            </w:r>
          </w:p>
        </w:tc>
        <w:tc>
          <w:tcPr>
            <w:tcW w:w="2511" w:type="dxa"/>
            <w:tcBorders>
              <w:top w:val="single" w:sz="8" w:space="0" w:color="auto"/>
              <w:bottom w:val="single" w:sz="8" w:space="0" w:color="auto"/>
            </w:tcBorders>
          </w:tcPr>
          <w:p>
            <w:pPr>
              <w:pStyle w:val="nTable"/>
              <w:spacing w:after="40"/>
              <w:rPr>
                <w:b/>
                <w:snapToGrid w:val="0"/>
                <w:sz w:val="19"/>
              </w:rPr>
            </w:pPr>
            <w:r>
              <w:rPr>
                <w:b/>
                <w:snapToGrid w:val="0"/>
                <w:sz w:val="19"/>
              </w:rPr>
              <w:t>Commencement</w:t>
            </w:r>
          </w:p>
        </w:tc>
      </w:tr>
      <w:tr>
        <w:trPr>
          <w:gridAfter w:val="1"/>
          <w:wAfter w:w="9" w:type="dxa"/>
        </w:trPr>
        <w:tc>
          <w:tcPr>
            <w:tcW w:w="2280" w:type="dxa"/>
            <w:tcBorders>
              <w:top w:val="single" w:sz="8" w:space="0" w:color="auto"/>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142</w:t>
            </w:r>
            <w:r>
              <w:rPr>
                <w:snapToGrid w:val="0"/>
                <w:sz w:val="19"/>
                <w:vertAlign w:val="superscript"/>
              </w:rPr>
              <w:t> 6</w:t>
            </w:r>
          </w:p>
        </w:tc>
        <w:tc>
          <w:tcPr>
            <w:tcW w:w="1080" w:type="dxa"/>
            <w:tcBorders>
              <w:top w:val="single" w:sz="8" w:space="0" w:color="auto"/>
              <w:bottom w:val="nil"/>
            </w:tcBorders>
          </w:tcPr>
          <w:p>
            <w:pPr>
              <w:pStyle w:val="nTable"/>
              <w:spacing w:after="40"/>
              <w:rPr>
                <w:snapToGrid w:val="0"/>
                <w:sz w:val="19"/>
              </w:rPr>
            </w:pPr>
            <w:r>
              <w:rPr>
                <w:snapToGrid w:val="0"/>
                <w:sz w:val="19"/>
              </w:rPr>
              <w:t>59 of 2004</w:t>
            </w:r>
          </w:p>
        </w:tc>
        <w:tc>
          <w:tcPr>
            <w:tcW w:w="1200" w:type="dxa"/>
            <w:tcBorders>
              <w:top w:val="single" w:sz="8" w:space="0" w:color="auto"/>
              <w:bottom w:val="nil"/>
            </w:tcBorders>
          </w:tcPr>
          <w:p>
            <w:pPr>
              <w:pStyle w:val="nTable"/>
              <w:spacing w:after="40"/>
              <w:rPr>
                <w:sz w:val="19"/>
              </w:rPr>
            </w:pPr>
            <w:r>
              <w:rPr>
                <w:sz w:val="19"/>
              </w:rPr>
              <w:t>23 Nov 2004</w:t>
            </w:r>
          </w:p>
        </w:tc>
        <w:tc>
          <w:tcPr>
            <w:tcW w:w="2511" w:type="dxa"/>
            <w:tcBorders>
              <w:top w:val="single" w:sz="8" w:space="0" w:color="auto"/>
              <w:bottom w:val="nil"/>
            </w:tcBorders>
          </w:tcPr>
          <w:p>
            <w:pPr>
              <w:pStyle w:val="nTable"/>
              <w:spacing w:after="40"/>
              <w:rPr>
                <w:snapToGrid w:val="0"/>
                <w:sz w:val="19"/>
              </w:rPr>
            </w:pPr>
            <w:r>
              <w:rPr>
                <w:snapToGrid w:val="0"/>
                <w:sz w:val="19"/>
              </w:rPr>
              <w:t>To be proclaimed (see s. 2)</w:t>
            </w:r>
          </w:p>
        </w:tc>
      </w:tr>
      <w:tr>
        <w:tblPrEx>
          <w:tblBorders>
            <w:top w:val="none" w:sz="0" w:space="0" w:color="auto"/>
            <w:bottom w:val="none" w:sz="0" w:space="0" w:color="auto"/>
            <w:insideH w:val="none" w:sz="0" w:space="0" w:color="auto"/>
          </w:tblBorders>
        </w:tblPrEx>
        <w:tc>
          <w:tcPr>
            <w:tcW w:w="2280" w:type="dxa"/>
          </w:tcPr>
          <w:p>
            <w:pPr>
              <w:pStyle w:val="nTable"/>
              <w:spacing w:after="40"/>
              <w:rPr>
                <w:i/>
                <w:noProof/>
                <w:snapToGrid w:val="0"/>
                <w:sz w:val="19"/>
                <w:vertAlign w:val="superscript"/>
              </w:rPr>
            </w:pPr>
            <w:r>
              <w:rPr>
                <w:i/>
                <w:iCs/>
                <w:snapToGrid w:val="0"/>
                <w:sz w:val="19"/>
              </w:rPr>
              <w:t>Nurses and Midwives Act 2006</w:t>
            </w:r>
            <w:r>
              <w:rPr>
                <w:snapToGrid w:val="0"/>
                <w:sz w:val="19"/>
              </w:rPr>
              <w:t xml:space="preserve"> s. 114 </w:t>
            </w:r>
            <w:r>
              <w:rPr>
                <w:snapToGrid w:val="0"/>
                <w:sz w:val="19"/>
                <w:vertAlign w:val="superscript"/>
              </w:rPr>
              <w:t>8</w:t>
            </w:r>
          </w:p>
        </w:tc>
        <w:tc>
          <w:tcPr>
            <w:tcW w:w="1080" w:type="dxa"/>
          </w:tcPr>
          <w:p>
            <w:pPr>
              <w:pStyle w:val="nTable"/>
              <w:spacing w:after="40"/>
              <w:rPr>
                <w:sz w:val="19"/>
              </w:rPr>
            </w:pPr>
            <w:r>
              <w:rPr>
                <w:snapToGrid w:val="0"/>
                <w:sz w:val="19"/>
              </w:rPr>
              <w:t>50 of 2006</w:t>
            </w:r>
          </w:p>
        </w:tc>
        <w:tc>
          <w:tcPr>
            <w:tcW w:w="1200" w:type="dxa"/>
          </w:tcPr>
          <w:p>
            <w:pPr>
              <w:pStyle w:val="nTable"/>
              <w:spacing w:after="40"/>
              <w:rPr>
                <w:sz w:val="19"/>
              </w:rPr>
            </w:pPr>
            <w:r>
              <w:rPr>
                <w:snapToGrid w:val="0"/>
                <w:sz w:val="19"/>
              </w:rPr>
              <w:t>6 Oct 2006</w:t>
            </w:r>
          </w:p>
        </w:tc>
        <w:tc>
          <w:tcPr>
            <w:tcW w:w="2520" w:type="dxa"/>
            <w:gridSpan w:val="2"/>
          </w:tcPr>
          <w:p>
            <w:pPr>
              <w:pStyle w:val="nTable"/>
              <w:spacing w:after="40"/>
              <w:rPr>
                <w:sz w:val="19"/>
              </w:rPr>
            </w:pPr>
            <w:r>
              <w:rPr>
                <w:snapToGrid w:val="0"/>
                <w:sz w:val="19"/>
              </w:rPr>
              <w:t>To be proclaimed (see s. 2)</w:t>
            </w:r>
          </w:p>
        </w:tc>
      </w:tr>
      <w:tr>
        <w:tblPrEx>
          <w:tblBorders>
            <w:top w:val="none" w:sz="0" w:space="0" w:color="auto"/>
            <w:bottom w:val="none" w:sz="0" w:space="0" w:color="auto"/>
            <w:insideH w:val="none" w:sz="0" w:space="0" w:color="auto"/>
          </w:tblBorders>
        </w:tblPrEx>
        <w:trPr>
          <w:ins w:id="125" w:author="svcMRProcess" w:date="2018-09-07T03:19:00Z"/>
        </w:trPr>
        <w:tc>
          <w:tcPr>
            <w:tcW w:w="2280" w:type="dxa"/>
            <w:tcBorders>
              <w:bottom w:val="single" w:sz="4" w:space="0" w:color="auto"/>
            </w:tcBorders>
          </w:tcPr>
          <w:p>
            <w:pPr>
              <w:pStyle w:val="nTable"/>
              <w:spacing w:after="40"/>
              <w:rPr>
                <w:ins w:id="126" w:author="svcMRProcess" w:date="2018-09-07T03:19:00Z"/>
                <w:i/>
                <w:iCs/>
                <w:snapToGrid w:val="0"/>
                <w:sz w:val="19"/>
              </w:rPr>
            </w:pPr>
            <w:ins w:id="127" w:author="svcMRProcess" w:date="2018-09-07T03:19:00Z">
              <w:r>
                <w:rPr>
                  <w:i/>
                  <w:iCs/>
                  <w:snapToGrid w:val="0"/>
                  <w:sz w:val="19"/>
                </w:rPr>
                <w:t>Criminal Investigation (Consequential Provisions) Act 2006</w:t>
              </w:r>
              <w:r>
                <w:rPr>
                  <w:snapToGrid w:val="0"/>
                  <w:sz w:val="19"/>
                </w:rPr>
                <w:t xml:space="preserve"> s. 73</w:t>
              </w:r>
              <w:r>
                <w:rPr>
                  <w:snapToGrid w:val="0"/>
                  <w:sz w:val="19"/>
                  <w:vertAlign w:val="superscript"/>
                </w:rPr>
                <w:t> 9</w:t>
              </w:r>
            </w:ins>
          </w:p>
        </w:tc>
        <w:tc>
          <w:tcPr>
            <w:tcW w:w="1080" w:type="dxa"/>
            <w:tcBorders>
              <w:bottom w:val="single" w:sz="4" w:space="0" w:color="auto"/>
            </w:tcBorders>
          </w:tcPr>
          <w:p>
            <w:pPr>
              <w:pStyle w:val="nTable"/>
              <w:spacing w:after="40"/>
              <w:rPr>
                <w:ins w:id="128" w:author="svcMRProcess" w:date="2018-09-07T03:19:00Z"/>
                <w:snapToGrid w:val="0"/>
                <w:sz w:val="19"/>
              </w:rPr>
            </w:pPr>
            <w:ins w:id="129" w:author="svcMRProcess" w:date="2018-09-07T03:19:00Z">
              <w:r>
                <w:rPr>
                  <w:snapToGrid w:val="0"/>
                  <w:sz w:val="19"/>
                </w:rPr>
                <w:t>59 of 2006</w:t>
              </w:r>
            </w:ins>
          </w:p>
        </w:tc>
        <w:tc>
          <w:tcPr>
            <w:tcW w:w="1200" w:type="dxa"/>
            <w:tcBorders>
              <w:bottom w:val="single" w:sz="4" w:space="0" w:color="auto"/>
            </w:tcBorders>
          </w:tcPr>
          <w:p>
            <w:pPr>
              <w:pStyle w:val="nTable"/>
              <w:spacing w:after="40"/>
              <w:rPr>
                <w:ins w:id="130" w:author="svcMRProcess" w:date="2018-09-07T03:19:00Z"/>
                <w:snapToGrid w:val="0"/>
                <w:sz w:val="19"/>
              </w:rPr>
            </w:pPr>
            <w:ins w:id="131" w:author="svcMRProcess" w:date="2018-09-07T03:19:00Z">
              <w:r>
                <w:rPr>
                  <w:snapToGrid w:val="0"/>
                  <w:sz w:val="19"/>
                </w:rPr>
                <w:t>16 Nov 2006</w:t>
              </w:r>
            </w:ins>
          </w:p>
        </w:tc>
        <w:tc>
          <w:tcPr>
            <w:tcW w:w="2520" w:type="dxa"/>
            <w:gridSpan w:val="2"/>
            <w:tcBorders>
              <w:bottom w:val="single" w:sz="4" w:space="0" w:color="auto"/>
            </w:tcBorders>
          </w:tcPr>
          <w:p>
            <w:pPr>
              <w:pStyle w:val="nTable"/>
              <w:spacing w:after="40"/>
              <w:rPr>
                <w:ins w:id="132" w:author="svcMRProcess" w:date="2018-09-07T03:19:00Z"/>
                <w:snapToGrid w:val="0"/>
                <w:sz w:val="19"/>
              </w:rPr>
            </w:pPr>
            <w:ins w:id="133" w:author="svcMRProcess" w:date="2018-09-07T03:19:00Z">
              <w:r>
                <w:rPr>
                  <w:snapToGrid w:val="0"/>
                  <w:sz w:val="19"/>
                </w:rPr>
                <w:t>To be proclaimed (see s. 2)</w:t>
              </w:r>
            </w:ins>
          </w:p>
        </w:tc>
      </w:tr>
    </w:tbl>
    <w:p>
      <w:pPr>
        <w:pStyle w:val="nSubsection"/>
        <w:keepLines/>
        <w:spacing w:before="160"/>
        <w:rPr>
          <w:vertAlign w:val="superscript"/>
        </w:rPr>
      </w:pPr>
    </w:p>
    <w:p>
      <w:pPr>
        <w:pStyle w:val="nSubsection"/>
        <w:keepLines/>
        <w:spacing w:before="160"/>
      </w:pPr>
      <w:r>
        <w:rPr>
          <w:vertAlign w:val="superscript"/>
        </w:rPr>
        <w:t>2</w:t>
      </w:r>
      <w:r>
        <w:rPr>
          <w:vertAlign w:val="superscript"/>
        </w:rPr>
        <w:tab/>
      </w:r>
      <w:r>
        <w:t xml:space="preserve">Under the </w:t>
      </w:r>
      <w:r>
        <w:rPr>
          <w:i/>
        </w:rPr>
        <w:t>Alteration of Statutory Designations Order 2006</w:t>
      </w:r>
      <w:r>
        <w:t>, a reference to the department of the Public Service with the designation “Department of Agriculture” is, unless the contrary intention appears or the context of the reference otherwise requires, to be read and construed as a reference to the department of the Public Service with the designation “Department of Agriculture and Food”.  At the time of this compilation the Minister is known as the Minister for Agriculture and Food.</w:t>
      </w:r>
    </w:p>
    <w:p>
      <w:pPr>
        <w:pStyle w:val="nSubsection"/>
        <w:keepLines/>
        <w:spacing w:before="120"/>
        <w:rPr>
          <w:snapToGrid w:val="0"/>
          <w:vertAlign w:val="superscript"/>
        </w:rPr>
      </w:pPr>
      <w:r>
        <w:rPr>
          <w:vertAlign w:val="superscript"/>
        </w:rPr>
        <w:t>3</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4</w:t>
      </w:r>
      <w:r>
        <w:tab/>
        <w:t>The</w:t>
      </w:r>
      <w:r>
        <w:rPr>
          <w:i/>
          <w:snapToGrid w:val="0"/>
          <w:sz w:val="19"/>
        </w:rPr>
        <w:t xml:space="preserve"> Machinery of Government (Miscellaneous Amendments) Act 2006</w:t>
      </w:r>
      <w:r>
        <w:rPr>
          <w:snapToGrid w:val="0"/>
          <w:sz w:val="19"/>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 xml:space="preserve">In this section — </w:t>
      </w:r>
    </w:p>
    <w:p>
      <w:pPr>
        <w:pStyle w:val="nzDefstart"/>
      </w:pPr>
      <w:r>
        <w:rPr>
          <w:b/>
        </w:rPr>
        <w:tab/>
        <w:t>“CEO”</w:t>
      </w:r>
      <w:r>
        <w:t xml:space="preserve"> has the meaning given by section 3 of the </w:t>
      </w:r>
      <w:r>
        <w:rPr>
          <w:i/>
        </w:rPr>
        <w:t>Health Legislation Administration Act 1984</w:t>
      </w:r>
      <w:r>
        <w:t xml:space="preserve"> as in force after commencement;</w:t>
      </w:r>
    </w:p>
    <w:p>
      <w:pPr>
        <w:pStyle w:val="nzDefstart"/>
      </w:pPr>
      <w:r>
        <w:tab/>
      </w:r>
      <w:r>
        <w:rPr>
          <w:b/>
        </w:rPr>
        <w:t>“commencement”</w:t>
      </w:r>
      <w:r>
        <w:t xml:space="preserve"> means the time at which this Division comes into operation;</w:t>
      </w:r>
    </w:p>
    <w:p>
      <w:pPr>
        <w:pStyle w:val="nzDefstart"/>
      </w:pPr>
      <w:r>
        <w:rPr>
          <w:b/>
        </w:rPr>
        <w:tab/>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pPr>
      <w:r>
        <w:rPr>
          <w:snapToGrid w:val="0"/>
          <w:vertAlign w:val="superscript"/>
        </w:rPr>
        <w:t>5</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nSubsection"/>
        <w:keepNext/>
        <w:rPr>
          <w:snapToGrid w:val="0"/>
        </w:rPr>
      </w:pPr>
      <w:r>
        <w:rPr>
          <w:snapToGrid w:val="0"/>
          <w:vertAlign w:val="superscript"/>
        </w:rPr>
        <w:t>6</w:t>
      </w:r>
      <w:r>
        <w:rPr>
          <w:snapToGrid w:val="0"/>
        </w:rPr>
        <w:tab/>
        <w:t xml:space="preserve">On the date as at which this compilation was prepared, the </w:t>
      </w:r>
      <w:r>
        <w:rPr>
          <w:i/>
          <w:snapToGrid w:val="0"/>
        </w:rPr>
        <w:t>Courts Legislation Amendment and Repeal Act 2004</w:t>
      </w:r>
      <w:r>
        <w:rPr>
          <w:snapToGrid w:val="0"/>
        </w:rPr>
        <w:t xml:space="preserve"> s. 142, which gives effect</w:t>
      </w:r>
      <w:r>
        <w:rPr>
          <w:snapToGrid w:val="0"/>
          <w:sz w:val="19"/>
        </w:rPr>
        <w:t xml:space="preserve"> </w:t>
      </w:r>
      <w:r>
        <w:rPr>
          <w:snapToGrid w:val="0"/>
        </w:rPr>
        <w:t>to Sch. 2,</w:t>
      </w:r>
      <w:r>
        <w:rPr>
          <w:snapToGrid w:val="0"/>
          <w:sz w:val="19"/>
        </w:rPr>
        <w:t xml:space="preserve"> </w:t>
      </w:r>
      <w:r>
        <w:rPr>
          <w:snapToGrid w:val="0"/>
        </w:rPr>
        <w:t>had not come into operation.  It reads as follows:</w:t>
      </w:r>
    </w:p>
    <w:p>
      <w:pPr>
        <w:pStyle w:val="MiscOpen"/>
        <w:rPr>
          <w:snapToGrid w:val="0"/>
        </w:rPr>
      </w:pPr>
      <w:r>
        <w:rPr>
          <w:snapToGrid w:val="0"/>
        </w:rPr>
        <w:t>“</w:t>
      </w:r>
    </w:p>
    <w:p>
      <w:pPr>
        <w:pStyle w:val="nzHeading5"/>
      </w:pPr>
      <w:r>
        <w:rPr>
          <w:rStyle w:val="CharSectno"/>
        </w:rPr>
        <w:t>142</w:t>
      </w:r>
      <w:r>
        <w:t>.</w:t>
      </w:r>
      <w:r>
        <w:tab/>
        <w:t xml:space="preserve">Other amendments to various Acts </w:t>
      </w:r>
    </w:p>
    <w:p>
      <w:pPr>
        <w:pStyle w:val="nzSubsection"/>
      </w:pPr>
      <w:r>
        <w:tab/>
      </w:r>
      <w:r>
        <w:tab/>
        <w:t>Each Act listed in Schedule 2 is amended as set out in that Schedule immediately below the short title of the Act.</w:t>
      </w:r>
    </w:p>
    <w:p>
      <w:pPr>
        <w:pStyle w:val="MiscClose"/>
        <w:rPr>
          <w:snapToGrid w:val="0"/>
        </w:rPr>
      </w:pPr>
      <w:r>
        <w:rPr>
          <w:snapToGrid w:val="0"/>
        </w:rPr>
        <w:t>”.</w:t>
      </w:r>
    </w:p>
    <w:p>
      <w:pPr>
        <w:pStyle w:val="nSubsection"/>
        <w:keepNext/>
        <w:rPr>
          <w:snapToGrid w:val="0"/>
        </w:rPr>
      </w:pPr>
      <w:r>
        <w:rPr>
          <w:snapToGrid w:val="0"/>
        </w:rPr>
        <w:tab/>
        <w:t>Schedule 2 cl. 40 reads as follows:</w:t>
      </w:r>
    </w:p>
    <w:p>
      <w:pPr>
        <w:pStyle w:val="MiscOpen"/>
        <w:rPr>
          <w:snapToGrid w:val="0"/>
        </w:rPr>
      </w:pPr>
      <w:r>
        <w:rPr>
          <w:snapToGrid w:val="0"/>
        </w:rPr>
        <w:t>“</w:t>
      </w:r>
    </w:p>
    <w:p>
      <w:pPr>
        <w:pStyle w:val="nzHeading2"/>
        <w:spacing w:before="0" w:after="120"/>
        <w:rPr>
          <w:rStyle w:val="CharSchText"/>
        </w:rPr>
      </w:pPr>
      <w:r>
        <w:rPr>
          <w:rStyle w:val="CharSchNo"/>
        </w:rPr>
        <w:t>Schedule 2</w:t>
      </w:r>
      <w:r>
        <w:t xml:space="preserve"> — </w:t>
      </w:r>
      <w:r>
        <w:rPr>
          <w:rStyle w:val="CharSchText"/>
        </w:rPr>
        <w:t>Other amendments to Acts</w:t>
      </w:r>
    </w:p>
    <w:p>
      <w:pPr>
        <w:pStyle w:val="nzHeading5"/>
        <w:spacing w:after="60"/>
      </w:pPr>
      <w:r>
        <w:t>40.</w:t>
      </w:r>
      <w:r>
        <w:tab/>
      </w:r>
      <w:r>
        <w:rPr>
          <w:i/>
        </w:rPr>
        <w:t>Poisons Act 1964</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4560"/>
      </w:tblGrid>
      <w:tr>
        <w:trPr>
          <w:cantSplit/>
        </w:trPr>
        <w:tc>
          <w:tcPr>
            <w:tcW w:w="1200" w:type="dxa"/>
          </w:tcPr>
          <w:p>
            <w:pPr>
              <w:pStyle w:val="nzTable"/>
              <w:rPr>
                <w:vertAlign w:val="superscript"/>
              </w:rPr>
            </w:pPr>
            <w:r>
              <w:t>s. 29(1)</w:t>
            </w:r>
            <w:r>
              <w:rPr>
                <w:vertAlign w:val="superscript"/>
              </w:rPr>
              <w:t> 7</w:t>
            </w:r>
          </w:p>
        </w:tc>
        <w:tc>
          <w:tcPr>
            <w:tcW w:w="4560" w:type="dxa"/>
          </w:tcPr>
          <w:p>
            <w:pPr>
              <w:pStyle w:val="nzTable"/>
            </w:pPr>
            <w:r>
              <w:t xml:space="preserve">Delete “a stipendiary magistrate sitting as a court of summary jurisdiction.” and insert instead — </w:t>
            </w:r>
          </w:p>
          <w:p>
            <w:pPr>
              <w:pStyle w:val="nzTable"/>
            </w:pPr>
            <w:r>
              <w:t>“    the Magistrates Court.    ”.</w:t>
            </w:r>
          </w:p>
        </w:tc>
      </w:tr>
      <w:tr>
        <w:trPr>
          <w:cantSplit/>
        </w:trPr>
        <w:tc>
          <w:tcPr>
            <w:tcW w:w="1200" w:type="dxa"/>
          </w:tcPr>
          <w:p>
            <w:pPr>
              <w:pStyle w:val="nzTable"/>
              <w:rPr>
                <w:vertAlign w:val="superscript"/>
              </w:rPr>
            </w:pPr>
            <w:r>
              <w:t>s. 29(2)</w:t>
            </w:r>
            <w:r>
              <w:rPr>
                <w:vertAlign w:val="superscript"/>
              </w:rPr>
              <w:t> 7</w:t>
            </w:r>
          </w:p>
        </w:tc>
        <w:tc>
          <w:tcPr>
            <w:tcW w:w="4560" w:type="dxa"/>
          </w:tcPr>
          <w:p>
            <w:pPr>
              <w:pStyle w:val="nzTable"/>
            </w:pPr>
            <w:r>
              <w:t xml:space="preserve">Repeal the subsection and insert instead — </w:t>
            </w:r>
          </w:p>
          <w:p>
            <w:pPr>
              <w:pStyle w:val="nzTable"/>
            </w:pPr>
            <w:r>
              <w:t>“</w:t>
            </w:r>
          </w:p>
          <w:p>
            <w:pPr>
              <w:pStyle w:val="nzTable"/>
              <w:tabs>
                <w:tab w:val="left" w:pos="492"/>
                <w:tab w:val="left" w:pos="972"/>
              </w:tabs>
              <w:ind w:left="972" w:hanging="972"/>
            </w:pPr>
            <w:r>
              <w:tab/>
              <w:t>(2)</w:t>
            </w:r>
            <w:r>
              <w:tab/>
              <w:t>The Magistrates Court, constituted by a magistrate, shall hear the appeal and shall inquire into and decide upon the appeal and may make such order in the matter as it may think just, and its decision shall be final and conclusive.</w:t>
            </w:r>
          </w:p>
          <w:p>
            <w:pPr>
              <w:pStyle w:val="nzTable"/>
              <w:jc w:val="right"/>
            </w:pPr>
            <w:r>
              <w:t>”.</w:t>
            </w:r>
          </w:p>
        </w:tc>
      </w:tr>
    </w:tbl>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The amendments to s. 29 in the </w:t>
      </w:r>
      <w:r>
        <w:rPr>
          <w:i/>
          <w:snapToGrid w:val="0"/>
        </w:rPr>
        <w:t>Courts Legislation Amendment and Repeal Act 2004</w:t>
      </w:r>
      <w:r>
        <w:rPr>
          <w:snapToGrid w:val="0"/>
        </w:rPr>
        <w:t xml:space="preserve"> s. 142 would conflict with amendments in the </w:t>
      </w:r>
      <w:r>
        <w:rPr>
          <w:i/>
          <w:snapToGrid w:val="0"/>
        </w:rPr>
        <w:t>State Administrative Tribunal (Conferral of Jurisdiction) Amendment and Repeal Act 2004</w:t>
      </w:r>
      <w:r>
        <w:rPr>
          <w:snapToGrid w:val="0"/>
        </w:rPr>
        <w:t xml:space="preserve"> Pt. 2 Div. 107.</w:t>
      </w:r>
    </w:p>
    <w:p>
      <w:pPr>
        <w:pStyle w:val="nSubsection"/>
        <w:rPr>
          <w:snapToGrid w:val="0"/>
        </w:rPr>
      </w:pPr>
      <w:r>
        <w:rPr>
          <w:snapToGrid w:val="0"/>
          <w:vertAlign w:val="superscript"/>
        </w:rPr>
        <w:t>8</w:t>
      </w:r>
      <w:r>
        <w:rPr>
          <w:snapToGrid w:val="0"/>
        </w:rPr>
        <w:tab/>
        <w:t xml:space="preserve">On the date as at which this compilation was prepared, the </w:t>
      </w:r>
      <w:r>
        <w:rPr>
          <w:i/>
          <w:iCs/>
          <w:snapToGrid w:val="0"/>
        </w:rPr>
        <w:t xml:space="preserve">Nurses and Midwives Act 2006 </w:t>
      </w:r>
      <w:r>
        <w:rPr>
          <w:snapToGrid w:val="0"/>
        </w:rPr>
        <w:t>s. 114</w:t>
      </w:r>
      <w:r>
        <w:rPr>
          <w:i/>
          <w:iCs/>
          <w:snapToGrid w:val="0"/>
        </w:rPr>
        <w:t xml:space="preserve"> </w:t>
      </w:r>
      <w:r>
        <w:rPr>
          <w:snapToGrid w:val="0"/>
        </w:rPr>
        <w:t>which gives effect to Sch. 3, had not come into operation.  It reads as follows:</w:t>
      </w:r>
    </w:p>
    <w:p>
      <w:pPr>
        <w:pStyle w:val="MiscOpen"/>
        <w:rPr>
          <w:snapToGrid w:val="0"/>
        </w:rPr>
      </w:pPr>
      <w:r>
        <w:rPr>
          <w:snapToGrid w:val="0"/>
        </w:rPr>
        <w:t>“</w:t>
      </w:r>
    </w:p>
    <w:p>
      <w:pPr>
        <w:pStyle w:val="nzHeading5"/>
        <w:rPr>
          <w:snapToGrid w:val="0"/>
        </w:rPr>
      </w:pPr>
      <w:r>
        <w:rPr>
          <w:rStyle w:val="CharSectno"/>
        </w:rPr>
        <w:t>114</w:t>
      </w:r>
      <w:r>
        <w:t>.</w:t>
      </w:r>
      <w:r>
        <w:tab/>
      </w:r>
      <w:r>
        <w:rPr>
          <w:snapToGrid w:val="0"/>
        </w:rPr>
        <w:t xml:space="preserve">Consequential amendments </w:t>
      </w:r>
    </w:p>
    <w:p>
      <w:pPr>
        <w:pStyle w:val="nzSubsection"/>
        <w:rPr>
          <w:snapToGrid w:val="0"/>
        </w:rPr>
      </w:pPr>
      <w:r>
        <w:rPr>
          <w:snapToGrid w:val="0"/>
        </w:rPr>
        <w:tab/>
      </w:r>
      <w:r>
        <w:rPr>
          <w:snapToGrid w:val="0"/>
        </w:rPr>
        <w:tab/>
        <w:t>Schedule 3 sets out consequential amendments.</w:t>
      </w:r>
    </w:p>
    <w:p>
      <w:pPr>
        <w:pStyle w:val="MiscClose"/>
        <w:rPr>
          <w:snapToGrid w:val="0"/>
        </w:rPr>
      </w:pPr>
      <w:r>
        <w:rPr>
          <w:snapToGrid w:val="0"/>
        </w:rPr>
        <w:t>”.</w:t>
      </w:r>
    </w:p>
    <w:p>
      <w:pPr>
        <w:pStyle w:val="nSubsection"/>
        <w:rPr>
          <w:snapToGrid w:val="0"/>
        </w:rPr>
      </w:pPr>
      <w:r>
        <w:rPr>
          <w:snapToGrid w:val="0"/>
        </w:rPr>
        <w:tab/>
        <w:t>Schedule 3 cl. 17 reads as follows:</w:t>
      </w:r>
    </w:p>
    <w:p>
      <w:pPr>
        <w:pStyle w:val="nSubsection"/>
        <w:rPr>
          <w:snapToGrid w:val="0"/>
        </w:rPr>
      </w:pPr>
      <w:r>
        <w:rPr>
          <w:snapToGrid w:val="0"/>
        </w:rPr>
        <w:t>“</w:t>
      </w:r>
    </w:p>
    <w:p>
      <w:pPr>
        <w:pStyle w:val="nzHeading2"/>
      </w:pPr>
      <w:r>
        <w:rPr>
          <w:rStyle w:val="CharSchNo"/>
        </w:rPr>
        <w:t>Schedule 3</w:t>
      </w:r>
      <w:r>
        <w:rPr>
          <w:rStyle w:val="CharSDivNo"/>
        </w:rPr>
        <w:t> </w:t>
      </w:r>
      <w:r>
        <w:t>—</w:t>
      </w:r>
      <w:r>
        <w:rPr>
          <w:rStyle w:val="CharSDivText"/>
        </w:rPr>
        <w:t> </w:t>
      </w:r>
      <w:r>
        <w:rPr>
          <w:rStyle w:val="CharSchText"/>
        </w:rPr>
        <w:t>Consequential amendments</w:t>
      </w:r>
    </w:p>
    <w:p>
      <w:pPr>
        <w:pStyle w:val="nzMiscellaneousBody"/>
        <w:jc w:val="right"/>
      </w:pPr>
      <w:r>
        <w:t>[s. 114]</w:t>
      </w:r>
    </w:p>
    <w:p>
      <w:pPr>
        <w:pStyle w:val="nzHeading5"/>
      </w:pPr>
      <w:r>
        <w:rPr>
          <w:rStyle w:val="CharSClsNo"/>
        </w:rPr>
        <w:t>17</w:t>
      </w:r>
      <w:r>
        <w:t>.</w:t>
      </w:r>
      <w:r>
        <w:tab/>
      </w:r>
      <w:r>
        <w:rPr>
          <w:i/>
          <w:iCs/>
        </w:rPr>
        <w:t>Poisons Act 1964</w:t>
      </w:r>
      <w:r>
        <w:t xml:space="preserve"> amended</w:t>
      </w:r>
    </w:p>
    <w:p>
      <w:pPr>
        <w:pStyle w:val="nzSubsection"/>
      </w:pPr>
      <w:r>
        <w:tab/>
        <w:t>(1)</w:t>
      </w:r>
      <w:r>
        <w:tab/>
        <w:t xml:space="preserve">The amendments in this clause are to the </w:t>
      </w:r>
      <w:r>
        <w:rPr>
          <w:i/>
          <w:iCs/>
        </w:rPr>
        <w:t>Poisons Act 1964</w:t>
      </w:r>
      <w:r>
        <w:t xml:space="preserve">. </w:t>
      </w:r>
    </w:p>
    <w:p>
      <w:pPr>
        <w:pStyle w:val="nzSubsection"/>
      </w:pPr>
      <w:r>
        <w:tab/>
        <w:t>(2)</w:t>
      </w:r>
      <w:r>
        <w:tab/>
        <w:t xml:space="preserve">Section 5(1) is amended in the definition of “nurse practitioner” by deleting “the </w:t>
      </w:r>
      <w:r>
        <w:rPr>
          <w:i/>
          <w:iCs/>
        </w:rPr>
        <w:t>Nurses Act 1992</w:t>
      </w:r>
      <w:r>
        <w:t>;” and inserting instead —</w:t>
      </w:r>
    </w:p>
    <w:p>
      <w:pPr>
        <w:pStyle w:val="nzSubsection"/>
      </w:pPr>
      <w:r>
        <w:tab/>
      </w:r>
      <w:r>
        <w:tab/>
        <w:t xml:space="preserve">“    </w:t>
      </w:r>
      <w:r>
        <w:rPr>
          <w:sz w:val="24"/>
        </w:rPr>
        <w:t>section 3 of the</w:t>
      </w:r>
      <w:r>
        <w:t xml:space="preserve"> </w:t>
      </w:r>
      <w:r>
        <w:rPr>
          <w:i/>
          <w:sz w:val="24"/>
        </w:rPr>
        <w:t>Nurses and Midwives Act 2006</w:t>
      </w:r>
      <w:r>
        <w:rPr>
          <w:iCs/>
          <w:sz w:val="24"/>
        </w:rPr>
        <w:t>;</w:t>
      </w:r>
      <w:r>
        <w:t xml:space="preserve">    ”.</w:t>
      </w:r>
    </w:p>
    <w:p>
      <w:pPr>
        <w:pStyle w:val="nzSubsection"/>
      </w:pPr>
      <w:r>
        <w:tab/>
        <w:t>(3)</w:t>
      </w:r>
      <w:r>
        <w:tab/>
        <w:t xml:space="preserve">Section 61(b)(ia) is amended by deleting “Nurses Board of Western Australia constituted under the </w:t>
      </w:r>
      <w:r>
        <w:rPr>
          <w:i/>
          <w:iCs/>
        </w:rPr>
        <w:t>Nurses Act 1992</w:t>
      </w:r>
      <w:r>
        <w:t xml:space="preserve">;” and inserting instead — </w:t>
      </w:r>
    </w:p>
    <w:p>
      <w:pPr>
        <w:pStyle w:val="MiscOpen"/>
        <w:tabs>
          <w:tab w:val="clear" w:pos="893"/>
        </w:tabs>
        <w:ind w:left="879" w:firstLine="1673"/>
        <w:rPr>
          <w:sz w:val="22"/>
        </w:rPr>
      </w:pPr>
      <w:r>
        <w:rPr>
          <w:sz w:val="22"/>
        </w:rPr>
        <w:t xml:space="preserve">“    </w:t>
      </w:r>
    </w:p>
    <w:p>
      <w:pPr>
        <w:pStyle w:val="nzIndenti"/>
      </w:pPr>
      <w:r>
        <w:tab/>
      </w:r>
      <w:r>
        <w:tab/>
        <w:t xml:space="preserve">Nurses and Midwives Board of Western Australia established under the </w:t>
      </w:r>
      <w:r>
        <w:rPr>
          <w:i/>
        </w:rPr>
        <w:t>Nurses and Midwives Act 2006</w:t>
      </w:r>
      <w:r>
        <w:rPr>
          <w:iCs/>
        </w:rPr>
        <w:t>;</w:t>
      </w:r>
    </w:p>
    <w:p>
      <w:pPr>
        <w:pStyle w:val="MiscClose"/>
        <w:ind w:right="376"/>
        <w:rPr>
          <w:sz w:val="22"/>
        </w:rPr>
      </w:pPr>
      <w:r>
        <w:rPr>
          <w:sz w:val="22"/>
        </w:rPr>
        <w:t xml:space="preserve">    ”.</w:t>
      </w:r>
    </w:p>
    <w:p>
      <w:pPr>
        <w:pStyle w:val="MiscClose"/>
        <w:rPr>
          <w:sz w:val="22"/>
        </w:rPr>
      </w:pPr>
      <w:r>
        <w:rPr>
          <w:sz w:val="22"/>
        </w:rPr>
        <w:t xml:space="preserve">    ”.</w:t>
      </w:r>
    </w:p>
    <w:p>
      <w:pPr>
        <w:pStyle w:val="nSubsection"/>
        <w:rPr>
          <w:ins w:id="134" w:author="svcMRProcess" w:date="2018-09-07T03:19:00Z"/>
          <w:snapToGrid w:val="0"/>
        </w:rPr>
      </w:pPr>
      <w:ins w:id="135" w:author="svcMRProcess" w:date="2018-09-07T03:19:00Z">
        <w:r>
          <w:rPr>
            <w:snapToGrid w:val="0"/>
            <w:vertAlign w:val="superscript"/>
          </w:rPr>
          <w:t>9</w:t>
        </w:r>
        <w:r>
          <w:rPr>
            <w:snapToGrid w:val="0"/>
          </w:rPr>
          <w:tab/>
          <w:t xml:space="preserve">On the date as at which this compilation was prepared, the </w:t>
        </w:r>
        <w:r>
          <w:rPr>
            <w:i/>
            <w:snapToGrid w:val="0"/>
          </w:rPr>
          <w:t>Criminal Investigation (Consequential Provisions) Act 2006</w:t>
        </w:r>
        <w:r>
          <w:rPr>
            <w:iCs/>
            <w:snapToGrid w:val="0"/>
          </w:rPr>
          <w:t xml:space="preserve"> s. 73 which gives effect to Sch. 1 it. 10 </w:t>
        </w:r>
        <w:r>
          <w:rPr>
            <w:snapToGrid w:val="0"/>
          </w:rPr>
          <w:t>had not come into operation.  They read as follows:</w:t>
        </w:r>
      </w:ins>
    </w:p>
    <w:p>
      <w:pPr>
        <w:pStyle w:val="MiscOpen"/>
        <w:rPr>
          <w:ins w:id="136" w:author="svcMRProcess" w:date="2018-09-07T03:19:00Z"/>
          <w:snapToGrid w:val="0"/>
        </w:rPr>
      </w:pPr>
      <w:ins w:id="137" w:author="svcMRProcess" w:date="2018-09-07T03:19:00Z">
        <w:r>
          <w:rPr>
            <w:snapToGrid w:val="0"/>
          </w:rPr>
          <w:t>“</w:t>
        </w:r>
      </w:ins>
    </w:p>
    <w:p>
      <w:pPr>
        <w:pStyle w:val="nzHeading5"/>
        <w:rPr>
          <w:ins w:id="138" w:author="svcMRProcess" w:date="2018-09-07T03:19:00Z"/>
        </w:rPr>
      </w:pPr>
      <w:ins w:id="139" w:author="svcMRProcess" w:date="2018-09-07T03:19:00Z">
        <w:r>
          <w:rPr>
            <w:rStyle w:val="CharSectno"/>
          </w:rPr>
          <w:t>73</w:t>
        </w:r>
        <w:r>
          <w:t>.</w:t>
        </w:r>
        <w:r>
          <w:tab/>
          <w:t>Various Acts amended (Sch. 1)</w:t>
        </w:r>
      </w:ins>
    </w:p>
    <w:p>
      <w:pPr>
        <w:pStyle w:val="nzSubsection"/>
        <w:rPr>
          <w:ins w:id="140" w:author="svcMRProcess" w:date="2018-09-07T03:19:00Z"/>
        </w:rPr>
      </w:pPr>
      <w:ins w:id="141" w:author="svcMRProcess" w:date="2018-09-07T03:19:00Z">
        <w:r>
          <w:tab/>
        </w:r>
        <w:r>
          <w:tab/>
          <w:t>Each Act listed in Schedule 1 is amended as set out in that Schedule immediately below the short title of the Act.</w:t>
        </w:r>
      </w:ins>
    </w:p>
    <w:p>
      <w:pPr>
        <w:pStyle w:val="MiscClose"/>
        <w:rPr>
          <w:ins w:id="142" w:author="svcMRProcess" w:date="2018-09-07T03:19:00Z"/>
        </w:rPr>
      </w:pPr>
      <w:ins w:id="143" w:author="svcMRProcess" w:date="2018-09-07T03:19:00Z">
        <w:r>
          <w:t>”.</w:t>
        </w:r>
      </w:ins>
    </w:p>
    <w:p>
      <w:pPr>
        <w:pStyle w:val="nzSubsection"/>
        <w:rPr>
          <w:ins w:id="144" w:author="svcMRProcess" w:date="2018-09-07T03:19:00Z"/>
        </w:rPr>
      </w:pPr>
      <w:ins w:id="145" w:author="svcMRProcess" w:date="2018-09-07T03:19:00Z">
        <w:r>
          <w:t>Schedule 1 item 10 reads as follows:</w:t>
        </w:r>
      </w:ins>
    </w:p>
    <w:p>
      <w:pPr>
        <w:pStyle w:val="MiscOpen"/>
        <w:rPr>
          <w:ins w:id="146" w:author="svcMRProcess" w:date="2018-09-07T03:19:00Z"/>
          <w:snapToGrid w:val="0"/>
        </w:rPr>
      </w:pPr>
      <w:ins w:id="147" w:author="svcMRProcess" w:date="2018-09-07T03:19:00Z">
        <w:r>
          <w:rPr>
            <w:snapToGrid w:val="0"/>
          </w:rPr>
          <w:t>“</w:t>
        </w:r>
      </w:ins>
    </w:p>
    <w:p>
      <w:pPr>
        <w:pStyle w:val="nzHeading2"/>
        <w:rPr>
          <w:ins w:id="148" w:author="svcMRProcess" w:date="2018-09-07T03:19:00Z"/>
        </w:rPr>
      </w:pPr>
      <w:ins w:id="149" w:author="svcMRProcess" w:date="2018-09-07T03:19:00Z">
        <w:r>
          <w:rPr>
            <w:rStyle w:val="CharSchNo"/>
          </w:rPr>
          <w:t>Schedule 1</w:t>
        </w:r>
        <w:r>
          <w:rPr>
            <w:rStyle w:val="CharSDivNo"/>
          </w:rPr>
          <w:t> </w:t>
        </w:r>
        <w:r>
          <w:t>—</w:t>
        </w:r>
        <w:bookmarkStart w:id="150" w:name="AutoSch"/>
        <w:bookmarkEnd w:id="150"/>
        <w:r>
          <w:rPr>
            <w:rStyle w:val="CharSDivText"/>
          </w:rPr>
          <w:t> </w:t>
        </w:r>
        <w:r>
          <w:rPr>
            <w:rStyle w:val="CharSchText"/>
          </w:rPr>
          <w:t>Various Acts amended</w:t>
        </w:r>
      </w:ins>
    </w:p>
    <w:p>
      <w:pPr>
        <w:pStyle w:val="nzMiscellaneousBody"/>
        <w:jc w:val="right"/>
        <w:rPr>
          <w:ins w:id="151" w:author="svcMRProcess" w:date="2018-09-07T03:19:00Z"/>
        </w:rPr>
      </w:pPr>
      <w:ins w:id="152" w:author="svcMRProcess" w:date="2018-09-07T03:19:00Z">
        <w:r>
          <w:t>[s. 73]</w:t>
        </w:r>
      </w:ins>
    </w:p>
    <w:p>
      <w:pPr>
        <w:pStyle w:val="nzHeading5"/>
        <w:rPr>
          <w:ins w:id="153" w:author="svcMRProcess" w:date="2018-09-07T03:19:00Z"/>
        </w:rPr>
      </w:pPr>
      <w:ins w:id="154" w:author="svcMRProcess" w:date="2018-09-07T03:19:00Z">
        <w:r>
          <w:rPr>
            <w:rStyle w:val="CharSClsNo"/>
          </w:rPr>
          <w:t>10</w:t>
        </w:r>
        <w:r>
          <w:t>.</w:t>
        </w:r>
        <w:r>
          <w:tab/>
        </w:r>
        <w:r>
          <w:rPr>
            <w:i/>
          </w:rPr>
          <w:t>Poisons Act 1964</w:t>
        </w:r>
      </w:ins>
    </w:p>
    <w:tbl>
      <w:tblPr>
        <w:tblW w:w="6240" w:type="dxa"/>
        <w:tblInd w:w="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20"/>
        <w:gridCol w:w="4920"/>
      </w:tblGrid>
      <w:tr>
        <w:trPr>
          <w:cantSplit/>
          <w:ins w:id="155" w:author="svcMRProcess" w:date="2018-09-07T03:19:00Z"/>
        </w:trPr>
        <w:tc>
          <w:tcPr>
            <w:tcW w:w="1320" w:type="dxa"/>
          </w:tcPr>
          <w:p>
            <w:pPr>
              <w:pStyle w:val="nzTable"/>
              <w:rPr>
                <w:ins w:id="156" w:author="svcMRProcess" w:date="2018-09-07T03:19:00Z"/>
              </w:rPr>
            </w:pPr>
            <w:ins w:id="157" w:author="svcMRProcess" w:date="2018-09-07T03:19:00Z">
              <w:r>
                <w:t>s. 53(2)</w:t>
              </w:r>
            </w:ins>
          </w:p>
        </w:tc>
        <w:tc>
          <w:tcPr>
            <w:tcW w:w="4920" w:type="dxa"/>
          </w:tcPr>
          <w:p>
            <w:pPr>
              <w:pStyle w:val="nzTable"/>
              <w:rPr>
                <w:ins w:id="158" w:author="svcMRProcess" w:date="2018-09-07T03:19:00Z"/>
              </w:rPr>
            </w:pPr>
            <w:ins w:id="159" w:author="svcMRProcess" w:date="2018-09-07T03:19:00Z">
              <w:r>
                <w:t xml:space="preserve">Delete “the </w:t>
              </w:r>
              <w:r>
                <w:rPr>
                  <w:i/>
                </w:rPr>
                <w:t>Police Act 1892</w:t>
              </w:r>
              <w:r>
                <w:t>, or o</w:t>
              </w:r>
              <w:r>
                <w:rPr>
                  <w:spacing w:val="40"/>
                </w:rPr>
                <w:t>f</w:t>
              </w:r>
              <w:r>
                <w:t>”.</w:t>
              </w:r>
            </w:ins>
          </w:p>
        </w:tc>
      </w:tr>
    </w:tbl>
    <w:p>
      <w:pPr>
        <w:pStyle w:val="MiscClose"/>
        <w:rPr>
          <w:ins w:id="160" w:author="svcMRProcess" w:date="2018-09-07T03:19:00Z"/>
        </w:rPr>
      </w:pPr>
      <w:ins w:id="161" w:author="svcMRProcess" w:date="2018-09-07T03:19:00Z">
        <w:r>
          <w:t>”.</w:t>
        </w:r>
      </w:ins>
    </w:p>
    <w:p/>
    <w:p>
      <w:pPr>
        <w:sectPr>
          <w:headerReference w:type="even" r:id="rId20"/>
          <w:headerReference w:type="default" r:id="rId21"/>
          <w:headerReference w:type="first" r:id="rId22"/>
          <w:pgSz w:w="11906" w:h="16838" w:code="9"/>
          <w:pgMar w:top="2376" w:right="2405" w:bottom="3542" w:left="2405" w:header="706" w:footer="3380" w:gutter="0"/>
          <w:cols w:space="720"/>
          <w:noEndnote/>
          <w:docGrid w:linePitch="326"/>
        </w:sectPr>
      </w:pPr>
    </w:p>
    <w:p/>
    <w:sectPr>
      <w:headerReference w:type="even" r:id="rId23"/>
      <w:headerReference w:type="default" r:id="rId24"/>
      <w:headerReference w:type="first" r:id="rId25"/>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06 Oct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07-b0-03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Nov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07-c0-03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06 Oct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07-b0-03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Nov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07-c0-03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06 Oct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07-b0-03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Nov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07-c0-03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5"/>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05150937"/>
    <w:docVar w:name="WAFER_20140605150937" w:val="RemoveTocBookmarks,RemoveUnusedBookmarks,RemoveLanguageTags,UsedStyles,ResetPageSize"/>
    <w:docVar w:name="WAFER_20140605150937_GUID" w:val="f09faaae-1e0f-4866-ae96-1d18e67d781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7.xm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10.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5" Type="http://schemas.openxmlformats.org/officeDocument/2006/relationships/header" Target="header1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3.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12.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1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15861</Words>
  <Characters>74233</Characters>
  <Application>Microsoft Office Word</Application>
  <DocSecurity>0</DocSecurity>
  <Lines>2062</Lines>
  <Paragraphs>1112</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88982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07-b0-03 - 07-c0-03</dc:title>
  <dc:subject/>
  <dc:creator/>
  <cp:keywords/>
  <dc:description/>
  <cp:lastModifiedBy>svcMRProcess</cp:lastModifiedBy>
  <cp:revision>2</cp:revision>
  <cp:lastPrinted>2006-09-06T01:41:00Z</cp:lastPrinted>
  <dcterms:created xsi:type="dcterms:W3CDTF">2018-09-06T19:19:00Z</dcterms:created>
  <dcterms:modified xsi:type="dcterms:W3CDTF">2018-09-06T19:19:00Z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20061116</vt:lpwstr>
  </property>
  <property fmtid="{D5CDD505-2E9C-101B-9397-08002B2CF9AE}" pid="4" name="DocumentType">
    <vt:lpwstr>Act</vt:lpwstr>
  </property>
  <property fmtid="{D5CDD505-2E9C-101B-9397-08002B2CF9AE}" pid="5" name="OwlsUID">
    <vt:i4>614</vt:i4>
  </property>
  <property fmtid="{D5CDD505-2E9C-101B-9397-08002B2CF9AE}" pid="6" name="ReprintNo">
    <vt:lpwstr>7</vt:lpwstr>
  </property>
  <property fmtid="{D5CDD505-2E9C-101B-9397-08002B2CF9AE}" pid="7" name="FromSuffix">
    <vt:lpwstr>07-b0-03</vt:lpwstr>
  </property>
  <property fmtid="{D5CDD505-2E9C-101B-9397-08002B2CF9AE}" pid="8" name="FromAsAtDate">
    <vt:lpwstr>06 Oct 2006</vt:lpwstr>
  </property>
  <property fmtid="{D5CDD505-2E9C-101B-9397-08002B2CF9AE}" pid="9" name="ToSuffix">
    <vt:lpwstr>07-c0-03</vt:lpwstr>
  </property>
  <property fmtid="{D5CDD505-2E9C-101B-9397-08002B2CF9AE}" pid="10" name="ToAsAtDate">
    <vt:lpwstr>16 Nov 2006</vt:lpwstr>
  </property>
</Properties>
</file>