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14 Mar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0" w:name="_Toc88368656"/>
      <w:bookmarkStart w:id="1" w:name="_Toc88383290"/>
      <w:bookmarkStart w:id="2" w:name="_Toc88446263"/>
      <w:bookmarkStart w:id="3" w:name="_Toc147227949"/>
      <w:bookmarkStart w:id="4" w:name="_Toc147288686"/>
      <w:bookmarkStart w:id="5" w:name="_Toc150762465"/>
      <w:bookmarkStart w:id="6" w:name="_Toc150830504"/>
      <w:bookmarkStart w:id="7" w:name="_Toc158708840"/>
      <w:bookmarkStart w:id="8" w:name="_Toc159142593"/>
      <w:bookmarkStart w:id="9" w:name="_Toc159142641"/>
      <w:bookmarkStart w:id="10" w:name="_Toc159142706"/>
      <w:bookmarkStart w:id="11" w:name="_Toc161457312"/>
      <w:bookmarkStart w:id="12" w:name="_Toc170617541"/>
      <w:bookmarkStart w:id="13" w:name="_Toc173898302"/>
      <w:bookmarkStart w:id="14" w:name="_Toc173899473"/>
      <w:bookmarkStart w:id="15" w:name="_Toc200437185"/>
      <w:bookmarkStart w:id="16" w:name="_Toc200512565"/>
      <w:bookmarkStart w:id="17" w:name="_Toc200512624"/>
      <w:bookmarkStart w:id="18" w:name="_Toc202340772"/>
      <w:bookmarkStart w:id="19" w:name="_Toc202340832"/>
      <w:bookmarkStart w:id="20" w:name="_Toc205882898"/>
      <w:bookmarkStart w:id="21" w:name="_Toc208122846"/>
      <w:bookmarkStart w:id="22" w:name="_Toc210721038"/>
      <w:bookmarkStart w:id="23" w:name="_Toc230162513"/>
      <w:bookmarkStart w:id="24" w:name="_Toc254266202"/>
      <w:bookmarkStart w:id="25" w:name="_Toc254274065"/>
      <w:bookmarkStart w:id="26" w:name="_Toc256151863"/>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8" w:name="_Toc5072243"/>
      <w:bookmarkStart w:id="29" w:name="_Toc5072434"/>
      <w:bookmarkStart w:id="30" w:name="_Toc7410310"/>
      <w:bookmarkStart w:id="31" w:name="_Toc88446264"/>
      <w:bookmarkStart w:id="32" w:name="_Toc256151864"/>
      <w:bookmarkStart w:id="33" w:name="_Toc254274066"/>
      <w:r>
        <w:rPr>
          <w:rStyle w:val="CharSectno"/>
        </w:rPr>
        <w:t>1</w:t>
      </w:r>
      <w:r>
        <w:rPr>
          <w:snapToGrid w:val="0"/>
        </w:rPr>
        <w:t>.</w:t>
      </w:r>
      <w:r>
        <w:rPr>
          <w:snapToGrid w:val="0"/>
        </w:rPr>
        <w:tab/>
        <w:t>Citation</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34" w:name="_Toc5072244"/>
      <w:bookmarkStart w:id="35" w:name="_Toc5072435"/>
      <w:bookmarkStart w:id="36" w:name="_Toc7410311"/>
      <w:bookmarkStart w:id="37" w:name="_Toc88446265"/>
      <w:bookmarkStart w:id="38" w:name="_Toc256151865"/>
      <w:bookmarkStart w:id="39" w:name="_Toc254274067"/>
      <w:r>
        <w:rPr>
          <w:rStyle w:val="CharSectno"/>
        </w:rPr>
        <w:t>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40" w:name="_Toc5072245"/>
      <w:bookmarkStart w:id="41" w:name="_Toc5072436"/>
      <w:bookmarkStart w:id="42" w:name="_Toc7410312"/>
      <w:bookmarkStart w:id="43" w:name="_Toc88446266"/>
      <w:bookmarkStart w:id="44" w:name="_Toc256151866"/>
      <w:bookmarkStart w:id="45" w:name="_Toc254274068"/>
      <w:r>
        <w:rPr>
          <w:rStyle w:val="CharSectno"/>
        </w:rPr>
        <w:t>3</w:t>
      </w:r>
      <w:r>
        <w:rPr>
          <w:snapToGrid w:val="0"/>
        </w:rPr>
        <w:t>.</w:t>
      </w:r>
      <w:r>
        <w:rPr>
          <w:snapToGrid w:val="0"/>
        </w:rPr>
        <w:tab/>
      </w:r>
      <w:bookmarkEnd w:id="40"/>
      <w:bookmarkEnd w:id="41"/>
      <w:bookmarkEnd w:id="42"/>
      <w:bookmarkEnd w:id="43"/>
      <w:r>
        <w:rPr>
          <w:snapToGrid w:val="0"/>
        </w:rPr>
        <w:t>Terms used in these rules</w:t>
      </w:r>
      <w:bookmarkEnd w:id="44"/>
      <w:bookmarkEnd w:id="45"/>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tab/>
        <w:t>(a)</w:t>
      </w:r>
      <w:r>
        <w:tab/>
        <w:t>selected in the left group of numbers of a game board (labelled “PICK 5”); 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 xml:space="preserve">9; 19 Feb 2010 p. 664.] </w:t>
      </w:r>
    </w:p>
    <w:p>
      <w:pPr>
        <w:pStyle w:val="Ednotesection"/>
      </w:pPr>
      <w:bookmarkStart w:id="46" w:name="_Toc88368661"/>
      <w:bookmarkStart w:id="47" w:name="_Toc88383295"/>
      <w:bookmarkStart w:id="48" w:name="_Toc88446268"/>
      <w:bookmarkStart w:id="49" w:name="_Toc147227954"/>
      <w:bookmarkStart w:id="50" w:name="_Toc147288691"/>
      <w:r>
        <w:t>[</w:t>
      </w:r>
      <w:r>
        <w:rPr>
          <w:b/>
        </w:rPr>
        <w:t>3A.</w:t>
      </w:r>
      <w:r>
        <w:tab/>
        <w:t>Deleted in Gazette 13 Oct 2006 p. 4412.]</w:t>
      </w:r>
    </w:p>
    <w:p>
      <w:pPr>
        <w:pStyle w:val="Heading2"/>
      </w:pPr>
      <w:bookmarkStart w:id="51" w:name="_Toc150762470"/>
      <w:bookmarkStart w:id="52" w:name="_Toc150830508"/>
      <w:bookmarkStart w:id="53" w:name="_Toc158708844"/>
      <w:bookmarkStart w:id="54" w:name="_Toc159142597"/>
      <w:bookmarkStart w:id="55" w:name="_Toc159142645"/>
      <w:bookmarkStart w:id="56" w:name="_Toc159142710"/>
      <w:bookmarkStart w:id="57" w:name="_Toc161457316"/>
      <w:bookmarkStart w:id="58" w:name="_Toc170617545"/>
      <w:bookmarkStart w:id="59" w:name="_Toc173898306"/>
      <w:bookmarkStart w:id="60" w:name="_Toc173899477"/>
      <w:bookmarkStart w:id="61" w:name="_Toc200437189"/>
      <w:bookmarkStart w:id="62" w:name="_Toc200512569"/>
      <w:bookmarkStart w:id="63" w:name="_Toc200512628"/>
      <w:bookmarkStart w:id="64" w:name="_Toc202340776"/>
      <w:bookmarkStart w:id="65" w:name="_Toc202340836"/>
      <w:bookmarkStart w:id="66" w:name="_Toc205882902"/>
      <w:bookmarkStart w:id="67" w:name="_Toc208122850"/>
      <w:bookmarkStart w:id="68" w:name="_Toc210721042"/>
      <w:bookmarkStart w:id="69" w:name="_Toc230162517"/>
      <w:bookmarkStart w:id="70" w:name="_Toc254266206"/>
      <w:bookmarkStart w:id="71" w:name="_Toc254274069"/>
      <w:bookmarkStart w:id="72" w:name="_Toc256151867"/>
      <w:r>
        <w:rPr>
          <w:rStyle w:val="CharPartNo"/>
        </w:rPr>
        <w:t>Part 2</w:t>
      </w:r>
      <w:r>
        <w:rPr>
          <w:rStyle w:val="CharDivNo"/>
        </w:rPr>
        <w:t> </w:t>
      </w:r>
      <w:r>
        <w:t>—</w:t>
      </w:r>
      <w:r>
        <w:rPr>
          <w:rStyle w:val="CharDivText"/>
        </w:rPr>
        <w:t> </w:t>
      </w:r>
      <w:r>
        <w:rPr>
          <w:rStyle w:val="CharPartText"/>
        </w:rPr>
        <w:t>Requirements for entry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5072246"/>
      <w:bookmarkStart w:id="74" w:name="_Toc5072437"/>
      <w:bookmarkStart w:id="75" w:name="_Toc7410313"/>
      <w:bookmarkStart w:id="76" w:name="_Toc88446269"/>
      <w:bookmarkStart w:id="77" w:name="_Toc256151868"/>
      <w:bookmarkStart w:id="78" w:name="_Toc254274070"/>
      <w:r>
        <w:rPr>
          <w:rStyle w:val="CharSectno"/>
        </w:rPr>
        <w:t>4</w:t>
      </w:r>
      <w:r>
        <w:rPr>
          <w:snapToGrid w:val="0"/>
        </w:rPr>
        <w:t>.</w:t>
      </w:r>
      <w:r>
        <w:rPr>
          <w:snapToGrid w:val="0"/>
        </w:rPr>
        <w:tab/>
      </w:r>
      <w:bookmarkEnd w:id="73"/>
      <w:bookmarkEnd w:id="74"/>
      <w:bookmarkEnd w:id="75"/>
      <w:bookmarkEnd w:id="76"/>
      <w:r>
        <w:rPr>
          <w:snapToGrid w:val="0"/>
        </w:rPr>
        <w:t>Playslip</w:t>
      </w:r>
      <w:bookmarkEnd w:id="77"/>
      <w:bookmarkEnd w:id="78"/>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79" w:name="_Toc5072247"/>
      <w:bookmarkStart w:id="80" w:name="_Toc5072438"/>
      <w:bookmarkStart w:id="81" w:name="_Toc7410314"/>
      <w:bookmarkStart w:id="82" w:name="_Toc88446270"/>
      <w:bookmarkStart w:id="83" w:name="_Toc256151869"/>
      <w:bookmarkStart w:id="84" w:name="_Toc254274071"/>
      <w:r>
        <w:rPr>
          <w:rStyle w:val="CharSectno"/>
        </w:rPr>
        <w:t>5</w:t>
      </w:r>
      <w:r>
        <w:rPr>
          <w:snapToGrid w:val="0"/>
        </w:rPr>
        <w:t>.</w:t>
      </w:r>
      <w:r>
        <w:rPr>
          <w:snapToGrid w:val="0"/>
        </w:rPr>
        <w:tab/>
        <w:t>Methods of entry</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w:t>
      </w:r>
      <w:r>
        <w:t>rule 9; or</w:t>
      </w:r>
    </w:p>
    <w:p>
      <w:pPr>
        <w:pStyle w:val="Indenta"/>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set out in </w:t>
      </w:r>
      <w:r>
        <w:t>Schedule 1 or 2A.</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w:t>
      </w:r>
    </w:p>
    <w:p>
      <w:pPr>
        <w:pStyle w:val="Heading5"/>
        <w:rPr>
          <w:snapToGrid w:val="0"/>
        </w:rPr>
      </w:pPr>
      <w:bookmarkStart w:id="85" w:name="_Toc5072248"/>
      <w:bookmarkStart w:id="86" w:name="_Toc5072439"/>
      <w:bookmarkStart w:id="87" w:name="_Toc7410315"/>
      <w:bookmarkStart w:id="88" w:name="_Toc88446271"/>
      <w:bookmarkStart w:id="89" w:name="_Toc256151870"/>
      <w:bookmarkStart w:id="90" w:name="_Toc254274072"/>
      <w:r>
        <w:rPr>
          <w:rStyle w:val="CharSectno"/>
        </w:rPr>
        <w:t>6</w:t>
      </w:r>
      <w:r>
        <w:rPr>
          <w:snapToGrid w:val="0"/>
        </w:rPr>
        <w:t>.</w:t>
      </w:r>
      <w:r>
        <w:rPr>
          <w:snapToGrid w:val="0"/>
        </w:rPr>
        <w:tab/>
        <w:t>No limit to number of entries</w:t>
      </w:r>
      <w:bookmarkEnd w:id="85"/>
      <w:bookmarkEnd w:id="86"/>
      <w:bookmarkEnd w:id="87"/>
      <w:bookmarkEnd w:id="88"/>
      <w:bookmarkEnd w:id="89"/>
      <w:bookmarkEnd w:id="90"/>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91" w:name="_Toc5072249"/>
      <w:bookmarkStart w:id="92" w:name="_Toc5072440"/>
      <w:bookmarkStart w:id="93" w:name="_Toc7410316"/>
      <w:bookmarkStart w:id="94" w:name="_Toc88446272"/>
      <w:bookmarkStart w:id="95" w:name="_Toc256151871"/>
      <w:bookmarkStart w:id="96" w:name="_Toc254274073"/>
      <w:r>
        <w:rPr>
          <w:rStyle w:val="CharSectno"/>
        </w:rPr>
        <w:t>7</w:t>
      </w:r>
      <w:r>
        <w:rPr>
          <w:snapToGrid w:val="0"/>
        </w:rPr>
        <w:t>.</w:t>
      </w:r>
      <w:r>
        <w:rPr>
          <w:snapToGrid w:val="0"/>
        </w:rPr>
        <w:tab/>
        <w:t>Super 66 entry</w:t>
      </w:r>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97" w:name="_Toc5072250"/>
      <w:bookmarkStart w:id="98" w:name="_Toc5072441"/>
      <w:bookmarkStart w:id="99" w:name="_Toc7410317"/>
      <w:bookmarkStart w:id="100" w:name="_Toc88446273"/>
      <w:bookmarkStart w:id="101" w:name="_Toc256151872"/>
      <w:bookmarkStart w:id="102" w:name="_Toc254274074"/>
      <w:r>
        <w:rPr>
          <w:rStyle w:val="CharSectno"/>
        </w:rPr>
        <w:t>8</w:t>
      </w:r>
      <w:r>
        <w:rPr>
          <w:snapToGrid w:val="0"/>
        </w:rPr>
        <w:t>.</w:t>
      </w:r>
      <w:r>
        <w:rPr>
          <w:snapToGrid w:val="0"/>
        </w:rPr>
        <w:tab/>
      </w:r>
      <w:bookmarkEnd w:id="97"/>
      <w:bookmarkEnd w:id="98"/>
      <w:bookmarkEnd w:id="99"/>
      <w:bookmarkEnd w:id="100"/>
      <w:r>
        <w:rPr>
          <w:snapToGrid w:val="0"/>
        </w:rPr>
        <w:t>Completion of playslip</w:t>
      </w:r>
      <w:bookmarkEnd w:id="101"/>
      <w:bookmarkEnd w:id="102"/>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pPr>
        <w:pStyle w:val="Heading5"/>
      </w:pPr>
      <w:bookmarkStart w:id="103" w:name="_Toc256151873"/>
      <w:bookmarkStart w:id="104" w:name="_Toc254274075"/>
      <w:bookmarkStart w:id="105" w:name="_Toc5072251"/>
      <w:bookmarkStart w:id="106" w:name="_Toc5072442"/>
      <w:bookmarkStart w:id="107" w:name="_Toc7410318"/>
      <w:bookmarkStart w:id="108" w:name="_Toc88446274"/>
      <w:r>
        <w:rPr>
          <w:rStyle w:val="CharSectno"/>
        </w:rPr>
        <w:t>8A</w:t>
      </w:r>
      <w:r>
        <w:t>.</w:t>
      </w:r>
      <w:r>
        <w:tab/>
        <w:t>Ticket repeat</w:t>
      </w:r>
      <w:bookmarkEnd w:id="103"/>
      <w:bookmarkEnd w:id="104"/>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 xml:space="preserve">[Rule 8A inserted in Gazette 6 Jun 2008 p. 2233; amended in Gazette 15 May 2009 p. 1634-5.] </w:t>
      </w:r>
    </w:p>
    <w:p>
      <w:pPr>
        <w:pStyle w:val="Heading5"/>
      </w:pPr>
      <w:bookmarkStart w:id="109" w:name="_Toc256151874"/>
      <w:bookmarkStart w:id="110" w:name="_Toc254274076"/>
      <w:r>
        <w:rPr>
          <w:rStyle w:val="CharSectno"/>
        </w:rPr>
        <w:t>8B</w:t>
      </w:r>
      <w:r>
        <w:t>.</w:t>
      </w:r>
      <w:r>
        <w:tab/>
        <w:t>Favourite numbers</w:t>
      </w:r>
      <w:bookmarkEnd w:id="109"/>
      <w:bookmarkEnd w:id="110"/>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111" w:name="_Toc256151875"/>
      <w:bookmarkStart w:id="112" w:name="_Toc254274077"/>
      <w:r>
        <w:rPr>
          <w:rStyle w:val="CharSectno"/>
        </w:rPr>
        <w:t>9</w:t>
      </w:r>
      <w:r>
        <w:rPr>
          <w:snapToGrid w:val="0"/>
        </w:rPr>
        <w:t>.</w:t>
      </w:r>
      <w:r>
        <w:rPr>
          <w:snapToGrid w:val="0"/>
        </w:rPr>
        <w:tab/>
        <w:t>Oral request for entry</w:t>
      </w:r>
      <w:bookmarkEnd w:id="105"/>
      <w:bookmarkEnd w:id="106"/>
      <w:bookmarkEnd w:id="107"/>
      <w:bookmarkEnd w:id="108"/>
      <w:bookmarkEnd w:id="111"/>
      <w:bookmarkEnd w:id="112"/>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pPr>
        <w:pStyle w:val="Ednotesection"/>
      </w:pPr>
      <w:bookmarkStart w:id="113" w:name="_Toc5072252"/>
      <w:bookmarkStart w:id="114" w:name="_Toc5072443"/>
      <w:bookmarkStart w:id="115" w:name="_Toc7410319"/>
      <w:r>
        <w:t>[</w:t>
      </w:r>
      <w:r>
        <w:rPr>
          <w:b/>
        </w:rPr>
        <w:t>9A</w:t>
      </w:r>
      <w:r>
        <w:t>.</w:t>
      </w:r>
      <w:r>
        <w:tab/>
        <w:t>Deleted in Gazette 13 Oct 2006 p. 4412.]</w:t>
      </w:r>
    </w:p>
    <w:p>
      <w:pPr>
        <w:pStyle w:val="Heading5"/>
        <w:rPr>
          <w:snapToGrid w:val="0"/>
        </w:rPr>
      </w:pPr>
      <w:bookmarkStart w:id="116" w:name="_Toc88446276"/>
      <w:bookmarkStart w:id="117" w:name="_Toc256151876"/>
      <w:bookmarkStart w:id="118" w:name="_Toc254274078"/>
      <w:r>
        <w:rPr>
          <w:rStyle w:val="CharSectno"/>
        </w:rPr>
        <w:t>10</w:t>
      </w:r>
      <w:r>
        <w:rPr>
          <w:snapToGrid w:val="0"/>
        </w:rPr>
        <w:t>.</w:t>
      </w:r>
      <w:r>
        <w:rPr>
          <w:snapToGrid w:val="0"/>
        </w:rPr>
        <w:tab/>
        <w:t>Entry by mail</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19" w:name="_Toc5072253"/>
      <w:bookmarkStart w:id="120" w:name="_Toc5072444"/>
      <w:bookmarkStart w:id="121" w:name="_Toc7410320"/>
      <w:bookmarkStart w:id="122" w:name="_Toc88446277"/>
      <w:bookmarkStart w:id="123" w:name="_Toc256151877"/>
      <w:bookmarkStart w:id="124" w:name="_Toc254274079"/>
      <w:r>
        <w:rPr>
          <w:rStyle w:val="CharSectno"/>
        </w:rPr>
        <w:t>11</w:t>
      </w:r>
      <w:r>
        <w:rPr>
          <w:snapToGrid w:val="0"/>
        </w:rPr>
        <w:t>.</w:t>
      </w:r>
      <w:r>
        <w:rPr>
          <w:snapToGrid w:val="0"/>
        </w:rPr>
        <w:tab/>
        <w:t>Receipted tickets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125" w:name="_Toc5072254"/>
      <w:bookmarkStart w:id="126" w:name="_Toc5072445"/>
      <w:bookmarkStart w:id="127" w:name="_Toc7410321"/>
      <w:bookmarkStart w:id="128" w:name="_Toc88446278"/>
      <w:bookmarkStart w:id="129" w:name="_Toc256151878"/>
      <w:bookmarkStart w:id="130" w:name="_Toc254274080"/>
      <w:r>
        <w:rPr>
          <w:rStyle w:val="CharSectno"/>
        </w:rPr>
        <w:t>12</w:t>
      </w:r>
      <w:r>
        <w:rPr>
          <w:snapToGrid w:val="0"/>
        </w:rPr>
        <w:t>.</w:t>
      </w:r>
      <w:r>
        <w:rPr>
          <w:snapToGrid w:val="0"/>
        </w:rPr>
        <w:tab/>
        <w:t>Surrender of receipted ticket</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131" w:name="_Toc5072255"/>
      <w:bookmarkStart w:id="132" w:name="_Toc5072446"/>
      <w:bookmarkStart w:id="133" w:name="_Toc7410322"/>
      <w:bookmarkStart w:id="134" w:name="_Toc88446279"/>
      <w:bookmarkStart w:id="135" w:name="_Toc256151879"/>
      <w:bookmarkStart w:id="136" w:name="_Toc254274081"/>
      <w:r>
        <w:rPr>
          <w:rStyle w:val="CharSectno"/>
        </w:rPr>
        <w:t>13</w:t>
      </w:r>
      <w:r>
        <w:rPr>
          <w:snapToGrid w:val="0"/>
        </w:rPr>
        <w:t>.</w:t>
      </w:r>
      <w:r>
        <w:rPr>
          <w:snapToGrid w:val="0"/>
        </w:rPr>
        <w:tab/>
        <w:t>Accuracy of receipted ticket</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37" w:name="_Toc5072256"/>
      <w:bookmarkStart w:id="138" w:name="_Toc5072447"/>
      <w:bookmarkStart w:id="139" w:name="_Toc7410323"/>
      <w:bookmarkStart w:id="140" w:name="_Toc88446280"/>
      <w:r>
        <w:tab/>
        <w:t xml:space="preserve">[Rule 13 amended in Gazette 6 Jun 2008 p. 2237.] </w:t>
      </w:r>
    </w:p>
    <w:p>
      <w:pPr>
        <w:pStyle w:val="Heading5"/>
        <w:rPr>
          <w:snapToGrid w:val="0"/>
        </w:rPr>
      </w:pPr>
      <w:bookmarkStart w:id="141" w:name="_Toc256151880"/>
      <w:bookmarkStart w:id="142" w:name="_Toc254274082"/>
      <w:r>
        <w:rPr>
          <w:rStyle w:val="CharSectno"/>
        </w:rPr>
        <w:t>14</w:t>
      </w:r>
      <w:r>
        <w:rPr>
          <w:snapToGrid w:val="0"/>
        </w:rPr>
        <w:t>.</w:t>
      </w:r>
      <w:r>
        <w:rPr>
          <w:snapToGrid w:val="0"/>
        </w:rPr>
        <w:tab/>
        <w:t>Validity of receipted ticket</w:t>
      </w:r>
      <w:bookmarkEnd w:id="137"/>
      <w:bookmarkEnd w:id="138"/>
      <w:bookmarkEnd w:id="139"/>
      <w:bookmarkEnd w:id="140"/>
      <w:bookmarkEnd w:id="141"/>
      <w:bookmarkEnd w:id="142"/>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 xml:space="preserve">8.] </w:t>
      </w:r>
    </w:p>
    <w:p>
      <w:pPr>
        <w:pStyle w:val="Heading2"/>
      </w:pPr>
      <w:bookmarkStart w:id="143" w:name="_Toc200437203"/>
      <w:bookmarkStart w:id="144" w:name="_Toc200512583"/>
      <w:bookmarkStart w:id="145" w:name="_Toc200512642"/>
      <w:bookmarkStart w:id="146" w:name="_Toc202340790"/>
      <w:bookmarkStart w:id="147" w:name="_Toc202340850"/>
      <w:bookmarkStart w:id="148" w:name="_Toc205882916"/>
      <w:bookmarkStart w:id="149" w:name="_Toc208122864"/>
      <w:bookmarkStart w:id="150" w:name="_Toc210721056"/>
      <w:bookmarkStart w:id="151" w:name="_Toc230162531"/>
      <w:bookmarkStart w:id="152" w:name="_Toc254266220"/>
      <w:bookmarkStart w:id="153" w:name="_Toc254274083"/>
      <w:bookmarkStart w:id="154" w:name="_Toc256151881"/>
      <w:bookmarkStart w:id="155" w:name="_Toc88368674"/>
      <w:bookmarkStart w:id="156" w:name="_Toc88383308"/>
      <w:bookmarkStart w:id="157" w:name="_Toc88446281"/>
      <w:bookmarkStart w:id="158" w:name="_Toc147227967"/>
      <w:bookmarkStart w:id="159" w:name="_Toc147288704"/>
      <w:bookmarkStart w:id="160" w:name="_Toc150762483"/>
      <w:bookmarkStart w:id="161" w:name="_Toc150830520"/>
      <w:bookmarkStart w:id="162" w:name="_Toc158708856"/>
      <w:bookmarkStart w:id="163" w:name="_Toc159142609"/>
      <w:bookmarkStart w:id="164" w:name="_Toc159142657"/>
      <w:bookmarkStart w:id="165" w:name="_Toc159142722"/>
      <w:bookmarkStart w:id="166" w:name="_Toc161457328"/>
      <w:bookmarkStart w:id="167" w:name="_Toc170617557"/>
      <w:bookmarkStart w:id="168" w:name="_Toc173898318"/>
      <w:bookmarkStart w:id="169" w:name="_Toc173899489"/>
      <w:r>
        <w:rPr>
          <w:rStyle w:val="CharPartNo"/>
        </w:rPr>
        <w:t>Part 2A</w:t>
      </w:r>
      <w:r>
        <w:rPr>
          <w:b w:val="0"/>
        </w:rPr>
        <w:t> </w:t>
      </w:r>
      <w:r>
        <w:t>—</w:t>
      </w:r>
      <w:r>
        <w:rPr>
          <w:b w:val="0"/>
        </w:rPr>
        <w:t> </w:t>
      </w:r>
      <w:r>
        <w:rPr>
          <w:rStyle w:val="CharPartText"/>
        </w:rPr>
        <w:t>Syndicate entries</w:t>
      </w:r>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in Gazette 6 Jun 2008 p. 2238.]</w:t>
      </w:r>
    </w:p>
    <w:p>
      <w:pPr>
        <w:pStyle w:val="Heading5"/>
      </w:pPr>
      <w:bookmarkStart w:id="170" w:name="_Toc256151882"/>
      <w:bookmarkStart w:id="171" w:name="_Toc254274084"/>
      <w:r>
        <w:rPr>
          <w:rStyle w:val="CharSectno"/>
        </w:rPr>
        <w:t>14A</w:t>
      </w:r>
      <w:r>
        <w:t>.</w:t>
      </w:r>
      <w:r>
        <w:tab/>
        <w:t>Application of this Part</w:t>
      </w:r>
      <w:bookmarkEnd w:id="170"/>
      <w:bookmarkEnd w:id="171"/>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72" w:name="_Toc256151883"/>
      <w:bookmarkStart w:id="173" w:name="_Toc254274085"/>
      <w:r>
        <w:rPr>
          <w:rStyle w:val="CharSectno"/>
        </w:rPr>
        <w:t>14B</w:t>
      </w:r>
      <w:r>
        <w:t>.</w:t>
      </w:r>
      <w:r>
        <w:tab/>
        <w:t>Establishing a syndicate</w:t>
      </w:r>
      <w:bookmarkEnd w:id="172"/>
      <w:bookmarkEnd w:id="173"/>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rPr>
          <w:ins w:id="174" w:author="Master Repository Process" w:date="2021-08-29T03:04:00Z"/>
        </w:rPr>
      </w:pPr>
      <w:ins w:id="175" w:author="Master Repository Process" w:date="2021-08-29T03:04:00Z">
        <w:r>
          <w:tab/>
          <w:t>(4)</w:t>
        </w:r>
        <w:r>
          <w:tab/>
          <w:t>The master ticket may be registered against a player’s card number.</w:t>
        </w:r>
      </w:ins>
    </w:p>
    <w:p>
      <w:pPr>
        <w:pStyle w:val="Subsection"/>
        <w:rPr>
          <w:ins w:id="176" w:author="Master Repository Process" w:date="2021-08-29T03:04:00Z"/>
        </w:rPr>
      </w:pPr>
      <w:ins w:id="177" w:author="Master Repository Process" w:date="2021-08-29T03:04:00Z">
        <w:r>
          <w:tab/>
          <w:t>(5)</w:t>
        </w:r>
        <w:r>
          <w:tab/>
          <w:t>A syndicate sales (subscription) adjustment may be required from time to time, and the adjustment will be made against the master ticket held by the Commission or the agent.</w:t>
        </w:r>
      </w:ins>
    </w:p>
    <w:p>
      <w:pPr>
        <w:pStyle w:val="Subsection"/>
        <w:rPr>
          <w:ins w:id="178" w:author="Master Repository Process" w:date="2021-08-29T03:04:00Z"/>
        </w:rPr>
      </w:pPr>
      <w:ins w:id="179" w:author="Master Repository Process" w:date="2021-08-29T03:04:00Z">
        <w:r>
          <w:tab/>
          <w:t>(6)</w:t>
        </w:r>
        <w:r>
          <w:tab/>
          <w:t xml:space="preserve">In this rule — </w:t>
        </w:r>
      </w:ins>
    </w:p>
    <w:p>
      <w:pPr>
        <w:pStyle w:val="Defstart"/>
        <w:rPr>
          <w:ins w:id="180" w:author="Master Repository Process" w:date="2021-08-29T03:04:00Z"/>
        </w:rPr>
      </w:pPr>
      <w:ins w:id="181" w:author="Master Repository Process" w:date="2021-08-29T03:04:00Z">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ins>
    </w:p>
    <w:p>
      <w:pPr>
        <w:pStyle w:val="Footnotesection"/>
      </w:pPr>
      <w:r>
        <w:tab/>
        <w:t>[Rule 14B inserted in Gazette 6 Jun 2008 p. 2238</w:t>
      </w:r>
      <w:r>
        <w:noBreakHyphen/>
        <w:t>9</w:t>
      </w:r>
      <w:ins w:id="182" w:author="Master Repository Process" w:date="2021-08-29T03:04:00Z">
        <w:r>
          <w:t>; amended in Gazette 12 Mar 2010 p. 946</w:t>
        </w:r>
        <w:r>
          <w:noBreakHyphen/>
          <w:t>7</w:t>
        </w:r>
      </w:ins>
      <w:r>
        <w:t xml:space="preserve">.] </w:t>
      </w:r>
    </w:p>
    <w:p>
      <w:pPr>
        <w:pStyle w:val="Heading5"/>
      </w:pPr>
      <w:bookmarkStart w:id="183" w:name="_Toc256151884"/>
      <w:bookmarkStart w:id="184" w:name="_Toc254274086"/>
      <w:r>
        <w:rPr>
          <w:rStyle w:val="CharSectno"/>
        </w:rPr>
        <w:t>14C</w:t>
      </w:r>
      <w:r>
        <w:t>.</w:t>
      </w:r>
      <w:r>
        <w:tab/>
        <w:t>Syndicate share and cost parameters</w:t>
      </w:r>
      <w:bookmarkEnd w:id="183"/>
      <w:bookmarkEnd w:id="184"/>
    </w:p>
    <w:p>
      <w:pPr>
        <w:pStyle w:val="Subsection"/>
      </w:pPr>
      <w:r>
        <w:tab/>
        <w:t>(1)</w:t>
      </w:r>
      <w:r>
        <w:tab/>
        <w:t xml:space="preserve">The minimum number of shares that may be made available in a syndicate is </w:t>
      </w:r>
      <w:del w:id="185" w:author="Master Repository Process" w:date="2021-08-29T03:04:00Z">
        <w:r>
          <w:delText>10</w:delText>
        </w:r>
      </w:del>
      <w:ins w:id="186" w:author="Master Repository Process" w:date="2021-08-29T03:04:00Z">
        <w:r>
          <w:t>5</w:t>
        </w:r>
      </w:ins>
      <w:r>
        <w:t>.</w:t>
      </w:r>
    </w:p>
    <w:p>
      <w:pPr>
        <w:pStyle w:val="Subsection"/>
      </w:pPr>
      <w:r>
        <w:tab/>
        <w:t>(2)</w:t>
      </w:r>
      <w:r>
        <w:tab/>
        <w:t xml:space="preserve">The maximum number of shares that may be made available in a syndicate is </w:t>
      </w:r>
      <w:del w:id="187" w:author="Master Repository Process" w:date="2021-08-29T03:04:00Z">
        <w:r>
          <w:delText>1 000</w:delText>
        </w:r>
      </w:del>
      <w:ins w:id="188" w:author="Master Repository Process" w:date="2021-08-29T03:04:00Z">
        <w:r>
          <w:t>500</w:t>
        </w:r>
      </w:ins>
      <w:r>
        <w:t>.</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w:t>
      </w:r>
      <w:del w:id="189" w:author="Master Repository Process" w:date="2021-08-29T03:04:00Z">
        <w:r>
          <w:delText>2.50</w:delText>
        </w:r>
      </w:del>
      <w:ins w:id="190" w:author="Master Repository Process" w:date="2021-08-29T03:04:00Z">
        <w:r>
          <w:t>5.00</w:t>
        </w:r>
      </w:ins>
      <w:r>
        <w:t>.</w:t>
      </w:r>
    </w:p>
    <w:p>
      <w:pPr>
        <w:pStyle w:val="Subsection"/>
      </w:pPr>
      <w:r>
        <w:tab/>
        <w:t>(6)</w:t>
      </w:r>
      <w:r>
        <w:tab/>
        <w:t>The maximum share cost for a syndicate is $</w:t>
      </w:r>
      <w:del w:id="191" w:author="Master Repository Process" w:date="2021-08-29T03:04:00Z">
        <w:r>
          <w:delText>10</w:delText>
        </w:r>
      </w:del>
      <w:ins w:id="192" w:author="Master Repository Process" w:date="2021-08-29T03:04:00Z">
        <w:r>
          <w:t>20</w:t>
        </w:r>
      </w:ins>
      <w:r>
        <w:t> 000.</w:t>
      </w:r>
    </w:p>
    <w:p>
      <w:pPr>
        <w:pStyle w:val="Subsection"/>
      </w:pPr>
      <w:r>
        <w:tab/>
        <w:t>(7)</w:t>
      </w:r>
      <w:r>
        <w:tab/>
        <w:t xml:space="preserve">The cost of a share in a particular syndicate is calculated by </w:t>
      </w:r>
      <w:del w:id="193" w:author="Master Repository Process" w:date="2021-08-29T03:04:00Z">
        <w:r>
          <w:delText>dividing the total cost for that syndicate</w:delText>
        </w:r>
      </w:del>
      <w:ins w:id="194" w:author="Master Repository Process" w:date="2021-08-29T03:04:00Z">
        <w:r>
          <w:t>a method determined</w:t>
        </w:r>
      </w:ins>
      <w:r>
        <w:t xml:space="preserve"> by the </w:t>
      </w:r>
      <w:del w:id="195" w:author="Master Repository Process" w:date="2021-08-29T03:04:00Z">
        <w:r>
          <w:delText>total number of shares available in that syndicate (then</w:delText>
        </w:r>
      </w:del>
      <w:ins w:id="196" w:author="Master Repository Process" w:date="2021-08-29T03:04:00Z">
        <w:r>
          <w:t>Commission that includes truncation to the nearest cent for the subscription component and agent commission component, followed by</w:t>
        </w:r>
      </w:ins>
      <w:r>
        <w:t xml:space="preserve"> rounding down</w:t>
      </w:r>
      <w:ins w:id="197" w:author="Master Repository Process" w:date="2021-08-29T03:04:00Z">
        <w:r>
          <w:t>,</w:t>
        </w:r>
      </w:ins>
      <w:r>
        <w:t xml:space="preserve"> where necessary</w:t>
      </w:r>
      <w:ins w:id="198" w:author="Master Repository Process" w:date="2021-08-29T03:04:00Z">
        <w:r>
          <w:t>,</w:t>
        </w:r>
      </w:ins>
      <w:r>
        <w:t xml:space="preserve"> to the nearest sum containing a 5 cent multiple</w:t>
      </w:r>
      <w:del w:id="199" w:author="Master Repository Process" w:date="2021-08-29T03:04:00Z">
        <w:r>
          <w:delText>).</w:delText>
        </w:r>
      </w:del>
      <w:ins w:id="200" w:author="Master Repository Process" w:date="2021-08-29T03:04:00Z">
        <w:r>
          <w:t>.</w:t>
        </w:r>
      </w:ins>
    </w:p>
    <w:p>
      <w:pPr>
        <w:pStyle w:val="Footnotesection"/>
      </w:pPr>
      <w:r>
        <w:tab/>
        <w:t>[Rule 14C inserted in Gazette 6 Jun 2008 p. 2239</w:t>
      </w:r>
      <w:ins w:id="201" w:author="Master Repository Process" w:date="2021-08-29T03:04:00Z">
        <w:r>
          <w:t>; amended in Gazette 12 Mar 2010 p. 947</w:t>
        </w:r>
      </w:ins>
      <w:r>
        <w:t xml:space="preserve">.] </w:t>
      </w:r>
    </w:p>
    <w:p>
      <w:pPr>
        <w:pStyle w:val="Heading5"/>
      </w:pPr>
      <w:bookmarkStart w:id="202" w:name="_Toc256151885"/>
      <w:bookmarkStart w:id="203" w:name="_Toc254274087"/>
      <w:r>
        <w:rPr>
          <w:rStyle w:val="CharSectno"/>
        </w:rPr>
        <w:t>14D</w:t>
      </w:r>
      <w:r>
        <w:t>.</w:t>
      </w:r>
      <w:r>
        <w:tab/>
        <w:t>Agent’s component of a syndicate share</w:t>
      </w:r>
      <w:bookmarkEnd w:id="202"/>
      <w:bookmarkEnd w:id="203"/>
    </w:p>
    <w:p>
      <w:pPr>
        <w:pStyle w:val="Subsection"/>
      </w:pPr>
      <w:r>
        <w:tab/>
      </w:r>
      <w:r>
        <w:tab/>
        <w:t xml:space="preserve">The agent’s component </w:t>
      </w:r>
      <w:del w:id="204" w:author="Master Repository Process" w:date="2021-08-29T03:04:00Z">
        <w:r>
          <w:delText>payable on a</w:delText>
        </w:r>
      </w:del>
      <w:ins w:id="205" w:author="Master Repository Process" w:date="2021-08-29T03:04:00Z">
        <w:r>
          <w:t>per</w:t>
        </w:r>
      </w:ins>
      <w:r>
        <w:t xml:space="preserve"> share </w:t>
      </w:r>
      <w:del w:id="206" w:author="Master Repository Process" w:date="2021-08-29T03:04:00Z">
        <w:r>
          <w:delText xml:space="preserve">in a particular syndicate </w:delText>
        </w:r>
      </w:del>
      <w:r>
        <w:t xml:space="preserve">is </w:t>
      </w:r>
      <w:del w:id="207" w:author="Master Repository Process" w:date="2021-08-29T03:04:00Z">
        <w:r>
          <w:delText xml:space="preserve">calculated by dividing </w:delText>
        </w:r>
      </w:del>
      <w:r>
        <w:t xml:space="preserve">the </w:t>
      </w:r>
      <w:del w:id="208" w:author="Master Repository Process" w:date="2021-08-29T03:04:00Z">
        <w:r>
          <w:delText>total agent’s component payable for that syndicate by</w:delText>
        </w:r>
      </w:del>
      <w:ins w:id="209" w:author="Master Repository Process" w:date="2021-08-29T03:04:00Z">
        <w:r>
          <w:t>difference between</w:t>
        </w:r>
      </w:ins>
      <w:r>
        <w:t xml:space="preserve"> the </w:t>
      </w:r>
      <w:del w:id="210" w:author="Master Repository Process" w:date="2021-08-29T03:04:00Z">
        <w:r>
          <w:delText>total number of shares available in that syndicate (then truncated to</w:delText>
        </w:r>
      </w:del>
      <w:ins w:id="211" w:author="Master Repository Process" w:date="2021-08-29T03:04:00Z">
        <w:r>
          <w:t>final price per share and</w:t>
        </w:r>
      </w:ins>
      <w:r>
        <w:t xml:space="preserve"> the </w:t>
      </w:r>
      <w:del w:id="212" w:author="Master Repository Process" w:date="2021-08-29T03:04:00Z">
        <w:r>
          <w:delText>nearest cent).</w:delText>
        </w:r>
      </w:del>
      <w:ins w:id="213" w:author="Master Repository Process" w:date="2021-08-29T03:04:00Z">
        <w:r>
          <w:t>subscription per share.</w:t>
        </w:r>
      </w:ins>
    </w:p>
    <w:p>
      <w:pPr>
        <w:pStyle w:val="Footnotesection"/>
      </w:pPr>
      <w:r>
        <w:tab/>
        <w:t>[Rule</w:t>
      </w:r>
      <w:del w:id="214" w:author="Master Repository Process" w:date="2021-08-29T03:04:00Z">
        <w:r>
          <w:delText> </w:delText>
        </w:r>
      </w:del>
      <w:ins w:id="215" w:author="Master Repository Process" w:date="2021-08-29T03:04:00Z">
        <w:r>
          <w:t xml:space="preserve"> </w:t>
        </w:r>
      </w:ins>
      <w:r>
        <w:t xml:space="preserve">14D inserted in Gazette </w:t>
      </w:r>
      <w:del w:id="216" w:author="Master Repository Process" w:date="2021-08-29T03:04:00Z">
        <w:r>
          <w:delText>6 Jun 2008</w:delText>
        </w:r>
      </w:del>
      <w:ins w:id="217" w:author="Master Repository Process" w:date="2021-08-29T03:04:00Z">
        <w:r>
          <w:t>12 Mar 2010</w:t>
        </w:r>
      </w:ins>
      <w:r>
        <w:t xml:space="preserve"> p. </w:t>
      </w:r>
      <w:del w:id="218" w:author="Master Repository Process" w:date="2021-08-29T03:04:00Z">
        <w:r>
          <w:delText xml:space="preserve">2239.] </w:delText>
        </w:r>
      </w:del>
      <w:ins w:id="219" w:author="Master Repository Process" w:date="2021-08-29T03:04:00Z">
        <w:r>
          <w:t>947.]</w:t>
        </w:r>
      </w:ins>
    </w:p>
    <w:p>
      <w:pPr>
        <w:pStyle w:val="Heading5"/>
      </w:pPr>
      <w:bookmarkStart w:id="220" w:name="_Toc256151886"/>
      <w:bookmarkStart w:id="221" w:name="_Toc254274088"/>
      <w:r>
        <w:rPr>
          <w:rStyle w:val="CharSectno"/>
        </w:rPr>
        <w:t>14E</w:t>
      </w:r>
      <w:r>
        <w:t>.</w:t>
      </w:r>
      <w:r>
        <w:tab/>
        <w:t>Syndicate participation parameters</w:t>
      </w:r>
      <w:bookmarkEnd w:id="220"/>
      <w:bookmarkEnd w:id="22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222" w:name="_Toc256151887"/>
      <w:bookmarkStart w:id="223" w:name="_Toc254274089"/>
      <w:r>
        <w:rPr>
          <w:rStyle w:val="CharSectno"/>
        </w:rPr>
        <w:t>14F</w:t>
      </w:r>
      <w:r>
        <w:t>.</w:t>
      </w:r>
      <w:r>
        <w:tab/>
        <w:t>Types of syndicates</w:t>
      </w:r>
      <w:bookmarkEnd w:id="222"/>
      <w:bookmarkEnd w:id="223"/>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224" w:name="_Toc256151888"/>
      <w:bookmarkStart w:id="225" w:name="_Toc254274090"/>
      <w:r>
        <w:rPr>
          <w:rStyle w:val="CharSectno"/>
        </w:rPr>
        <w:t>14G</w:t>
      </w:r>
      <w:r>
        <w:t>.</w:t>
      </w:r>
      <w:r>
        <w:tab/>
        <w:t>Syndicate share receipted ticket</w:t>
      </w:r>
      <w:bookmarkEnd w:id="224"/>
      <w:bookmarkEnd w:id="225"/>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 2008 p. 2240</w:t>
      </w:r>
      <w:r>
        <w:noBreakHyphen/>
        <w:t xml:space="preserve">1.] </w:t>
      </w:r>
    </w:p>
    <w:p>
      <w:pPr>
        <w:pStyle w:val="Heading5"/>
      </w:pPr>
      <w:bookmarkStart w:id="226" w:name="_Toc256151889"/>
      <w:bookmarkStart w:id="227" w:name="_Toc254274091"/>
      <w:r>
        <w:rPr>
          <w:rStyle w:val="CharSectno"/>
        </w:rPr>
        <w:t>14H</w:t>
      </w:r>
      <w:r>
        <w:t>.</w:t>
      </w:r>
      <w:r>
        <w:tab/>
        <w:t>Syndicate master ticket</w:t>
      </w:r>
      <w:bookmarkEnd w:id="226"/>
      <w:bookmarkEnd w:id="22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r>
      <w:del w:id="228" w:author="Master Repository Process" w:date="2021-08-29T03:04:00Z">
        <w:r>
          <w:delText>Any</w:delText>
        </w:r>
      </w:del>
      <w:ins w:id="229" w:author="Master Repository Process" w:date="2021-08-29T03:04:00Z">
        <w:r>
          <w:t>Subject to subrule (4A), any</w:t>
        </w:r>
      </w:ins>
      <w:r>
        <w:t xml:space="preserve">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rPr>
          <w:ins w:id="230" w:author="Master Repository Process" w:date="2021-08-29T03:04:00Z"/>
        </w:rPr>
      </w:pPr>
      <w:ins w:id="231" w:author="Master Repository Process" w:date="2021-08-29T03:04:00Z">
        <w:r>
          <w:tab/>
          <w:t>(4A)</w:t>
        </w:r>
        <w:r>
          <w:tab/>
          <w:t>In the case of a master ticket that is registered so that a player’s card membership number is allocated to that ticket, any prize entitlement may be paid out via the Player Registration Service payment process.</w:t>
        </w:r>
      </w:ins>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2241</w:t>
      </w:r>
      <w:ins w:id="232" w:author="Master Repository Process" w:date="2021-08-29T03:04:00Z">
        <w:r>
          <w:t>; amended in Gazette 12 Mar 2010 p. 948</w:t>
        </w:r>
      </w:ins>
      <w:r>
        <w:t xml:space="preserve">.] </w:t>
      </w:r>
    </w:p>
    <w:p>
      <w:pPr>
        <w:pStyle w:val="Heading2"/>
      </w:pPr>
      <w:bookmarkStart w:id="233" w:name="_Toc200437212"/>
      <w:bookmarkStart w:id="234" w:name="_Toc200512592"/>
      <w:bookmarkStart w:id="235" w:name="_Toc200512651"/>
      <w:bookmarkStart w:id="236" w:name="_Toc202340799"/>
      <w:bookmarkStart w:id="237" w:name="_Toc202340859"/>
      <w:bookmarkStart w:id="238" w:name="_Toc205882925"/>
      <w:bookmarkStart w:id="239" w:name="_Toc208122873"/>
      <w:bookmarkStart w:id="240" w:name="_Toc210721065"/>
      <w:bookmarkStart w:id="241" w:name="_Toc230162540"/>
      <w:bookmarkStart w:id="242" w:name="_Toc254266229"/>
      <w:bookmarkStart w:id="243" w:name="_Toc254274092"/>
      <w:bookmarkStart w:id="244" w:name="_Toc256151890"/>
      <w:r>
        <w:rPr>
          <w:rStyle w:val="CharPartNo"/>
        </w:rPr>
        <w:t>Part 3</w:t>
      </w:r>
      <w:r>
        <w:rPr>
          <w:rStyle w:val="CharDivNo"/>
        </w:rPr>
        <w:t> </w:t>
      </w:r>
      <w:r>
        <w:t>—</w:t>
      </w:r>
      <w:r>
        <w:rPr>
          <w:rStyle w:val="CharDivText"/>
        </w:rPr>
        <w:t> </w:t>
      </w:r>
      <w:r>
        <w:rPr>
          <w:rStyle w:val="CharPartText"/>
        </w:rPr>
        <w:t>General duties of Commission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5072257"/>
      <w:bookmarkStart w:id="246" w:name="_Toc5072448"/>
      <w:bookmarkStart w:id="247" w:name="_Toc7410324"/>
      <w:bookmarkStart w:id="248" w:name="_Toc88446282"/>
      <w:bookmarkStart w:id="249" w:name="_Toc256151891"/>
      <w:bookmarkStart w:id="250" w:name="_Toc254274093"/>
      <w:r>
        <w:rPr>
          <w:rStyle w:val="CharSectno"/>
        </w:rPr>
        <w:t>15</w:t>
      </w:r>
      <w:r>
        <w:rPr>
          <w:snapToGrid w:val="0"/>
        </w:rPr>
        <w:t>.</w:t>
      </w:r>
      <w:r>
        <w:rPr>
          <w:snapToGrid w:val="0"/>
        </w:rPr>
        <w:tab/>
        <w:t>Powerball draws to be numbered</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 xml:space="preserve">[Rule 15 amended in Gazette 15 Nov 1996 p. 6524; 16 Nov 2004 p. 5065.] </w:t>
      </w:r>
    </w:p>
    <w:p>
      <w:pPr>
        <w:pStyle w:val="Heading5"/>
      </w:pPr>
      <w:bookmarkStart w:id="251" w:name="_Toc5072258"/>
      <w:bookmarkStart w:id="252" w:name="_Toc5072449"/>
      <w:bookmarkStart w:id="253" w:name="_Toc7410325"/>
      <w:bookmarkStart w:id="254" w:name="_Toc88446283"/>
      <w:bookmarkStart w:id="255" w:name="_Toc256151892"/>
      <w:bookmarkStart w:id="256" w:name="_Toc254274094"/>
      <w:r>
        <w:rPr>
          <w:rStyle w:val="CharSectno"/>
        </w:rPr>
        <w:t>16</w:t>
      </w:r>
      <w:r>
        <w:t>.</w:t>
      </w:r>
      <w:r>
        <w:tab/>
        <w:t>Powerball to be supervised</w:t>
      </w:r>
      <w:bookmarkEnd w:id="251"/>
      <w:bookmarkEnd w:id="252"/>
      <w:bookmarkEnd w:id="253"/>
      <w:bookmarkEnd w:id="254"/>
      <w:bookmarkEnd w:id="255"/>
      <w:bookmarkEnd w:id="256"/>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257" w:name="_Toc5072259"/>
      <w:bookmarkStart w:id="258" w:name="_Toc5072450"/>
      <w:bookmarkStart w:id="259" w:name="_Toc7410326"/>
      <w:bookmarkStart w:id="260" w:name="_Toc88446284"/>
      <w:bookmarkStart w:id="261" w:name="_Toc256151893"/>
      <w:bookmarkStart w:id="262" w:name="_Toc254274095"/>
      <w:r>
        <w:rPr>
          <w:rStyle w:val="CharSectno"/>
        </w:rPr>
        <w:t>17</w:t>
      </w:r>
      <w:r>
        <w:rPr>
          <w:snapToGrid w:val="0"/>
        </w:rPr>
        <w:t>.</w:t>
      </w:r>
      <w:r>
        <w:rPr>
          <w:snapToGrid w:val="0"/>
        </w:rPr>
        <w:tab/>
        <w:t>Publication of results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263" w:name="_Toc5072260"/>
      <w:bookmarkStart w:id="264" w:name="_Toc5072451"/>
      <w:bookmarkStart w:id="265" w:name="_Toc7410327"/>
      <w:bookmarkStart w:id="266" w:name="_Toc88446285"/>
      <w:bookmarkStart w:id="267" w:name="_Toc256151894"/>
      <w:bookmarkStart w:id="268" w:name="_Toc254274096"/>
      <w:r>
        <w:rPr>
          <w:rStyle w:val="CharSectno"/>
        </w:rPr>
        <w:t>18</w:t>
      </w:r>
      <w:r>
        <w:rPr>
          <w:snapToGrid w:val="0"/>
        </w:rPr>
        <w:t>.</w:t>
      </w:r>
      <w:r>
        <w:rPr>
          <w:snapToGrid w:val="0"/>
        </w:rPr>
        <w:tab/>
        <w:t>Powerball Bloc prize pool and prize reserve fund</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269" w:name="_Toc88368679"/>
      <w:bookmarkStart w:id="270" w:name="_Toc88383313"/>
      <w:bookmarkStart w:id="271" w:name="_Toc88446286"/>
      <w:bookmarkStart w:id="272" w:name="_Toc147227972"/>
      <w:bookmarkStart w:id="273" w:name="_Toc147288709"/>
      <w:bookmarkStart w:id="274" w:name="_Toc150762488"/>
      <w:bookmarkStart w:id="275" w:name="_Toc150830525"/>
      <w:bookmarkStart w:id="276" w:name="_Toc158708861"/>
      <w:bookmarkStart w:id="277" w:name="_Toc159142614"/>
      <w:bookmarkStart w:id="278" w:name="_Toc159142662"/>
      <w:bookmarkStart w:id="279" w:name="_Toc159142727"/>
      <w:bookmarkStart w:id="280" w:name="_Toc161457333"/>
      <w:bookmarkStart w:id="281" w:name="_Toc170617562"/>
      <w:bookmarkStart w:id="282" w:name="_Toc173898323"/>
      <w:bookmarkStart w:id="283" w:name="_Toc173899494"/>
      <w:bookmarkStart w:id="284" w:name="_Toc200437217"/>
      <w:bookmarkStart w:id="285" w:name="_Toc200512597"/>
      <w:bookmarkStart w:id="286" w:name="_Toc200512656"/>
      <w:bookmarkStart w:id="287" w:name="_Toc202340804"/>
      <w:bookmarkStart w:id="288" w:name="_Toc202340864"/>
      <w:bookmarkStart w:id="289" w:name="_Toc205882930"/>
      <w:bookmarkStart w:id="290" w:name="_Toc208122878"/>
      <w:bookmarkStart w:id="291" w:name="_Toc210721070"/>
      <w:bookmarkStart w:id="292" w:name="_Toc230162545"/>
      <w:bookmarkStart w:id="293" w:name="_Toc254266234"/>
      <w:bookmarkStart w:id="294" w:name="_Toc254274097"/>
      <w:bookmarkStart w:id="295" w:name="_Toc256151895"/>
      <w:r>
        <w:rPr>
          <w:rStyle w:val="CharPartNo"/>
        </w:rPr>
        <w:t>Part 4</w:t>
      </w:r>
      <w:r>
        <w:rPr>
          <w:rStyle w:val="CharDivNo"/>
        </w:rPr>
        <w:t> </w:t>
      </w:r>
      <w:r>
        <w:t>—</w:t>
      </w:r>
      <w:r>
        <w:rPr>
          <w:rStyle w:val="CharDivText"/>
        </w:rPr>
        <w:t> </w:t>
      </w:r>
      <w:r>
        <w:rPr>
          <w:rStyle w:val="CharPartText"/>
        </w:rPr>
        <w:t>Powerball draw</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296" w:name="_Toc5072261"/>
      <w:bookmarkStart w:id="297" w:name="_Toc5072452"/>
      <w:bookmarkStart w:id="298" w:name="_Toc7410328"/>
      <w:bookmarkStart w:id="299" w:name="_Toc88446287"/>
      <w:bookmarkStart w:id="300" w:name="_Toc256151896"/>
      <w:bookmarkStart w:id="301" w:name="_Toc254274098"/>
      <w:r>
        <w:rPr>
          <w:rStyle w:val="CharSectno"/>
        </w:rPr>
        <w:t>19</w:t>
      </w:r>
      <w:r>
        <w:rPr>
          <w:snapToGrid w:val="0"/>
        </w:rPr>
        <w:t>.</w:t>
      </w:r>
      <w:r>
        <w:rPr>
          <w:snapToGrid w:val="0"/>
        </w:rPr>
        <w:tab/>
        <w:t>Powerball draw</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302" w:name="_Toc5072262"/>
      <w:bookmarkStart w:id="303" w:name="_Toc5072453"/>
      <w:bookmarkStart w:id="304" w:name="_Toc7410329"/>
      <w:bookmarkStart w:id="305" w:name="_Toc88446288"/>
      <w:bookmarkStart w:id="306" w:name="_Toc256151897"/>
      <w:bookmarkStart w:id="307" w:name="_Toc254274099"/>
      <w:r>
        <w:rPr>
          <w:rStyle w:val="CharSectno"/>
        </w:rPr>
        <w:t>20</w:t>
      </w:r>
      <w:r>
        <w:rPr>
          <w:snapToGrid w:val="0"/>
        </w:rPr>
        <w:t>.</w:t>
      </w:r>
      <w:r>
        <w:rPr>
          <w:snapToGrid w:val="0"/>
        </w:rPr>
        <w:tab/>
        <w:t>Criteria for powerball prizes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308" w:name="_Toc5072263"/>
      <w:bookmarkStart w:id="309" w:name="_Toc5072454"/>
      <w:bookmarkStart w:id="310" w:name="_Toc7410330"/>
      <w:bookmarkStart w:id="311" w:name="_Toc88446289"/>
      <w:bookmarkStart w:id="312" w:name="_Toc256151898"/>
      <w:bookmarkStart w:id="313" w:name="_Toc254274100"/>
      <w:r>
        <w:rPr>
          <w:rStyle w:val="CharSectno"/>
        </w:rPr>
        <w:t>21</w:t>
      </w:r>
      <w:r>
        <w:rPr>
          <w:snapToGrid w:val="0"/>
        </w:rPr>
        <w:t>.</w:t>
      </w:r>
      <w:r>
        <w:rPr>
          <w:snapToGrid w:val="0"/>
        </w:rPr>
        <w:tab/>
        <w:t>Only systems entry or Powerpik systems entry can win in more than one division</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w:t>
      </w:r>
    </w:p>
    <w:p>
      <w:pPr>
        <w:pStyle w:val="Heading5"/>
        <w:rPr>
          <w:snapToGrid w:val="0"/>
        </w:rPr>
      </w:pPr>
      <w:bookmarkStart w:id="314" w:name="_Toc5072264"/>
      <w:bookmarkStart w:id="315" w:name="_Toc5072455"/>
      <w:bookmarkStart w:id="316" w:name="_Toc7410331"/>
      <w:bookmarkStart w:id="317" w:name="_Toc88446290"/>
      <w:bookmarkStart w:id="318" w:name="_Toc256151899"/>
      <w:bookmarkStart w:id="319" w:name="_Toc254274101"/>
      <w:r>
        <w:rPr>
          <w:rStyle w:val="CharSectno"/>
        </w:rPr>
        <w:t>22</w:t>
      </w:r>
      <w:r>
        <w:rPr>
          <w:snapToGrid w:val="0"/>
        </w:rPr>
        <w:t>.</w:t>
      </w:r>
      <w:r>
        <w:rPr>
          <w:snapToGrid w:val="0"/>
        </w:rPr>
        <w:tab/>
        <w:t>Distribution of prize pool</w:t>
      </w:r>
      <w:bookmarkEnd w:id="314"/>
      <w:bookmarkEnd w:id="315"/>
      <w:bookmarkEnd w:id="316"/>
      <w:bookmarkEnd w:id="317"/>
      <w:bookmarkEnd w:id="318"/>
      <w:bookmarkEnd w:id="319"/>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320" w:name="_Toc5072265"/>
      <w:bookmarkStart w:id="321" w:name="_Toc5072456"/>
      <w:bookmarkStart w:id="322" w:name="_Toc7410332"/>
      <w:bookmarkStart w:id="323" w:name="_Toc88446291"/>
      <w:bookmarkStart w:id="324" w:name="_Toc256151900"/>
      <w:bookmarkStart w:id="325" w:name="_Toc254274102"/>
      <w:r>
        <w:rPr>
          <w:rStyle w:val="CharSectno"/>
        </w:rPr>
        <w:t>23</w:t>
      </w:r>
      <w:r>
        <w:rPr>
          <w:snapToGrid w:val="0"/>
        </w:rPr>
        <w:t>.</w:t>
      </w:r>
      <w:r>
        <w:rPr>
          <w:snapToGrid w:val="0"/>
        </w:rPr>
        <w:tab/>
        <w:t>Division 1 jackpot</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326" w:name="_Toc5072266"/>
      <w:bookmarkStart w:id="327" w:name="_Toc5072457"/>
      <w:bookmarkStart w:id="328" w:name="_Toc7410333"/>
      <w:bookmarkStart w:id="329" w:name="_Toc88446292"/>
      <w:bookmarkStart w:id="330" w:name="_Toc256151901"/>
      <w:bookmarkStart w:id="331" w:name="_Toc254274103"/>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332" w:name="_Toc5072267"/>
      <w:bookmarkStart w:id="333" w:name="_Toc5072458"/>
      <w:bookmarkStart w:id="334" w:name="_Toc7410334"/>
      <w:bookmarkStart w:id="335" w:name="_Toc88446293"/>
      <w:bookmarkStart w:id="336" w:name="_Toc256151902"/>
      <w:bookmarkStart w:id="337" w:name="_Toc254274104"/>
      <w:r>
        <w:rPr>
          <w:rStyle w:val="CharSectno"/>
        </w:rPr>
        <w:t>25</w:t>
      </w:r>
      <w:r>
        <w:rPr>
          <w:snapToGrid w:val="0"/>
        </w:rPr>
        <w:t>.</w:t>
      </w:r>
      <w:r>
        <w:rPr>
          <w:snapToGrid w:val="0"/>
        </w:rPr>
        <w:tab/>
        <w:t>Bonus draws and guaranteed prize pools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338" w:name="_Toc5072268"/>
      <w:bookmarkStart w:id="339" w:name="_Toc5072459"/>
      <w:bookmarkStart w:id="340" w:name="_Toc7410335"/>
      <w:bookmarkStart w:id="341" w:name="_Toc88446294"/>
      <w:bookmarkStart w:id="342" w:name="_Toc256151903"/>
      <w:bookmarkStart w:id="343" w:name="_Toc254274105"/>
      <w:r>
        <w:rPr>
          <w:rStyle w:val="CharSectno"/>
        </w:rPr>
        <w:t>26</w:t>
      </w:r>
      <w:r>
        <w:rPr>
          <w:snapToGrid w:val="0"/>
        </w:rPr>
        <w:t>.</w:t>
      </w:r>
      <w:r>
        <w:rPr>
          <w:snapToGrid w:val="0"/>
        </w:rPr>
        <w:tab/>
        <w:t>Division 1 prizes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Subject to subrule (3), a division 1 prize in a powerball draw is to be paid — </w:t>
      </w:r>
    </w:p>
    <w:p>
      <w:pPr>
        <w:pStyle w:val="Indenta"/>
        <w:spacing w:before="60"/>
        <w:rPr>
          <w:snapToGrid w:val="0"/>
        </w:rPr>
      </w:pPr>
      <w:r>
        <w:rPr>
          <w:snapToGrid w:val="0"/>
        </w:rPr>
        <w:tab/>
        <w:t>(a)</w:t>
      </w:r>
      <w:r>
        <w:rPr>
          <w:snapToGrid w:val="0"/>
        </w:rPr>
        <w:tab/>
        <w:t xml:space="preserve">by the Commission; </w:t>
      </w:r>
    </w:p>
    <w:p>
      <w:pPr>
        <w:pStyle w:val="Indenta"/>
        <w:spacing w:before="60"/>
        <w:rPr>
          <w:snapToGrid w:val="0"/>
        </w:rPr>
      </w:pPr>
      <w:r>
        <w:rPr>
          <w:snapToGrid w:val="0"/>
        </w:rPr>
        <w:tab/>
        <w:t>(b)</w:t>
      </w:r>
      <w:r>
        <w:rPr>
          <w:snapToGrid w:val="0"/>
        </w:rPr>
        <w:tab/>
        <w:t>subject to rule 31A, by cheque or in any other manner determined by the Commission;</w:t>
      </w:r>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w:t>
      </w:r>
    </w:p>
    <w:p>
      <w:pPr>
        <w:pStyle w:val="Heading5"/>
        <w:rPr>
          <w:snapToGrid w:val="0"/>
        </w:rPr>
      </w:pPr>
      <w:bookmarkStart w:id="344" w:name="_Toc5072269"/>
      <w:bookmarkStart w:id="345" w:name="_Toc5072460"/>
      <w:bookmarkStart w:id="346" w:name="_Toc7410336"/>
      <w:bookmarkStart w:id="347" w:name="_Toc88446295"/>
      <w:bookmarkStart w:id="348" w:name="_Toc256151904"/>
      <w:bookmarkStart w:id="349" w:name="_Toc254274106"/>
      <w:r>
        <w:rPr>
          <w:rStyle w:val="CharSectno"/>
        </w:rPr>
        <w:t>27</w:t>
      </w:r>
      <w:r>
        <w:rPr>
          <w:snapToGrid w:val="0"/>
        </w:rPr>
        <w:t>.</w:t>
      </w:r>
      <w:r>
        <w:rPr>
          <w:snapToGrid w:val="0"/>
        </w:rPr>
        <w:tab/>
        <w:t>Division 2 prizes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w:t>
      </w:r>
    </w:p>
    <w:p>
      <w:pPr>
        <w:pStyle w:val="Heading5"/>
        <w:rPr>
          <w:snapToGrid w:val="0"/>
        </w:rPr>
      </w:pPr>
      <w:bookmarkStart w:id="350" w:name="_Toc5072270"/>
      <w:bookmarkStart w:id="351" w:name="_Toc5072461"/>
      <w:bookmarkStart w:id="352" w:name="_Toc7410337"/>
      <w:bookmarkStart w:id="353" w:name="_Toc88446296"/>
      <w:bookmarkStart w:id="354" w:name="_Toc256151905"/>
      <w:bookmarkStart w:id="355" w:name="_Toc254274107"/>
      <w:r>
        <w:rPr>
          <w:rStyle w:val="CharSectno"/>
        </w:rPr>
        <w:t>28</w:t>
      </w:r>
      <w:r>
        <w:rPr>
          <w:snapToGrid w:val="0"/>
        </w:rPr>
        <w:t>.</w:t>
      </w:r>
      <w:r>
        <w:rPr>
          <w:snapToGrid w:val="0"/>
        </w:rPr>
        <w:tab/>
        <w:t>Division 3, 4, 5, 6 and 7 prizes</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w:t>
      </w:r>
    </w:p>
    <w:p>
      <w:pPr>
        <w:pStyle w:val="Heading5"/>
      </w:pPr>
      <w:bookmarkStart w:id="356" w:name="_Toc256151906"/>
      <w:bookmarkStart w:id="357" w:name="_Toc254274108"/>
      <w:bookmarkStart w:id="358" w:name="_Toc5072271"/>
      <w:bookmarkStart w:id="359" w:name="_Toc5072462"/>
      <w:bookmarkStart w:id="360" w:name="_Toc7410338"/>
      <w:bookmarkStart w:id="361" w:name="_Toc88446297"/>
      <w:r>
        <w:rPr>
          <w:rStyle w:val="CharSectno"/>
        </w:rPr>
        <w:t>28A</w:t>
      </w:r>
      <w:r>
        <w:t>.</w:t>
      </w:r>
      <w:r>
        <w:tab/>
        <w:t>Claiming a syndicate share prize</w:t>
      </w:r>
      <w:bookmarkEnd w:id="356"/>
      <w:bookmarkEnd w:id="357"/>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 xml:space="preserve">4.] </w:t>
      </w:r>
    </w:p>
    <w:p>
      <w:pPr>
        <w:pStyle w:val="Heading5"/>
        <w:rPr>
          <w:snapToGrid w:val="0"/>
        </w:rPr>
      </w:pPr>
      <w:bookmarkStart w:id="362" w:name="_Toc256151907"/>
      <w:bookmarkStart w:id="363" w:name="_Toc254274109"/>
      <w:r>
        <w:rPr>
          <w:rStyle w:val="CharSectno"/>
        </w:rPr>
        <w:t>29</w:t>
      </w:r>
      <w:r>
        <w:rPr>
          <w:snapToGrid w:val="0"/>
        </w:rPr>
        <w:t>.</w:t>
      </w:r>
      <w:r>
        <w:rPr>
          <w:snapToGrid w:val="0"/>
        </w:rPr>
        <w:tab/>
        <w:t>Commission may require a statutory declaration</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64" w:name="_Toc5072272"/>
      <w:bookmarkStart w:id="365" w:name="_Toc5072463"/>
      <w:bookmarkStart w:id="366" w:name="_Toc7410339"/>
      <w:bookmarkStart w:id="367" w:name="_Toc88446298"/>
      <w:r>
        <w:tab/>
        <w:t xml:space="preserve">[Rule 29 amended in Gazette 6 Jun 2008 p. 2245.] </w:t>
      </w:r>
    </w:p>
    <w:p>
      <w:pPr>
        <w:pStyle w:val="Heading5"/>
        <w:rPr>
          <w:snapToGrid w:val="0"/>
        </w:rPr>
      </w:pPr>
      <w:bookmarkStart w:id="368" w:name="_Toc256151908"/>
      <w:bookmarkStart w:id="369" w:name="_Toc254274110"/>
      <w:r>
        <w:rPr>
          <w:rStyle w:val="CharSectno"/>
        </w:rPr>
        <w:t>30</w:t>
      </w:r>
      <w:r>
        <w:rPr>
          <w:snapToGrid w:val="0"/>
        </w:rPr>
        <w:t>.</w:t>
      </w:r>
      <w:r>
        <w:rPr>
          <w:snapToGrid w:val="0"/>
        </w:rPr>
        <w:tab/>
        <w:t>Publication of names and addresses of prize winners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70" w:name="_Toc5072273"/>
      <w:bookmarkStart w:id="371" w:name="_Toc5072464"/>
      <w:bookmarkStart w:id="372" w:name="_Toc7410340"/>
      <w:bookmarkStart w:id="373" w:name="_Toc88446299"/>
      <w:bookmarkStart w:id="374" w:name="_Toc256151909"/>
      <w:bookmarkStart w:id="375" w:name="_Toc254274111"/>
      <w:r>
        <w:rPr>
          <w:rStyle w:val="CharSectno"/>
        </w:rPr>
        <w:t>31</w:t>
      </w:r>
      <w:r>
        <w:rPr>
          <w:snapToGrid w:val="0"/>
        </w:rPr>
        <w:t>.</w:t>
      </w:r>
      <w:r>
        <w:rPr>
          <w:snapToGrid w:val="0"/>
        </w:rPr>
        <w:tab/>
        <w:t>Player Registration Service</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 xml:space="preserve">6.] </w:t>
      </w:r>
    </w:p>
    <w:p>
      <w:pPr>
        <w:pStyle w:val="Heading5"/>
      </w:pPr>
      <w:bookmarkStart w:id="376" w:name="_Toc256151910"/>
      <w:bookmarkStart w:id="377" w:name="_Toc254274112"/>
      <w:bookmarkStart w:id="378" w:name="_Toc88368693"/>
      <w:bookmarkStart w:id="379" w:name="_Toc88383327"/>
      <w:bookmarkStart w:id="380" w:name="_Toc88446300"/>
      <w:bookmarkStart w:id="381" w:name="_Toc147227986"/>
      <w:bookmarkStart w:id="382" w:name="_Toc147288723"/>
      <w:bookmarkStart w:id="383" w:name="_Toc150762502"/>
      <w:bookmarkStart w:id="384" w:name="_Toc150830539"/>
      <w:bookmarkStart w:id="385" w:name="_Toc158708875"/>
      <w:bookmarkStart w:id="386" w:name="_Toc159142628"/>
      <w:bookmarkStart w:id="387" w:name="_Toc159142676"/>
      <w:bookmarkStart w:id="388" w:name="_Toc159142741"/>
      <w:bookmarkStart w:id="389" w:name="_Toc161457347"/>
      <w:bookmarkStart w:id="390" w:name="_Toc170617576"/>
      <w:bookmarkStart w:id="391" w:name="_Toc173898337"/>
      <w:bookmarkStart w:id="392" w:name="_Toc173899508"/>
      <w:r>
        <w:rPr>
          <w:rStyle w:val="CharSectno"/>
        </w:rPr>
        <w:t>31A</w:t>
      </w:r>
      <w:r>
        <w:t>.</w:t>
      </w:r>
      <w:r>
        <w:tab/>
        <w:t>Player’s card holders may request direct credit of prizes</w:t>
      </w:r>
      <w:bookmarkEnd w:id="376"/>
      <w:bookmarkEnd w:id="377"/>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393" w:name="_Toc256151911"/>
      <w:bookmarkStart w:id="394" w:name="_Toc254274113"/>
      <w:r>
        <w:rPr>
          <w:rStyle w:val="CharSectno"/>
        </w:rPr>
        <w:t>31B</w:t>
      </w:r>
      <w:r>
        <w:t>.</w:t>
      </w:r>
      <w:r>
        <w:tab/>
        <w:t>Registering favourite numbers</w:t>
      </w:r>
      <w:bookmarkEnd w:id="393"/>
      <w:bookmarkEnd w:id="394"/>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395" w:name="_Toc200437234"/>
      <w:bookmarkStart w:id="396" w:name="_Toc200512614"/>
      <w:bookmarkStart w:id="397" w:name="_Toc200512673"/>
      <w:bookmarkStart w:id="398" w:name="_Toc202340821"/>
      <w:bookmarkStart w:id="399" w:name="_Toc202340881"/>
      <w:bookmarkStart w:id="400" w:name="_Toc205882947"/>
      <w:bookmarkStart w:id="401" w:name="_Toc208122895"/>
      <w:bookmarkStart w:id="402" w:name="_Toc210721087"/>
      <w:bookmarkStart w:id="403" w:name="_Toc230162562"/>
      <w:bookmarkStart w:id="404" w:name="_Toc254266251"/>
      <w:bookmarkStart w:id="405" w:name="_Toc254274114"/>
      <w:bookmarkStart w:id="406" w:name="_Toc256151912"/>
      <w:r>
        <w:rPr>
          <w:rStyle w:val="CharPartNo"/>
        </w:rPr>
        <w:t>Part 5</w:t>
      </w:r>
      <w:r>
        <w:rPr>
          <w:rStyle w:val="CharDivNo"/>
        </w:rPr>
        <w:t> </w:t>
      </w:r>
      <w:r>
        <w:t>—</w:t>
      </w:r>
      <w:r>
        <w:rPr>
          <w:rStyle w:val="CharDivText"/>
        </w:rPr>
        <w:t> </w:t>
      </w:r>
      <w:r>
        <w:rPr>
          <w:rStyle w:val="CharPartText"/>
        </w:rPr>
        <w:t>Miscellaneous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5072274"/>
      <w:bookmarkStart w:id="408" w:name="_Toc5072465"/>
      <w:bookmarkStart w:id="409" w:name="_Toc7410341"/>
      <w:bookmarkStart w:id="410" w:name="_Toc88446301"/>
      <w:bookmarkStart w:id="411" w:name="_Toc256151913"/>
      <w:bookmarkStart w:id="412" w:name="_Toc254274115"/>
      <w:r>
        <w:rPr>
          <w:rStyle w:val="CharSectno"/>
        </w:rPr>
        <w:t>32</w:t>
      </w:r>
      <w:r>
        <w:rPr>
          <w:snapToGrid w:val="0"/>
        </w:rPr>
        <w:t>.</w:t>
      </w:r>
      <w:r>
        <w:rPr>
          <w:snapToGrid w:val="0"/>
        </w:rPr>
        <w:tab/>
        <w:t>Instructions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13" w:name="_Toc5072275"/>
      <w:bookmarkStart w:id="414" w:name="_Toc5072466"/>
      <w:bookmarkStart w:id="415" w:name="_Toc7410342"/>
      <w:bookmarkStart w:id="416" w:name="_Toc88446302"/>
      <w:r>
        <w:tab/>
        <w:t xml:space="preserve">[Rule 32 amended in Gazette 6 Jun 2008 p. 2247.] </w:t>
      </w:r>
    </w:p>
    <w:p>
      <w:pPr>
        <w:pStyle w:val="Heading5"/>
        <w:rPr>
          <w:snapToGrid w:val="0"/>
        </w:rPr>
      </w:pPr>
      <w:bookmarkStart w:id="417" w:name="_Toc256151914"/>
      <w:bookmarkStart w:id="418" w:name="_Toc254274116"/>
      <w:r>
        <w:rPr>
          <w:rStyle w:val="CharSectno"/>
        </w:rPr>
        <w:t>33</w:t>
      </w:r>
      <w:r>
        <w:rPr>
          <w:snapToGrid w:val="0"/>
        </w:rPr>
        <w:t>.</w:t>
      </w:r>
      <w:r>
        <w:rPr>
          <w:snapToGrid w:val="0"/>
        </w:rPr>
        <w:tab/>
        <w:t>Rules to be made available</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419" w:name="_Toc5072276"/>
      <w:bookmarkStart w:id="420" w:name="_Toc5072467"/>
      <w:bookmarkStart w:id="421" w:name="_Toc7410343"/>
      <w:bookmarkStart w:id="422" w:name="_Toc88446303"/>
      <w:bookmarkStart w:id="423" w:name="_Toc256151915"/>
      <w:bookmarkStart w:id="424" w:name="_Toc254274117"/>
      <w:r>
        <w:rPr>
          <w:rStyle w:val="CharSectno"/>
        </w:rPr>
        <w:t>34</w:t>
      </w:r>
      <w:r>
        <w:rPr>
          <w:snapToGrid w:val="0"/>
        </w:rPr>
        <w:t>.</w:t>
      </w:r>
      <w:r>
        <w:rPr>
          <w:snapToGrid w:val="0"/>
        </w:rPr>
        <w:tab/>
        <w:t>Decisions of Commission final</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25" w:name="_Toc200437239"/>
      <w:bookmarkStart w:id="426" w:name="_Toc200512618"/>
      <w:bookmarkStart w:id="427" w:name="_Toc200512677"/>
      <w:bookmarkStart w:id="428" w:name="_Toc202340825"/>
      <w:bookmarkStart w:id="429" w:name="_Toc202340885"/>
      <w:bookmarkStart w:id="430" w:name="_Toc205882951"/>
      <w:bookmarkStart w:id="431" w:name="_Toc208122899"/>
      <w:bookmarkStart w:id="432" w:name="_Toc210721091"/>
      <w:bookmarkStart w:id="433" w:name="_Toc230162566"/>
      <w:bookmarkStart w:id="434" w:name="_Toc254266255"/>
      <w:bookmarkStart w:id="435" w:name="_Toc254274118"/>
      <w:bookmarkStart w:id="436" w:name="_Toc256151916"/>
      <w:bookmarkStart w:id="437" w:name="_Toc5072471"/>
      <w:bookmarkStart w:id="438" w:name="_Toc88446305"/>
      <w:bookmarkStart w:id="439" w:name="_Toc147227991"/>
      <w:bookmarkStart w:id="440" w:name="_Toc147288728"/>
      <w:bookmarkStart w:id="441" w:name="_Toc150762507"/>
      <w:bookmarkStart w:id="442" w:name="_Toc150830544"/>
      <w:bookmarkStart w:id="443" w:name="_Toc158708881"/>
      <w:bookmarkStart w:id="444" w:name="_Toc159142634"/>
      <w:bookmarkStart w:id="445" w:name="_Toc159142682"/>
      <w:bookmarkStart w:id="446" w:name="_Toc159142747"/>
      <w:bookmarkStart w:id="447" w:name="_Toc161457352"/>
      <w:bookmarkStart w:id="448" w:name="_Toc170617581"/>
      <w:bookmarkStart w:id="449" w:name="_Toc173898342"/>
      <w:bookmarkStart w:id="450" w:name="_Toc173899513"/>
      <w:r>
        <w:rPr>
          <w:rStyle w:val="CharSchNo"/>
        </w:rPr>
        <w:t>Schedule 1</w:t>
      </w:r>
      <w:r>
        <w:t> — </w:t>
      </w:r>
      <w:r>
        <w:rPr>
          <w:rStyle w:val="CharSchText"/>
        </w:rPr>
        <w:t>Calculating the total cost of entry — Powerball draw</w:t>
      </w:r>
      <w:bookmarkEnd w:id="425"/>
      <w:bookmarkEnd w:id="426"/>
      <w:bookmarkEnd w:id="427"/>
      <w:bookmarkEnd w:id="428"/>
      <w:bookmarkEnd w:id="429"/>
      <w:bookmarkEnd w:id="430"/>
      <w:bookmarkEnd w:id="431"/>
      <w:bookmarkEnd w:id="432"/>
      <w:bookmarkEnd w:id="433"/>
      <w:bookmarkEnd w:id="434"/>
      <w:bookmarkEnd w:id="435"/>
      <w:bookmarkEnd w:id="436"/>
    </w:p>
    <w:p>
      <w:pPr>
        <w:pStyle w:val="yShoulderClause"/>
        <w:spacing w:before="60"/>
        <w:ind w:right="8"/>
        <w:rPr>
          <w:snapToGrid w:val="0"/>
        </w:rPr>
      </w:pPr>
      <w:r>
        <w:rPr>
          <w:snapToGrid w:val="0"/>
        </w:rPr>
        <w:t>[r. 3 and 5]</w:t>
      </w:r>
    </w:p>
    <w:p>
      <w:pPr>
        <w:pStyle w:val="yFootnoteheading"/>
      </w:pPr>
      <w:r>
        <w:tab/>
        <w:t>[Heading inserted in Gazette 6 Jun 2008 p. 2247.]</w:t>
      </w:r>
    </w:p>
    <w:p>
      <w:pPr>
        <w:pStyle w:val="yMiscellaneousBody"/>
        <w:spacing w:before="240" w:after="80"/>
      </w:pPr>
      <w:r>
        <w:t>The unit cost of entering a powerball draw up to and including the powerball draw numbered 719 is made up of a subscription of 60 cents per game and an agent’s component.</w:t>
      </w:r>
    </w:p>
    <w:p>
      <w:pPr>
        <w:pStyle w:val="yMiscellaneousBody"/>
        <w:spacing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$0.60) x .09 </w:t>
      </w:r>
      <w:r>
        <w:rPr>
          <w:b/>
          <w:bCs/>
        </w:rPr>
        <w:sym w:font="Symbol" w:char="F0AE"/>
      </w:r>
      <w:r>
        <w:rPr>
          <w:b/>
          <w:bCs/>
        </w:rPr>
        <w:t xml:space="preserve"> rounded) x W = T</w:t>
      </w:r>
    </w:p>
    <w:p>
      <w:pPr>
        <w:pStyle w:val="yMiscellaneousBody"/>
        <w:spacing w:before="120" w:after="80"/>
      </w:pPr>
      <w:r>
        <w:t xml:space="preserve">where — </w:t>
      </w:r>
    </w:p>
    <w:p>
      <w:pPr>
        <w:pStyle w:val="yMiscellaneousBody"/>
        <w:tabs>
          <w:tab w:val="left" w:pos="1134"/>
        </w:tabs>
        <w:spacing w:before="120" w:after="80"/>
      </w:pPr>
      <w:r>
        <w:tab/>
      </w:r>
      <w:r>
        <w:rPr>
          <w:b/>
          <w:bCs/>
        </w:rPr>
        <w:t>G</w:t>
      </w:r>
      <w:r>
        <w:t xml:space="preserve"> = No. of games entered in a draw</w:t>
      </w:r>
    </w:p>
    <w:p>
      <w:pPr>
        <w:pStyle w:val="yMiscellaneousBody"/>
        <w:tabs>
          <w:tab w:val="left" w:pos="1134"/>
        </w:tabs>
        <w:spacing w:before="120" w:after="80"/>
      </w:pPr>
      <w:r>
        <w:tab/>
      </w:r>
      <w:r>
        <w:rPr>
          <w:b/>
          <w:bCs/>
        </w:rPr>
        <w:t>W</w:t>
      </w:r>
      <w:r>
        <w:t xml:space="preserve"> = No. of weeks the entry spans</w:t>
      </w:r>
    </w:p>
    <w:p>
      <w:pPr>
        <w:pStyle w:val="yMiscellaneousBody"/>
        <w:tabs>
          <w:tab w:val="left" w:pos="1134"/>
        </w:tabs>
        <w:spacing w:before="120" w:after="80"/>
      </w:pPr>
      <w:r>
        <w:tab/>
      </w:r>
      <w:r>
        <w:rPr>
          <w:b/>
          <w:bCs/>
        </w:rPr>
        <w:t>T</w:t>
      </w:r>
      <w:r>
        <w:t xml:space="preserve"> = Total agent’s component cost payable by the subscriber</w:t>
      </w:r>
    </w:p>
    <w:p>
      <w:pPr>
        <w:pStyle w:val="yMiscellaneousBody"/>
        <w:spacing w:before="120" w:after="80"/>
        <w:rPr>
          <w:sz w:val="32"/>
        </w:rPr>
      </w:pPr>
    </w:p>
    <w:p>
      <w:pPr>
        <w:pStyle w:val="yMiscellaneousBody"/>
        <w:spacing w:before="120" w:after="80"/>
        <w:rPr>
          <w:b/>
          <w:bCs/>
        </w:rPr>
      </w:pPr>
      <w:r>
        <w:rPr>
          <w:b/>
          <w:bCs/>
        </w:rPr>
        <w:t>Examples:</w:t>
      </w:r>
    </w:p>
    <w:p>
      <w:pPr>
        <w:pStyle w:val="yMiscellaneousBody"/>
        <w:spacing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 xml:space="preserve">Subscription [25 games @ $0.60 each] </w:t>
      </w:r>
      <w:r>
        <w:tab/>
        <w:t>=</w:t>
      </w:r>
      <w:r>
        <w:tab/>
        <w:t>$15.00</w:t>
      </w:r>
    </w:p>
    <w:p>
      <w:pPr>
        <w:pStyle w:val="yMiscellaneousBody"/>
        <w:tabs>
          <w:tab w:val="left" w:pos="1134"/>
          <w:tab w:val="left" w:pos="4820"/>
          <w:tab w:val="decimal" w:pos="5529"/>
        </w:tabs>
        <w:spacing w:before="120" w:after="80"/>
      </w:pPr>
      <w:r>
        <w:tab/>
        <w:t>9% of subscription [.09 x $15.00]</w:t>
      </w:r>
      <w:r>
        <w:tab/>
        <w:t>=</w:t>
      </w:r>
      <w:r>
        <w:tab/>
        <w:t>$1.35</w:t>
      </w:r>
    </w:p>
    <w:p>
      <w:pPr>
        <w:pStyle w:val="yMiscellaneousBody"/>
        <w:tabs>
          <w:tab w:val="left" w:pos="1134"/>
          <w:tab w:val="left" w:pos="4820"/>
          <w:tab w:val="decimal" w:pos="5529"/>
        </w:tabs>
        <w:spacing w:before="120" w:after="80"/>
      </w:pPr>
      <w:r>
        <w:tab/>
        <w:t>Rounding not required</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pPr>
        <w:pStyle w:val="yMiscellaneousBody"/>
        <w:spacing w:before="120" w:after="80"/>
      </w:pPr>
    </w:p>
    <w:p>
      <w:pPr>
        <w:pStyle w:val="yMiscellaneousBody"/>
        <w:keepNext/>
        <w:spacing w:before="12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 xml:space="preserve">Subscription [21 games @ $0.60 each] </w:t>
      </w:r>
      <w:r>
        <w:tab/>
        <w:t>=</w:t>
      </w:r>
      <w:r>
        <w:tab/>
        <w:t>$12.60</w:t>
      </w:r>
    </w:p>
    <w:p>
      <w:pPr>
        <w:pStyle w:val="yMiscellaneousBody"/>
        <w:tabs>
          <w:tab w:val="left" w:pos="1134"/>
          <w:tab w:val="left" w:pos="4820"/>
          <w:tab w:val="decimal" w:pos="5529"/>
        </w:tabs>
        <w:spacing w:before="120" w:after="80"/>
      </w:pPr>
      <w:r>
        <w:tab/>
        <w:t>9% of subscription [.09 x $12.60]</w:t>
      </w:r>
      <w:r>
        <w:tab/>
        <w:t>=</w:t>
      </w:r>
      <w:r>
        <w:tab/>
        <w:t>$1.134</w:t>
      </w:r>
    </w:p>
    <w:p>
      <w:pPr>
        <w:pStyle w:val="yMiscellaneousBody"/>
        <w:tabs>
          <w:tab w:val="left" w:pos="1134"/>
          <w:tab w:val="left" w:pos="4820"/>
          <w:tab w:val="decimal" w:pos="5529"/>
        </w:tabs>
        <w:spacing w:before="120" w:after="80"/>
      </w:pPr>
      <w:r>
        <w:tab/>
        <w:t>Rounded using “bankers rounding”</w:t>
      </w:r>
      <w:r>
        <w:tab/>
        <w:t>=</w:t>
      </w:r>
      <w:r>
        <w:tab/>
        <w:t>$1.15</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$13.75</w:t>
      </w:r>
    </w:p>
    <w:p>
      <w:pPr>
        <w:pStyle w:val="yMiscellaneousBody"/>
        <w:spacing w:before="120" w:after="80"/>
        <w:rPr>
          <w:sz w:val="16"/>
        </w:rPr>
      </w:pPr>
    </w:p>
    <w:p>
      <w:pPr>
        <w:pStyle w:val="yMiscellaneousBody"/>
        <w:spacing w:before="8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 xml:space="preserve">Subscription [6 x 126 games @ $0.60 each] </w:t>
      </w:r>
      <w:r>
        <w:tab/>
        <w:t>=</w:t>
      </w:r>
      <w:r>
        <w:tab/>
        <w:t>$453.60</w:t>
      </w:r>
    </w:p>
    <w:p>
      <w:pPr>
        <w:pStyle w:val="yMiscellaneousBody"/>
        <w:tabs>
          <w:tab w:val="left" w:pos="1134"/>
          <w:tab w:val="left" w:pos="4820"/>
          <w:tab w:val="decimal" w:pos="5529"/>
        </w:tabs>
        <w:spacing w:before="120" w:after="80"/>
      </w:pPr>
      <w:r>
        <w:tab/>
        <w:t>9% of subscription [.09 x $453.60]</w:t>
      </w:r>
      <w:r>
        <w:tab/>
      </w:r>
      <w:r>
        <w:tab/>
        <w:t>=</w:t>
      </w:r>
      <w:r>
        <w:tab/>
        <w:t>$40.824</w:t>
      </w:r>
    </w:p>
    <w:p>
      <w:pPr>
        <w:pStyle w:val="yMiscellaneousBody"/>
        <w:tabs>
          <w:tab w:val="left" w:pos="1134"/>
          <w:tab w:val="left" w:pos="4820"/>
          <w:tab w:val="decimal" w:pos="5529"/>
        </w:tabs>
        <w:spacing w:before="120" w:after="80"/>
      </w:pPr>
      <w:r>
        <w:tab/>
        <w:t>Rounded using “bankers rounding”</w:t>
      </w:r>
      <w:r>
        <w:tab/>
      </w:r>
      <w:r>
        <w:tab/>
        <w:t>=</w:t>
      </w:r>
      <w:r>
        <w:tab/>
        <w:t>$40.80</w:t>
      </w:r>
    </w:p>
    <w:p>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pPr>
        <w:pStyle w:val="yMiscellaneousBody"/>
        <w:spacing w:before="120" w:after="80"/>
        <w:rPr>
          <w:sz w:val="16"/>
        </w:rPr>
      </w:pPr>
    </w:p>
    <w:p>
      <w:pPr>
        <w:pStyle w:val="yMiscellaneousBody"/>
        <w:spacing w:before="80" w:after="80"/>
      </w:pPr>
      <w:r>
        <w:t xml:space="preserve">The total cost of entry for a Powerpik 6 entry for a single powerball draw is calculated as follows — </w:t>
      </w:r>
    </w:p>
    <w:p>
      <w:pPr>
        <w:pStyle w:val="yMiscellaneousBody"/>
        <w:tabs>
          <w:tab w:val="left" w:pos="1134"/>
          <w:tab w:val="left" w:pos="4820"/>
          <w:tab w:val="decimal" w:pos="5529"/>
        </w:tabs>
        <w:spacing w:before="120" w:after="80"/>
      </w:pPr>
      <w:r>
        <w:tab/>
        <w:t xml:space="preserve">Subscription [270 games @ $0.60 each] </w:t>
      </w:r>
      <w:r>
        <w:tab/>
        <w:t>=</w:t>
      </w:r>
      <w:r>
        <w:tab/>
        <w:t>$162.00</w:t>
      </w:r>
    </w:p>
    <w:p>
      <w:pPr>
        <w:pStyle w:val="yMiscellaneousBody"/>
        <w:tabs>
          <w:tab w:val="left" w:pos="1134"/>
          <w:tab w:val="left" w:pos="4820"/>
          <w:tab w:val="decimal" w:pos="5529"/>
        </w:tabs>
        <w:spacing w:before="120" w:after="80"/>
      </w:pPr>
      <w:r>
        <w:tab/>
        <w:t>9% of subscription [.09 x $162.00]</w:t>
      </w:r>
      <w:r>
        <w:tab/>
        <w:t>=</w:t>
      </w:r>
      <w:r>
        <w:tab/>
        <w:t>$14.58</w:t>
      </w:r>
    </w:p>
    <w:p>
      <w:pPr>
        <w:pStyle w:val="yMiscellaneousBody"/>
        <w:tabs>
          <w:tab w:val="left" w:pos="1134"/>
          <w:tab w:val="left" w:pos="4820"/>
          <w:tab w:val="decimal" w:pos="5529"/>
        </w:tabs>
        <w:spacing w:before="120" w:after="80"/>
      </w:pPr>
      <w:r>
        <w:tab/>
        <w:t>Rounded using “bankers rounding”</w:t>
      </w:r>
      <w:r>
        <w:tab/>
        <w:t>=</w:t>
      </w:r>
      <w:r>
        <w:tab/>
        <w:t>$14.60</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pPr>
        <w:pStyle w:val="yMiscellaneousBody"/>
        <w:spacing w:before="120" w:after="80"/>
        <w:rPr>
          <w:sz w:val="16"/>
        </w:rPr>
      </w:pPr>
    </w:p>
    <w:p>
      <w:pPr>
        <w:pStyle w:val="yMiscellaneousBody"/>
        <w:keepNext/>
        <w:keepLines/>
        <w:spacing w:before="80" w:after="80"/>
      </w:pPr>
      <w:r>
        <w:t xml:space="preserve">The total cost of entry for a Slikpik 25 entry spanning 10 weeks of powerball is calculated as follows — </w:t>
      </w:r>
    </w:p>
    <w:p>
      <w:pPr>
        <w:pStyle w:val="yMiscellaneousBody"/>
        <w:keepNext/>
        <w:keepLines/>
        <w:tabs>
          <w:tab w:val="left" w:pos="1134"/>
          <w:tab w:val="left" w:pos="4820"/>
          <w:tab w:val="left" w:pos="5103"/>
        </w:tabs>
        <w:spacing w:before="120" w:after="40"/>
      </w:pPr>
      <w:r>
        <w:tab/>
        <w:t xml:space="preserve">Subscription for one week </w:t>
      </w:r>
    </w:p>
    <w:p>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pPr>
        <w:pStyle w:val="yMiscellaneousBody"/>
        <w:keepNext/>
        <w:tabs>
          <w:tab w:val="left" w:pos="1134"/>
          <w:tab w:val="left" w:pos="4820"/>
          <w:tab w:val="left" w:pos="5103"/>
        </w:tabs>
        <w:spacing w:before="120" w:after="80"/>
      </w:pPr>
      <w:r>
        <w:tab/>
        <w:t>9% of subscription [.09 x $15.00]</w:t>
      </w:r>
      <w:r>
        <w:tab/>
        <w:t>=</w:t>
      </w:r>
      <w:r>
        <w:tab/>
        <w:t>$1.35</w:t>
      </w:r>
    </w:p>
    <w:p>
      <w:pPr>
        <w:pStyle w:val="yMiscellaneousBody"/>
        <w:tabs>
          <w:tab w:val="left" w:pos="1134"/>
          <w:tab w:val="left" w:pos="4820"/>
          <w:tab w:val="left" w:pos="5103"/>
        </w:tabs>
        <w:spacing w:before="120" w:after="80"/>
      </w:pPr>
      <w:r>
        <w:tab/>
        <w:t>Rounding not required</w:t>
      </w:r>
    </w:p>
    <w:p>
      <w:pPr>
        <w:pStyle w:val="yMiscellaneousBody"/>
        <w:tabs>
          <w:tab w:val="left" w:pos="1134"/>
          <w:tab w:val="left" w:pos="4820"/>
          <w:tab w:val="left" w:pos="5103"/>
        </w:tabs>
        <w:spacing w:before="120" w:after="80"/>
      </w:pPr>
      <w:r>
        <w:tab/>
        <w:t>Total cost of entry for one week</w:t>
      </w:r>
      <w:r>
        <w:tab/>
        <w:t>=</w:t>
      </w:r>
      <w:r>
        <w:tab/>
        <w:t>$16.35</w:t>
      </w:r>
    </w:p>
    <w:p>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pPr>
        <w:pStyle w:val="yMiscellaneousBody"/>
        <w:spacing w:before="120" w:after="80"/>
      </w:pPr>
    </w:p>
    <w:p>
      <w:pPr>
        <w:pStyle w:val="yMiscellaneousBody"/>
        <w:spacing w:before="120" w:after="80"/>
      </w:pPr>
      <w:r>
        <w:t>* Rounding is calculated using the method known as “bankers rounding” or “round</w:t>
      </w:r>
      <w:r>
        <w:noBreakHyphen/>
        <w:t>to</w:t>
      </w:r>
      <w:r>
        <w:noBreakHyphen/>
        <w:t>even” rounding.</w:t>
      </w:r>
    </w:p>
    <w:p>
      <w:pPr>
        <w:pStyle w:val="yFootnoteheading"/>
      </w:pPr>
      <w:r>
        <w:tab/>
        <w:t>[Schedule 1 inserted in Gazette 6 Jun 2008 p. 2247</w:t>
      </w:r>
      <w:r>
        <w:noBreakHyphen/>
        <w:t>9; amended in Gazette 19 Feb 2010 p. 664.]</w:t>
      </w:r>
    </w:p>
    <w:p>
      <w:pPr>
        <w:pStyle w:val="yScheduleHeading"/>
      </w:pPr>
      <w:bookmarkStart w:id="451" w:name="UpToHere"/>
      <w:bookmarkStart w:id="452" w:name="_Toc254266256"/>
      <w:bookmarkStart w:id="453" w:name="_Toc254274119"/>
      <w:bookmarkStart w:id="454" w:name="_Toc256151917"/>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SchNo"/>
        </w:rPr>
        <w:t>Schedule 2A</w:t>
      </w:r>
      <w:r>
        <w:t> — </w:t>
      </w:r>
      <w:r>
        <w:rPr>
          <w:rStyle w:val="CharSchText"/>
        </w:rPr>
        <w:t>Calculating the total cost of entry — Powerball draw</w:t>
      </w:r>
      <w:bookmarkEnd w:id="452"/>
      <w:bookmarkEnd w:id="453"/>
      <w:bookmarkEnd w:id="454"/>
    </w:p>
    <w:p>
      <w:pPr>
        <w:pStyle w:val="yShoulderClause"/>
      </w:pPr>
      <w:r>
        <w:t>[r. 3 and 5]</w:t>
      </w:r>
    </w:p>
    <w:p>
      <w:pPr>
        <w:pStyle w:val="yFootnoteheading"/>
      </w:pPr>
      <w:r>
        <w:tab/>
        <w:t>[Heading inserted in Gazette 19 Feb 2010 p. 664.]</w:t>
      </w:r>
    </w:p>
    <w:p>
      <w:pPr>
        <w:pStyle w:val="yMiscellaneousBody"/>
      </w:pPr>
      <w:r>
        <w:t>The unit cost of entering the powerball draw numbered 720 and subsequent powerball draws is made up of a subscription of 65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$0.65) x .09 </w:t>
      </w:r>
      <w:r>
        <w:rPr>
          <w:b/>
          <w:bCs/>
        </w:rPr>
        <w:sym w:font="Symbol" w:char="F0AE"/>
      </w:r>
      <w:r>
        <w:rPr>
          <w:b/>
          <w:bCs/>
        </w:rPr>
        <w:t xml:space="preserve"> rounded) x W = T</w:t>
      </w:r>
    </w:p>
    <w:p>
      <w:pPr>
        <w:pStyle w:val="yMiscellaneousBody"/>
      </w:pPr>
      <w:r>
        <w:t xml:space="preserve">where — </w:t>
      </w:r>
    </w:p>
    <w:p>
      <w:pPr>
        <w:pStyle w:val="yMiscellaneousBody"/>
        <w:tabs>
          <w:tab w:val="left" w:pos="840"/>
        </w:tabs>
      </w:pPr>
      <w:r>
        <w:tab/>
      </w:r>
      <w:r>
        <w:rPr>
          <w:b/>
          <w:bCs/>
        </w:rPr>
        <w:t>G</w:t>
      </w:r>
      <w:r>
        <w:t xml:space="preserve"> = No. of games entered in a draw</w:t>
      </w:r>
    </w:p>
    <w:p>
      <w:pPr>
        <w:pStyle w:val="yMiscellaneousBody"/>
        <w:tabs>
          <w:tab w:val="left" w:pos="840"/>
        </w:tabs>
      </w:pPr>
      <w:r>
        <w:tab/>
      </w:r>
      <w:r>
        <w:rPr>
          <w:b/>
          <w:bCs/>
        </w:rPr>
        <w:t>W</w:t>
      </w:r>
      <w:r>
        <w:t xml:space="preserve"> = No. of weeks the entry spans</w:t>
      </w:r>
    </w:p>
    <w:p>
      <w:pPr>
        <w:pStyle w:val="yMiscellaneousBody"/>
        <w:tabs>
          <w:tab w:val="left" w:pos="840"/>
        </w:tabs>
      </w:pPr>
      <w:r>
        <w:tab/>
      </w:r>
      <w:r>
        <w:rPr>
          <w:b/>
          <w:bCs/>
        </w:rPr>
        <w:t>T</w:t>
      </w:r>
      <w:r>
        <w:t xml:space="preserve"> = Total agent’s component cost payable by the subscriber</w:t>
      </w:r>
    </w:p>
    <w:p>
      <w:pPr>
        <w:pStyle w:val="yMiscellaneousBody"/>
        <w:tabs>
          <w:tab w:val="left" w:pos="840"/>
        </w:tabs>
      </w:pPr>
    </w:p>
    <w:p>
      <w:pPr>
        <w:pStyle w:val="yMiscellaneousBody"/>
        <w:rPr>
          <w:b/>
          <w:bCs/>
        </w:rPr>
      </w:pPr>
      <w:r>
        <w:rPr>
          <w:b/>
          <w:bCs/>
        </w:rPr>
        <w:t>Examples:</w:t>
      </w:r>
    </w:p>
    <w:p>
      <w:pPr>
        <w:pStyle w:val="yMiscellaneousBody"/>
      </w:pPr>
      <w:r>
        <w:t xml:space="preserve">The total cost of entry for a Slikpik 25 entry for a single powerball draw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tabs>
          <w:tab w:val="left" w:pos="840"/>
          <w:tab w:val="left" w:pos="4800"/>
          <w:tab w:val="decimal" w:pos="5520"/>
        </w:tabs>
      </w:pPr>
      <w:r>
        <w:tab/>
        <w:t>Rounded using “bankers rounding”</w:t>
      </w:r>
      <w:r>
        <w:tab/>
        <w:t>=</w:t>
      </w:r>
      <w:r>
        <w:tab/>
        <w:t>$1.45</w:t>
      </w:r>
    </w:p>
    <w:p>
      <w:pPr>
        <w:pStyle w:val="yMiscellaneousBody"/>
        <w:tabs>
          <w:tab w:val="left" w:pos="840"/>
          <w:tab w:val="left" w:pos="4800"/>
          <w:tab w:val="decimal" w:pos="5520"/>
        </w:tabs>
        <w:rPr>
          <w:b/>
          <w:bCs/>
        </w:rPr>
      </w:pPr>
      <w:r>
        <w:tab/>
      </w:r>
      <w:r>
        <w:rPr>
          <w:b/>
          <w:bCs/>
        </w:rPr>
        <w:t>Total cost of entry</w:t>
      </w:r>
      <w:r>
        <w:rPr>
          <w:b/>
          <w:bCs/>
        </w:rPr>
        <w:tab/>
        <w:t>=</w:t>
      </w:r>
      <w:r>
        <w:rPr>
          <w:b/>
          <w:bCs/>
        </w:rPr>
        <w:tab/>
        <w:t>$17.70</w:t>
      </w:r>
    </w:p>
    <w:p>
      <w:pPr>
        <w:pStyle w:val="yMiscellaneousBody"/>
        <w:tabs>
          <w:tab w:val="decimal" w:pos="5520"/>
        </w:tabs>
      </w:pPr>
    </w:p>
    <w:p>
      <w:pPr>
        <w:pStyle w:val="yMiscellaneousBody"/>
        <w:keepNext/>
        <w:keepLines/>
      </w:pPr>
      <w:r>
        <w:t xml:space="preserve">The total cost of entry for a System 7 entry for a single powerball draw is calculated as follows — </w:t>
      </w:r>
    </w:p>
    <w:p>
      <w:pPr>
        <w:pStyle w:val="yMiscellaneousBody"/>
        <w:keepNext/>
        <w:keepLines/>
        <w:tabs>
          <w:tab w:val="left" w:pos="840"/>
          <w:tab w:val="left" w:pos="4800"/>
          <w:tab w:val="decimal" w:pos="5520"/>
        </w:tabs>
      </w:pPr>
      <w:r>
        <w:tab/>
        <w:t>Subscription [21 games @ $0.65 each]</w:t>
      </w:r>
      <w:r>
        <w:tab/>
        <w:t>=</w:t>
      </w:r>
      <w:r>
        <w:tab/>
        <w:t>$13.65</w:t>
      </w:r>
    </w:p>
    <w:p>
      <w:pPr>
        <w:pStyle w:val="yMiscellaneousBody"/>
        <w:keepNext/>
        <w:keepLines/>
        <w:tabs>
          <w:tab w:val="left" w:pos="840"/>
          <w:tab w:val="left" w:pos="4800"/>
          <w:tab w:val="decimal" w:pos="5520"/>
        </w:tabs>
      </w:pPr>
      <w:r>
        <w:tab/>
        <w:t>9% of subscription [.09 x $13.65]</w:t>
      </w:r>
      <w:r>
        <w:tab/>
        <w:t>=</w:t>
      </w:r>
      <w:r>
        <w:tab/>
        <w:t>$1.228</w:t>
      </w:r>
    </w:p>
    <w:p>
      <w:pPr>
        <w:pStyle w:val="yMiscellaneousBody"/>
        <w:keepNext/>
        <w:keepLines/>
        <w:tabs>
          <w:tab w:val="left" w:pos="840"/>
          <w:tab w:val="left" w:pos="4800"/>
          <w:tab w:val="decimal" w:pos="5520"/>
        </w:tabs>
      </w:pPr>
      <w:r>
        <w:tab/>
        <w:t>Rounded using “bankers rounding”</w:t>
      </w:r>
      <w:r>
        <w:tab/>
        <w:t>=</w:t>
      </w:r>
      <w:r>
        <w:tab/>
        <w:t>$1.25</w:t>
      </w:r>
    </w:p>
    <w:p>
      <w:pPr>
        <w:pStyle w:val="yMiscellaneousBody"/>
        <w:keepNext/>
        <w:keepLines/>
        <w:tabs>
          <w:tab w:val="left" w:pos="840"/>
          <w:tab w:val="left" w:pos="4800"/>
          <w:tab w:val="decimal" w:pos="5520"/>
        </w:tabs>
        <w:rPr>
          <w:b/>
          <w:bCs/>
        </w:rPr>
      </w:pPr>
      <w:r>
        <w:tab/>
      </w:r>
      <w:r>
        <w:rPr>
          <w:b/>
          <w:bCs/>
        </w:rPr>
        <w:t>Total cost of entry</w:t>
      </w:r>
      <w:r>
        <w:rPr>
          <w:b/>
          <w:bCs/>
        </w:rPr>
        <w:tab/>
        <w:t>=</w:t>
      </w:r>
      <w:r>
        <w:rPr>
          <w:b/>
          <w:bCs/>
        </w:rPr>
        <w:tab/>
        <w:t>$14.90</w:t>
      </w:r>
    </w:p>
    <w:p>
      <w:pPr>
        <w:pStyle w:val="yMiscellaneousBody"/>
      </w:pPr>
    </w:p>
    <w:p>
      <w:pPr>
        <w:pStyle w:val="yMiscellaneousBody"/>
      </w:pPr>
      <w:r>
        <w:t xml:space="preserve">The total cost of entry for a 6 game board System 9 entry for a single powerball draw is calculated as follows — </w:t>
      </w:r>
    </w:p>
    <w:p>
      <w:pPr>
        <w:pStyle w:val="yMiscellaneousBody"/>
        <w:tabs>
          <w:tab w:val="left" w:pos="840"/>
          <w:tab w:val="left" w:pos="4800"/>
          <w:tab w:val="decimal" w:pos="5520"/>
        </w:tabs>
      </w:pPr>
      <w:r>
        <w:tab/>
        <w:t>Subscription [6 x 126 games @ $0.65 each]</w:t>
      </w:r>
      <w:r>
        <w:tab/>
        <w:t>=</w:t>
      </w:r>
      <w:r>
        <w:tab/>
        <w:t>$491.40</w:t>
      </w:r>
    </w:p>
    <w:p>
      <w:pPr>
        <w:pStyle w:val="yMiscellaneousBody"/>
        <w:tabs>
          <w:tab w:val="left" w:pos="840"/>
          <w:tab w:val="left" w:pos="4800"/>
          <w:tab w:val="decimal" w:pos="5520"/>
        </w:tabs>
      </w:pPr>
      <w:r>
        <w:tab/>
        <w:t>9% of subscription [.09 x $491.40]</w:t>
      </w:r>
      <w:r>
        <w:tab/>
        <w:t>=</w:t>
      </w:r>
      <w:r>
        <w:tab/>
        <w:t>$44.226</w:t>
      </w:r>
    </w:p>
    <w:p>
      <w:pPr>
        <w:pStyle w:val="yMiscellaneousBody"/>
        <w:tabs>
          <w:tab w:val="left" w:pos="840"/>
          <w:tab w:val="left" w:pos="4800"/>
          <w:tab w:val="decimal" w:pos="5520"/>
        </w:tabs>
      </w:pPr>
      <w:r>
        <w:tab/>
        <w:t>Rounded using “bankers rounding”</w:t>
      </w:r>
      <w:r>
        <w:tab/>
        <w:t>=</w:t>
      </w:r>
      <w:r>
        <w:tab/>
        <w:t>$44.25</w:t>
      </w:r>
    </w:p>
    <w:p>
      <w:pPr>
        <w:pStyle w:val="yMiscellaneousBody"/>
        <w:tabs>
          <w:tab w:val="left" w:pos="840"/>
          <w:tab w:val="left" w:pos="4800"/>
          <w:tab w:val="decimal" w:pos="5520"/>
        </w:tabs>
        <w:rPr>
          <w:b/>
          <w:bCs/>
        </w:rPr>
      </w:pPr>
      <w:r>
        <w:tab/>
      </w:r>
      <w:r>
        <w:rPr>
          <w:b/>
          <w:bCs/>
        </w:rPr>
        <w:t>Total cost of entry</w:t>
      </w:r>
      <w:r>
        <w:rPr>
          <w:b/>
          <w:bCs/>
        </w:rPr>
        <w:tab/>
        <w:t>=</w:t>
      </w:r>
      <w:r>
        <w:rPr>
          <w:b/>
          <w:bCs/>
        </w:rPr>
        <w:tab/>
        <w:t>$535.65</w:t>
      </w:r>
    </w:p>
    <w:p>
      <w:pPr>
        <w:pStyle w:val="yMiscellaneousBody"/>
      </w:pPr>
    </w:p>
    <w:p>
      <w:pPr>
        <w:pStyle w:val="yMiscellaneousBody"/>
      </w:pPr>
      <w:r>
        <w:t xml:space="preserve">The total cost of entry for a Powerpik 6 entry for a single powerball entry is calculated as follows — </w:t>
      </w:r>
    </w:p>
    <w:p>
      <w:pPr>
        <w:pStyle w:val="yMiscellaneousBody"/>
        <w:tabs>
          <w:tab w:val="left" w:pos="840"/>
          <w:tab w:val="left" w:pos="4800"/>
          <w:tab w:val="decimal" w:pos="5520"/>
        </w:tabs>
      </w:pPr>
      <w:r>
        <w:tab/>
        <w:t>Subscription [270 games @ $0.65 each]</w:t>
      </w:r>
      <w:r>
        <w:tab/>
        <w:t>=</w:t>
      </w:r>
      <w:r>
        <w:tab/>
        <w:t>$175.50</w:t>
      </w:r>
    </w:p>
    <w:p>
      <w:pPr>
        <w:pStyle w:val="yMiscellaneousBody"/>
        <w:tabs>
          <w:tab w:val="left" w:pos="840"/>
          <w:tab w:val="left" w:pos="4800"/>
          <w:tab w:val="decimal" w:pos="5520"/>
        </w:tabs>
      </w:pPr>
      <w:r>
        <w:tab/>
        <w:t>9% of subscription [.09 x $175.50]</w:t>
      </w:r>
      <w:r>
        <w:tab/>
        <w:t>=</w:t>
      </w:r>
      <w:r>
        <w:tab/>
        <w:t>$15.795</w:t>
      </w:r>
    </w:p>
    <w:p>
      <w:pPr>
        <w:pStyle w:val="yMiscellaneousBody"/>
        <w:tabs>
          <w:tab w:val="left" w:pos="840"/>
          <w:tab w:val="left" w:pos="4800"/>
          <w:tab w:val="decimal" w:pos="5520"/>
        </w:tabs>
      </w:pPr>
      <w:r>
        <w:tab/>
        <w:t>Rounded using “bankers rounding”</w:t>
      </w:r>
      <w:r>
        <w:tab/>
        <w:t>=</w:t>
      </w:r>
      <w:r>
        <w:tab/>
        <w:t>$15.80</w:t>
      </w:r>
    </w:p>
    <w:p>
      <w:pPr>
        <w:pStyle w:val="yMiscellaneousBody"/>
        <w:tabs>
          <w:tab w:val="left" w:pos="840"/>
          <w:tab w:val="left" w:pos="4800"/>
          <w:tab w:val="decimal" w:pos="5520"/>
        </w:tabs>
        <w:rPr>
          <w:b/>
          <w:bCs/>
        </w:rPr>
      </w:pPr>
      <w:r>
        <w:tab/>
      </w:r>
      <w:r>
        <w:rPr>
          <w:b/>
          <w:bCs/>
        </w:rPr>
        <w:t>Total cost of entry</w:t>
      </w:r>
      <w:r>
        <w:rPr>
          <w:b/>
          <w:bCs/>
        </w:rPr>
        <w:tab/>
        <w:t>=</w:t>
      </w:r>
      <w:r>
        <w:rPr>
          <w:b/>
          <w:bCs/>
        </w:rPr>
        <w:tab/>
        <w:t>$191.30</w:t>
      </w:r>
    </w:p>
    <w:p>
      <w:pPr>
        <w:pStyle w:val="yMiscellaneousBody"/>
      </w:pPr>
    </w:p>
    <w:p>
      <w:pPr>
        <w:pStyle w:val="yMiscellaneousBody"/>
      </w:pPr>
      <w:r>
        <w:t xml:space="preserve">The total cost of entry for a Slikpik 25 entry spanning 10 weeks of powerball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keepNext/>
        <w:keepLines/>
        <w:tabs>
          <w:tab w:val="left" w:pos="840"/>
          <w:tab w:val="left" w:pos="4800"/>
          <w:tab w:val="decimal" w:pos="5520"/>
        </w:tabs>
      </w:pPr>
      <w:r>
        <w:tab/>
        <w:t>Rounded using “bankers rounding”</w:t>
      </w:r>
      <w:r>
        <w:tab/>
        <w:t>=</w:t>
      </w:r>
      <w:r>
        <w:tab/>
        <w:t>$1.45</w:t>
      </w:r>
    </w:p>
    <w:p>
      <w:pPr>
        <w:pStyle w:val="yMiscellaneousBody"/>
        <w:keepNext/>
        <w:keepLines/>
        <w:tabs>
          <w:tab w:val="left" w:pos="840"/>
          <w:tab w:val="left" w:pos="4800"/>
          <w:tab w:val="decimal" w:pos="5520"/>
        </w:tabs>
      </w:pPr>
      <w:r>
        <w:tab/>
        <w:t>Total cost of entry for one week</w:t>
      </w:r>
      <w:r>
        <w:tab/>
        <w:t>=</w:t>
      </w:r>
      <w:r>
        <w:tab/>
        <w:t>$17.70</w:t>
      </w:r>
    </w:p>
    <w:p>
      <w:pPr>
        <w:pStyle w:val="yMiscellaneousBody"/>
        <w:tabs>
          <w:tab w:val="left" w:pos="840"/>
          <w:tab w:val="left" w:pos="4800"/>
          <w:tab w:val="decimal" w:pos="5520"/>
        </w:tabs>
        <w:rPr>
          <w:b/>
          <w:bCs/>
        </w:rPr>
      </w:pPr>
      <w:r>
        <w:tab/>
      </w:r>
      <w:r>
        <w:rPr>
          <w:b/>
          <w:bCs/>
        </w:rPr>
        <w:t>Total cost of entry for 10 weeks</w:t>
      </w:r>
      <w:r>
        <w:rPr>
          <w:b/>
          <w:bCs/>
        </w:rPr>
        <w:tab/>
        <w:t>=</w:t>
      </w:r>
      <w:r>
        <w:rPr>
          <w:b/>
          <w:bCs/>
        </w:rPr>
        <w:tab/>
        <w:t>$177.00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19 Feb 2010 p. 664-6.]</w:t>
      </w:r>
    </w:p>
    <w:p>
      <w:pPr>
        <w:pStyle w:val="yScheduleHeading"/>
      </w:pPr>
      <w:r>
        <w:t xml:space="preserve"> </w:t>
      </w:r>
      <w:bookmarkStart w:id="455" w:name="_Toc200437241"/>
      <w:bookmarkStart w:id="456" w:name="_Toc200512619"/>
      <w:bookmarkStart w:id="457" w:name="_Toc200512678"/>
      <w:bookmarkStart w:id="458" w:name="_Toc202340826"/>
      <w:bookmarkStart w:id="459" w:name="_Toc202340886"/>
      <w:bookmarkStart w:id="460" w:name="_Toc205882952"/>
      <w:bookmarkStart w:id="461" w:name="_Toc208122900"/>
      <w:bookmarkStart w:id="462" w:name="_Toc210721092"/>
      <w:bookmarkStart w:id="463" w:name="_Toc230162567"/>
      <w:bookmarkStart w:id="464" w:name="_Toc254266257"/>
      <w:bookmarkStart w:id="465" w:name="_Toc254274120"/>
      <w:bookmarkStart w:id="466" w:name="_Toc256151918"/>
      <w:r>
        <w:rPr>
          <w:rStyle w:val="CharSchNo"/>
        </w:rPr>
        <w:t>Schedule 2</w:t>
      </w:r>
      <w:r>
        <w:t> — </w:t>
      </w:r>
      <w:r>
        <w:rPr>
          <w:rStyle w:val="CharSchText"/>
        </w:rPr>
        <w:t>System entries, Powerpik selections and game equivalents</w:t>
      </w:r>
      <w:bookmarkEnd w:id="455"/>
      <w:bookmarkEnd w:id="456"/>
      <w:bookmarkEnd w:id="457"/>
      <w:bookmarkEnd w:id="458"/>
      <w:bookmarkEnd w:id="459"/>
      <w:bookmarkEnd w:id="460"/>
      <w:bookmarkEnd w:id="461"/>
      <w:bookmarkEnd w:id="462"/>
      <w:bookmarkEnd w:id="463"/>
      <w:bookmarkEnd w:id="464"/>
      <w:bookmarkEnd w:id="465"/>
      <w:bookmarkEnd w:id="466"/>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r>
    </w:tbl>
    <w:p>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467" w:name="_Toc88446306"/>
            <w:bookmarkStart w:id="468" w:name="_Toc147227992"/>
            <w:bookmarkStart w:id="469" w:name="_Toc147288729"/>
            <w:bookmarkStart w:id="470" w:name="_Toc150762508"/>
            <w:bookmarkStart w:id="471" w:name="_Toc150830545"/>
            <w:bookmarkStart w:id="472" w:name="_Toc158708883"/>
            <w:bookmarkStart w:id="473" w:name="_Toc159142636"/>
            <w:bookmarkStart w:id="474" w:name="_Toc159142684"/>
            <w:bookmarkStart w:id="475" w:name="_Toc159142749"/>
            <w:bookmarkStart w:id="476" w:name="_Toc161457353"/>
            <w:bookmarkStart w:id="477" w:name="_Toc170617582"/>
            <w:bookmarkStart w:id="478" w:name="_Toc173898343"/>
            <w:bookmarkStart w:id="479" w:name="_Toc173899514"/>
            <w:bookmarkStart w:id="480" w:name="_Toc200437242"/>
            <w:bookmarkStart w:id="481" w:name="_Toc200512620"/>
            <w:bookmarkStart w:id="482" w:name="_Toc200512679"/>
            <w:bookmarkStart w:id="483" w:name="_Toc202340827"/>
            <w:bookmarkStart w:id="484" w:name="_Toc202340887"/>
            <w:bookmarkStart w:id="485" w:name="_Toc205882953"/>
            <w:bookmarkStart w:id="486" w:name="_Toc208122901"/>
            <w:bookmarkStart w:id="487" w:name="_Toc210721093"/>
            <w:bookmarkStart w:id="488" w:name="_Toc230162568"/>
            <w:bookmarkStart w:id="489" w:name="_Toc254266258"/>
            <w:bookmarkStart w:id="490" w:name="_Toc254274121"/>
            <w:bookmarkStart w:id="491" w:name="_Toc256151919"/>
            <w:r>
              <w:rPr>
                <w:rStyle w:val="CharSchNo"/>
              </w:rPr>
              <w:t>Schedule 3</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492"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w:t>
      </w:r>
    </w:p>
    <w:p>
      <w:pPr>
        <w:pStyle w:val="yScheduleHeading"/>
      </w:pPr>
      <w:bookmarkStart w:id="493" w:name="_Toc200437245"/>
      <w:bookmarkStart w:id="494" w:name="_Toc200512621"/>
      <w:bookmarkStart w:id="495" w:name="_Toc200512680"/>
      <w:bookmarkStart w:id="496" w:name="_Toc202340828"/>
      <w:bookmarkStart w:id="497" w:name="_Toc202340888"/>
      <w:bookmarkStart w:id="498" w:name="_Toc205882954"/>
      <w:bookmarkStart w:id="499" w:name="_Toc208122902"/>
      <w:bookmarkStart w:id="500" w:name="_Toc210721094"/>
      <w:bookmarkStart w:id="501" w:name="_Toc230162569"/>
      <w:bookmarkStart w:id="502" w:name="_Toc254266259"/>
      <w:bookmarkStart w:id="503" w:name="_Toc254274122"/>
      <w:bookmarkStart w:id="504" w:name="_Toc256151920"/>
      <w:bookmarkEnd w:id="492"/>
      <w:r>
        <w:rPr>
          <w:rStyle w:val="CharSchNo"/>
        </w:rPr>
        <w:t>Schedule 4</w:t>
      </w:r>
      <w:r>
        <w:t> — </w:t>
      </w:r>
      <w:r>
        <w:rPr>
          <w:rStyle w:val="CharSchText"/>
        </w:rPr>
        <w:t>Summary of parameters within which powerball is conducted</w:t>
      </w:r>
      <w:bookmarkEnd w:id="493"/>
      <w:bookmarkEnd w:id="494"/>
      <w:bookmarkEnd w:id="495"/>
      <w:bookmarkEnd w:id="496"/>
      <w:bookmarkEnd w:id="497"/>
      <w:bookmarkEnd w:id="498"/>
      <w:bookmarkEnd w:id="499"/>
      <w:bookmarkEnd w:id="500"/>
      <w:bookmarkEnd w:id="501"/>
      <w:bookmarkEnd w:id="502"/>
      <w:bookmarkEnd w:id="503"/>
      <w:bookmarkEnd w:id="504"/>
    </w:p>
    <w:p>
      <w:pPr>
        <w:pStyle w:val="yFootnoteheading"/>
      </w:pPr>
      <w:r>
        <w:tab/>
        <w:t>[Heading inserted in Gazette 6 Jun 2008 p. 2251.]</w:t>
      </w:r>
    </w:p>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pPr>
            <w:r>
              <w:t>Unit cost for a powerball draw up to and including the powerball draw numbered 719</w:t>
            </w:r>
          </w:p>
        </w:tc>
        <w:tc>
          <w:tcPr>
            <w:tcW w:w="2835" w:type="dxa"/>
          </w:tcPr>
          <w:p>
            <w:pPr>
              <w:pStyle w:val="yTableNAm"/>
            </w:pPr>
            <w:r>
              <w:t>$0.60 (+ 9% agent’s component)</w:t>
            </w:r>
          </w:p>
        </w:tc>
      </w:tr>
      <w:tr>
        <w:tc>
          <w:tcPr>
            <w:tcW w:w="4253" w:type="dxa"/>
          </w:tcPr>
          <w:p>
            <w:pPr>
              <w:pStyle w:val="yTableNAm"/>
            </w:pPr>
            <w:r>
              <w:t>Unit cost for the powerball draw numbered 720 and subsequent powerball draws</w:t>
            </w:r>
          </w:p>
        </w:tc>
        <w:tc>
          <w:tcPr>
            <w:tcW w:w="2835" w:type="dxa"/>
          </w:tcPr>
          <w:p>
            <w:pPr>
              <w:pStyle w:val="yTableNAm"/>
            </w:pPr>
            <w:r>
              <w:t>$0.65 (+ 9% agent’s component)</w:t>
            </w:r>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tc>
        <w:tc>
          <w:tcPr>
            <w:tcW w:w="2835" w:type="dxa"/>
          </w:tcPr>
          <w:p>
            <w:pPr>
              <w:pStyle w:val="yTableNAm"/>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w:t>
            </w:r>
            <w:r>
              <w:noBreakHyphen/>
              <w:t>4/6</w:t>
            </w:r>
            <w:r>
              <w:noBreakHyphen/>
              <w:t>15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 amended in Gazette 19 Feb 2010 p. 666.]</w:t>
      </w:r>
    </w:p>
    <w:p>
      <w:pPr>
        <w:spacing w:before="6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05" w:name="_Toc88368703"/>
      <w:bookmarkStart w:id="506" w:name="_Toc88383335"/>
      <w:bookmarkStart w:id="507" w:name="_Toc88446308"/>
      <w:bookmarkStart w:id="508" w:name="_Toc147227994"/>
      <w:bookmarkStart w:id="509" w:name="_Toc147288731"/>
      <w:bookmarkStart w:id="510" w:name="_Toc150762510"/>
      <w:bookmarkStart w:id="511" w:name="_Toc150830547"/>
      <w:bookmarkStart w:id="512" w:name="_Toc158708886"/>
      <w:bookmarkStart w:id="513" w:name="_Toc159142639"/>
      <w:bookmarkStart w:id="514" w:name="_Toc159142687"/>
      <w:bookmarkStart w:id="515" w:name="_Toc159142752"/>
      <w:bookmarkStart w:id="516" w:name="_Toc161457356"/>
      <w:bookmarkStart w:id="517" w:name="_Toc170617585"/>
      <w:bookmarkStart w:id="518" w:name="_Toc173898346"/>
      <w:bookmarkStart w:id="519" w:name="_Toc173899517"/>
      <w:bookmarkStart w:id="520" w:name="_Toc200437246"/>
      <w:bookmarkStart w:id="521" w:name="_Toc200512622"/>
      <w:bookmarkStart w:id="522" w:name="_Toc200512681"/>
      <w:bookmarkStart w:id="523" w:name="_Toc202340829"/>
      <w:bookmarkStart w:id="524" w:name="_Toc202340889"/>
      <w:bookmarkStart w:id="525" w:name="_Toc205882955"/>
      <w:bookmarkStart w:id="526" w:name="_Toc208122903"/>
      <w:bookmarkStart w:id="527" w:name="_Toc210721095"/>
      <w:bookmarkStart w:id="528" w:name="_Toc230162570"/>
      <w:bookmarkStart w:id="529" w:name="_Toc254266260"/>
      <w:bookmarkStart w:id="530" w:name="_Toc254274123"/>
      <w:bookmarkStart w:id="531" w:name="_Toc256151921"/>
      <w:r>
        <w:t>Notes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2" w:name="_Toc256151922"/>
      <w:bookmarkStart w:id="533" w:name="_Toc254274124"/>
      <w:r>
        <w:rPr>
          <w:snapToGrid w:val="0"/>
        </w:rPr>
        <w:t>Compilation table</w:t>
      </w:r>
      <w:bookmarkEnd w:id="532"/>
      <w:bookmarkEnd w:id="5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8"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Feb 2010 p. 663-6</w:t>
            </w:r>
          </w:p>
        </w:tc>
        <w:tc>
          <w:tcPr>
            <w:tcW w:w="2693" w:type="dxa"/>
          </w:tcPr>
          <w:p>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trPr>
          <w:ins w:id="534" w:author="Master Repository Process" w:date="2021-08-29T03:04:00Z"/>
        </w:trPr>
        <w:tc>
          <w:tcPr>
            <w:tcW w:w="3118" w:type="dxa"/>
            <w:tcBorders>
              <w:bottom w:val="single" w:sz="4" w:space="0" w:color="auto"/>
            </w:tcBorders>
          </w:tcPr>
          <w:p>
            <w:pPr>
              <w:pStyle w:val="nTable"/>
              <w:spacing w:after="40"/>
              <w:rPr>
                <w:ins w:id="535" w:author="Master Repository Process" w:date="2021-08-29T03:04:00Z"/>
                <w:i/>
                <w:sz w:val="19"/>
              </w:rPr>
            </w:pPr>
            <w:ins w:id="536" w:author="Master Repository Process" w:date="2021-08-29T03:04:00Z">
              <w:r>
                <w:rPr>
                  <w:i/>
                  <w:sz w:val="19"/>
                </w:rPr>
                <w:t>Lotteries Commission (Powerball) Amendment Rules (No. 2) 2010</w:t>
              </w:r>
            </w:ins>
          </w:p>
        </w:tc>
        <w:tc>
          <w:tcPr>
            <w:tcW w:w="1276" w:type="dxa"/>
            <w:tcBorders>
              <w:bottom w:val="single" w:sz="4" w:space="0" w:color="auto"/>
            </w:tcBorders>
          </w:tcPr>
          <w:p>
            <w:pPr>
              <w:pStyle w:val="nTable"/>
              <w:spacing w:after="40"/>
              <w:rPr>
                <w:ins w:id="537" w:author="Master Repository Process" w:date="2021-08-29T03:04:00Z"/>
                <w:sz w:val="19"/>
              </w:rPr>
            </w:pPr>
            <w:ins w:id="538" w:author="Master Repository Process" w:date="2021-08-29T03:04:00Z">
              <w:r>
                <w:rPr>
                  <w:sz w:val="19"/>
                </w:rPr>
                <w:t>12 Mar 2010 p. 946</w:t>
              </w:r>
              <w:r>
                <w:rPr>
                  <w:sz w:val="19"/>
                </w:rPr>
                <w:noBreakHyphen/>
                <w:t>8</w:t>
              </w:r>
            </w:ins>
          </w:p>
        </w:tc>
        <w:tc>
          <w:tcPr>
            <w:tcW w:w="2693" w:type="dxa"/>
            <w:tcBorders>
              <w:bottom w:val="single" w:sz="4" w:space="0" w:color="auto"/>
            </w:tcBorders>
          </w:tcPr>
          <w:p>
            <w:pPr>
              <w:pStyle w:val="nTable"/>
              <w:spacing w:after="40"/>
              <w:rPr>
                <w:ins w:id="539" w:author="Master Repository Process" w:date="2021-08-29T03:04:00Z"/>
                <w:snapToGrid w:val="0"/>
                <w:sz w:val="19"/>
                <w:lang w:val="en-US"/>
              </w:rPr>
            </w:pPr>
            <w:ins w:id="540" w:author="Master Repository Process" w:date="2021-08-29T03:04:00Z">
              <w:r>
                <w:rPr>
                  <w:snapToGrid w:val="0"/>
                  <w:spacing w:val="-2"/>
                  <w:sz w:val="19"/>
                  <w:lang w:val="en-US"/>
                </w:rPr>
                <w:t>r. 1 and 2: 12 Mar 2010 (see r. 2(a));</w:t>
              </w:r>
              <w:r>
                <w:rPr>
                  <w:snapToGrid w:val="0"/>
                  <w:spacing w:val="-2"/>
                  <w:sz w:val="19"/>
                  <w:lang w:val="en-US"/>
                </w:rPr>
                <w:br/>
                <w:t>Rules other than r. 1 and 2: 14 Mar 2010 (see r. 2(b))</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381B93-0A89-4191-B3F8-5164D91E3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12358</Words>
  <Characters>47706</Characters>
  <Application>Microsoft Office Word</Application>
  <DocSecurity>0</DocSecurity>
  <Lines>4336</Lines>
  <Paragraphs>1501</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58563</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03-c0-01 - 03-d0-01</dc:title>
  <dc:subject/>
  <dc:creator/>
  <cp:keywords/>
  <dc:description/>
  <cp:lastModifiedBy>Master Repository Process</cp:lastModifiedBy>
  <cp:revision>2</cp:revision>
  <cp:lastPrinted>2008-09-23T04:47:00Z</cp:lastPrinted>
  <dcterms:created xsi:type="dcterms:W3CDTF">2021-08-28T19:04:00Z</dcterms:created>
  <dcterms:modified xsi:type="dcterms:W3CDTF">2021-08-28T19:04:00Z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20 Feb 2010</vt:lpwstr>
  </property>
  <property fmtid="{D5CDD505-2E9C-101B-9397-08002B2CF9AE}" pid="9" name="ToSuffix">
    <vt:lpwstr>03-d0-01</vt:lpwstr>
  </property>
  <property fmtid="{D5CDD505-2E9C-101B-9397-08002B2CF9AE}" pid="10" name="ToAsAtDate">
    <vt:lpwstr>14 Mar 2010</vt:lpwstr>
  </property>
</Properties>
</file>