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27 Mar 2010</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Retail Trading Hours Act 1987</w:t>
      </w:r>
    </w:p>
    <w:p>
      <w:pPr>
        <w:pStyle w:val="NameofActReg"/>
      </w:pPr>
      <w:r>
        <w:t>Retail Trading Hours (Tourism Precincts and Holiday Resorts)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57361271"/>
      <w:bookmarkStart w:id="8" w:name="_Toc5612702"/>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Retail Trading Hours (Tourism Precincts and Holiday Resorts) Regulations 2007</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57361272"/>
      <w:bookmarkStart w:id="19" w:name="_Toc561270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 xml:space="preserve">These regulations come into operation on </w:t>
      </w:r>
      <w:r>
        <w:rPr>
          <w:rFonts w:ascii="Times" w:hAnsi="Times"/>
        </w:rPr>
        <w:t xml:space="preserve">the day on which the </w:t>
      </w:r>
      <w:r>
        <w:rPr>
          <w:rFonts w:ascii="Times" w:hAnsi="Times"/>
          <w:i/>
          <w:iCs/>
        </w:rPr>
        <w:t>Retail Shops and Fair Trading Legislation Amendment Act 2006</w:t>
      </w:r>
      <w:r>
        <w:rPr>
          <w:rFonts w:ascii="Times" w:hAnsi="Times"/>
        </w:rPr>
        <w:t>* section 9 comes into operation.</w:t>
      </w:r>
    </w:p>
    <w:p>
      <w:pPr>
        <w:pStyle w:val="Subsection"/>
        <w:tabs>
          <w:tab w:val="clear" w:pos="595"/>
          <w:tab w:val="left" w:pos="1134"/>
        </w:tabs>
        <w:ind w:left="1134" w:hanging="1134"/>
        <w:rPr>
          <w:spacing w:val="-2"/>
        </w:rPr>
      </w:pPr>
      <w:r>
        <w:tab/>
        <w:t>[*</w:t>
      </w:r>
      <w:r>
        <w:tab/>
      </w:r>
      <w:r>
        <w:rPr>
          <w:i/>
          <w:iCs/>
        </w:rPr>
        <w:t>Act No. 47 of 2006</w:t>
      </w:r>
      <w:r>
        <w:t>.]</w:t>
      </w:r>
    </w:p>
    <w:p>
      <w:pPr>
        <w:pStyle w:val="Heading5"/>
        <w:rPr>
          <w:snapToGrid w:val="0"/>
        </w:rPr>
      </w:pPr>
      <w:bookmarkStart w:id="20" w:name="_Toc423332724"/>
      <w:bookmarkStart w:id="21" w:name="_Toc425219443"/>
      <w:bookmarkStart w:id="22" w:name="_Toc426249310"/>
      <w:bookmarkStart w:id="23" w:name="_Toc449924706"/>
      <w:bookmarkStart w:id="24" w:name="_Toc449947724"/>
      <w:bookmarkStart w:id="25" w:name="_Toc454185715"/>
      <w:bookmarkStart w:id="26" w:name="_Toc515958688"/>
      <w:bookmarkStart w:id="27" w:name="_Toc257361273"/>
      <w:bookmarkStart w:id="28" w:name="_Toc5612704"/>
      <w:r>
        <w:rPr>
          <w:rStyle w:val="CharSectno"/>
        </w:rPr>
        <w:t>3</w:t>
      </w:r>
      <w:r>
        <w:rPr>
          <w:snapToGrid w:val="0"/>
        </w:rPr>
        <w:t>.</w:t>
      </w:r>
      <w:r>
        <w:rPr>
          <w:snapToGrid w:val="0"/>
        </w:rPr>
        <w:tab/>
        <w:t>Fremantle tourism precinct prescribed</w:t>
      </w:r>
      <w:bookmarkEnd w:id="20"/>
      <w:bookmarkEnd w:id="21"/>
      <w:bookmarkEnd w:id="22"/>
      <w:bookmarkEnd w:id="23"/>
      <w:bookmarkEnd w:id="24"/>
      <w:bookmarkEnd w:id="25"/>
      <w:bookmarkEnd w:id="26"/>
      <w:bookmarkEnd w:id="27"/>
      <w:bookmarkEnd w:id="28"/>
    </w:p>
    <w:p>
      <w:pPr>
        <w:pStyle w:val="Subsection"/>
      </w:pPr>
      <w:r>
        <w:tab/>
      </w:r>
      <w:r>
        <w:tab/>
        <w:t xml:space="preserve">The area of the State described in Schedule 1 Division 1 is prescribed as </w:t>
      </w:r>
      <w:del w:id="29" w:author="Master Repository Process" w:date="2021-09-12T09:24:00Z">
        <w:r>
          <w:delText xml:space="preserve">falling within </w:delText>
        </w:r>
      </w:del>
      <w:r>
        <w:t>the Fremantle tourism precinct for the purpose of section 12A(4) of the Act.</w:t>
      </w:r>
    </w:p>
    <w:p>
      <w:pPr>
        <w:pStyle w:val="Footnotesection"/>
        <w:rPr>
          <w:ins w:id="30" w:author="Master Repository Process" w:date="2021-09-12T09:24:00Z"/>
        </w:rPr>
      </w:pPr>
      <w:ins w:id="31" w:author="Master Repository Process" w:date="2021-09-12T09:24:00Z">
        <w:r>
          <w:tab/>
          <w:t>[Regulation 3 amended in Gazette 26 Mar 2010 p. 1134.]</w:t>
        </w:r>
      </w:ins>
    </w:p>
    <w:p>
      <w:pPr>
        <w:pStyle w:val="Heading5"/>
      </w:pPr>
      <w:bookmarkStart w:id="32" w:name="_Toc257361274"/>
      <w:bookmarkStart w:id="33" w:name="_Toc5612705"/>
      <w:r>
        <w:rPr>
          <w:rStyle w:val="CharSectno"/>
        </w:rPr>
        <w:t>4</w:t>
      </w:r>
      <w:r>
        <w:t>.</w:t>
      </w:r>
      <w:r>
        <w:tab/>
        <w:t>Perth tourism precinct prescribed</w:t>
      </w:r>
      <w:bookmarkEnd w:id="32"/>
      <w:bookmarkEnd w:id="33"/>
    </w:p>
    <w:p>
      <w:pPr>
        <w:pStyle w:val="Subsection"/>
      </w:pPr>
      <w:r>
        <w:tab/>
      </w:r>
      <w:r>
        <w:tab/>
        <w:t xml:space="preserve">The area of the State described in Schedule 1 Division 2 is prescribed as </w:t>
      </w:r>
      <w:del w:id="34" w:author="Master Repository Process" w:date="2021-09-12T09:24:00Z">
        <w:r>
          <w:delText xml:space="preserve">falling within </w:delText>
        </w:r>
      </w:del>
      <w:r>
        <w:t>the Perth tourism precinct for the purpose of section 12A(4) of the Act.</w:t>
      </w:r>
    </w:p>
    <w:p>
      <w:pPr>
        <w:pStyle w:val="Footnotesection"/>
      </w:pPr>
      <w:r>
        <w:tab/>
        <w:t>[Regulation 4 inserted in Gazette 24 Nov 2009 p. </w:t>
      </w:r>
      <w:del w:id="35" w:author="Master Repository Process" w:date="2021-09-12T09:24:00Z">
        <w:r>
          <w:delText>4733</w:delText>
        </w:r>
      </w:del>
      <w:ins w:id="36" w:author="Master Repository Process" w:date="2021-09-12T09:24:00Z">
        <w:r>
          <w:t>4733; amended in Gazette 26 Mar 2010 p. 1134</w:t>
        </w:r>
      </w:ins>
      <w:r>
        <w:t>.]</w:t>
      </w:r>
    </w:p>
    <w:p>
      <w:pPr>
        <w:pStyle w:val="Heading5"/>
        <w:rPr>
          <w:snapToGrid w:val="0"/>
        </w:rPr>
      </w:pPr>
      <w:bookmarkStart w:id="37" w:name="_Toc257361275"/>
      <w:bookmarkStart w:id="38" w:name="_Toc5612706"/>
      <w:r>
        <w:rPr>
          <w:rStyle w:val="CharSectno"/>
        </w:rPr>
        <w:t>5</w:t>
      </w:r>
      <w:r>
        <w:rPr>
          <w:snapToGrid w:val="0"/>
        </w:rPr>
        <w:t>.</w:t>
      </w:r>
      <w:r>
        <w:rPr>
          <w:snapToGrid w:val="0"/>
        </w:rPr>
        <w:tab/>
        <w:t>Holiday resorts prescribed</w:t>
      </w:r>
      <w:bookmarkEnd w:id="37"/>
      <w:bookmarkEnd w:id="38"/>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9" w:name="_Toc166556601"/>
    </w:p>
    <w:p>
      <w:pPr>
        <w:pStyle w:val="yScheduleHeading"/>
      </w:pPr>
      <w:bookmarkStart w:id="40" w:name="_Toc166573864"/>
      <w:bookmarkStart w:id="41" w:name="_Toc166580123"/>
      <w:bookmarkStart w:id="42" w:name="_Toc166667525"/>
      <w:bookmarkStart w:id="43" w:name="_Toc235325912"/>
      <w:bookmarkStart w:id="44" w:name="_Toc246813263"/>
      <w:bookmarkStart w:id="45" w:name="_Toc257294160"/>
      <w:bookmarkStart w:id="46" w:name="_Toc257300856"/>
      <w:bookmarkStart w:id="47" w:name="_Toc257361276"/>
      <w:bookmarkStart w:id="48" w:name="_Toc5612707"/>
      <w:r>
        <w:rPr>
          <w:rStyle w:val="CharSchNo"/>
        </w:rPr>
        <w:t>Schedule 1</w:t>
      </w:r>
      <w:r>
        <w:t> —</w:t>
      </w:r>
      <w:bookmarkStart w:id="49" w:name="AutoSch"/>
      <w:bookmarkEnd w:id="49"/>
      <w:r>
        <w:t> </w:t>
      </w:r>
      <w:r>
        <w:rPr>
          <w:rStyle w:val="CharSchText"/>
        </w:rPr>
        <w:t>Tourism precincts</w:t>
      </w:r>
      <w:bookmarkEnd w:id="39"/>
      <w:bookmarkEnd w:id="40"/>
      <w:bookmarkEnd w:id="41"/>
      <w:bookmarkEnd w:id="42"/>
      <w:bookmarkEnd w:id="43"/>
      <w:bookmarkEnd w:id="44"/>
      <w:bookmarkEnd w:id="45"/>
      <w:bookmarkEnd w:id="46"/>
      <w:bookmarkEnd w:id="47"/>
      <w:bookmarkEnd w:id="48"/>
    </w:p>
    <w:p>
      <w:pPr>
        <w:pStyle w:val="yShoulderClause"/>
      </w:pPr>
      <w:r>
        <w:t>[r. 3 &amp; 4]</w:t>
      </w:r>
    </w:p>
    <w:p>
      <w:pPr>
        <w:pStyle w:val="yHeading3"/>
      </w:pPr>
      <w:bookmarkStart w:id="50" w:name="_Toc257294162"/>
      <w:bookmarkStart w:id="51" w:name="_Toc257300857"/>
      <w:bookmarkStart w:id="52" w:name="_Toc257361277"/>
      <w:bookmarkStart w:id="53" w:name="_Toc166556602"/>
      <w:bookmarkStart w:id="54" w:name="_Toc166573865"/>
      <w:bookmarkStart w:id="55" w:name="_Toc166580124"/>
      <w:bookmarkStart w:id="56" w:name="_Toc166667526"/>
      <w:bookmarkStart w:id="57" w:name="_Toc235325913"/>
      <w:bookmarkStart w:id="58" w:name="_Toc246813264"/>
      <w:bookmarkStart w:id="59" w:name="_Toc5612708"/>
      <w:bookmarkStart w:id="60" w:name="_Toc166556604"/>
      <w:bookmarkStart w:id="61" w:name="_Toc166573867"/>
      <w:bookmarkStart w:id="62" w:name="_Toc166580126"/>
      <w:bookmarkStart w:id="63" w:name="_Toc166667528"/>
      <w:bookmarkStart w:id="64" w:name="_Toc235325915"/>
      <w:bookmarkStart w:id="65" w:name="_Toc246813266"/>
      <w:r>
        <w:rPr>
          <w:rStyle w:val="CharSDivNo"/>
        </w:rPr>
        <w:t>Division</w:t>
      </w:r>
      <w:del w:id="66" w:author="Master Repository Process" w:date="2021-09-12T09:24:00Z">
        <w:r>
          <w:rPr>
            <w:rStyle w:val="CharSDivNo"/>
          </w:rPr>
          <w:delText xml:space="preserve"> </w:delText>
        </w:r>
      </w:del>
      <w:ins w:id="67" w:author="Master Repository Process" w:date="2021-09-12T09:24:00Z">
        <w:r>
          <w:rPr>
            <w:rStyle w:val="CharSDivNo"/>
          </w:rPr>
          <w:t> </w:t>
        </w:r>
      </w:ins>
      <w:r>
        <w:rPr>
          <w:rStyle w:val="CharSDivNo"/>
        </w:rPr>
        <w:t>1</w:t>
      </w:r>
      <w:r>
        <w:rPr>
          <w:b w:val="0"/>
        </w:rPr>
        <w:t> — </w:t>
      </w:r>
      <w:r>
        <w:rPr>
          <w:rStyle w:val="CharSDivText"/>
        </w:rPr>
        <w:t>Fremantle tourism precinct</w:t>
      </w:r>
      <w:bookmarkEnd w:id="50"/>
      <w:bookmarkEnd w:id="51"/>
      <w:bookmarkEnd w:id="52"/>
      <w:bookmarkEnd w:id="53"/>
      <w:bookmarkEnd w:id="54"/>
      <w:bookmarkEnd w:id="55"/>
      <w:bookmarkEnd w:id="56"/>
      <w:bookmarkEnd w:id="57"/>
      <w:bookmarkEnd w:id="58"/>
      <w:bookmarkEnd w:id="59"/>
    </w:p>
    <w:p>
      <w:pPr>
        <w:pStyle w:val="yFootnoteheading"/>
        <w:rPr>
          <w:ins w:id="68" w:author="Master Repository Process" w:date="2021-09-12T09:24:00Z"/>
        </w:rPr>
      </w:pPr>
      <w:r>
        <w:tab/>
      </w:r>
      <w:del w:id="69" w:author="Master Repository Process" w:date="2021-09-12T09:24:00Z">
        <w:r>
          <w:tab/>
          <w:delText>The portion</w:delText>
        </w:r>
      </w:del>
      <w:ins w:id="70" w:author="Master Repository Process" w:date="2021-09-12T09:24:00Z">
        <w:r>
          <w:t>[Heading inserted in Gazette 26 Mar 2010 p. 1134.]</w:t>
        </w:r>
      </w:ins>
    </w:p>
    <w:p>
      <w:pPr>
        <w:pStyle w:val="zyMiscellaneousBody"/>
      </w:pPr>
      <w:ins w:id="71" w:author="Master Repository Process" w:date="2021-09-12T09:24:00Z">
        <w:r>
          <w:t>That part</w:t>
        </w:r>
      </w:ins>
      <w:r>
        <w:t xml:space="preserve"> of the </w:t>
      </w:r>
      <w:del w:id="72" w:author="Master Repository Process" w:date="2021-09-12T09:24:00Z">
        <w:r>
          <w:delText>State delineated in black and bordered red on “Department</w:delText>
        </w:r>
      </w:del>
      <w:ins w:id="73" w:author="Master Repository Process" w:date="2021-09-12T09:24:00Z">
        <w:r>
          <w:t>district</w:t>
        </w:r>
      </w:ins>
      <w:r>
        <w:t xml:space="preserve"> of </w:t>
      </w:r>
      <w:del w:id="74" w:author="Master Repository Process" w:date="2021-09-12T09:24:00Z">
        <w:r>
          <w:delText>Land Administration Miscellaneous Diagram No. 504” held by</w:delText>
        </w:r>
      </w:del>
      <w:ins w:id="75" w:author="Master Repository Process" w:date="2021-09-12T09:24:00Z">
        <w:r>
          <w:t>Fremantle (as existing at</w:t>
        </w:r>
      </w:ins>
      <w:r>
        <w:t xml:space="preserve"> the </w:t>
      </w:r>
      <w:del w:id="76" w:author="Master Repository Process" w:date="2021-09-12T09:24:00Z">
        <w:r>
          <w:delText>Western Australian Land Information Authority (a representation</w:delText>
        </w:r>
      </w:del>
      <w:ins w:id="77" w:author="Master Repository Process" w:date="2021-09-12T09:24:00Z">
        <w:r>
          <w:t>commencement</w:t>
        </w:r>
      </w:ins>
      <w:r>
        <w:t xml:space="preserve"> of </w:t>
      </w:r>
      <w:del w:id="78" w:author="Master Repository Process" w:date="2021-09-12T09:24:00Z">
        <w:r>
          <w:delText>which</w:delText>
        </w:r>
      </w:del>
      <w:ins w:id="79" w:author="Master Repository Process" w:date="2021-09-12T09:24:00Z">
        <w:r>
          <w:t xml:space="preserve">the </w:t>
        </w:r>
        <w:r>
          <w:rPr>
            <w:i/>
            <w:iCs/>
          </w:rPr>
          <w:t>Retail Trading Hours (Tourism Precincts and Holiday Resorts) Amendment Regulations 2010</w:t>
        </w:r>
        <w:r>
          <w:t xml:space="preserve"> regulation 6) that</w:t>
        </w:r>
      </w:ins>
      <w:r>
        <w:t xml:space="preserve"> is </w:t>
      </w:r>
      <w:del w:id="80" w:author="Master Repository Process" w:date="2021-09-12T09:24:00Z">
        <w:r>
          <w:delText>reproduced</w:delText>
        </w:r>
      </w:del>
      <w:ins w:id="81" w:author="Master Repository Process" w:date="2021-09-12T09:24:00Z">
        <w:r>
          <w:t>south of the Swan River.  For information purposes, the prescribed area is shown</w:t>
        </w:r>
      </w:ins>
      <w:r>
        <w:t xml:space="preserve"> below and shaded grey</w:t>
      </w:r>
      <w:del w:id="82" w:author="Master Repository Process" w:date="2021-09-12T09:24:00Z">
        <w:r>
          <w:delText>).</w:delText>
        </w:r>
      </w:del>
      <w:ins w:id="83" w:author="Master Repository Process" w:date="2021-09-12T09:24:00Z">
        <w:r>
          <w:t>.</w:t>
        </w:r>
      </w:ins>
    </w:p>
    <w:p>
      <w:pPr>
        <w:pStyle w:val="ySubsection"/>
        <w:jc w:val="center"/>
        <w:rPr>
          <w:del w:id="84" w:author="Master Repository Process" w:date="2021-09-12T09:24:00Z"/>
        </w:rPr>
      </w:pPr>
      <w:del w:id="85" w:author="Master Repository Process" w:date="2021-09-12T09:24:00Z">
        <w:r>
          <w:rPr>
            <w:noProof/>
            <w:lang w:eastAsia="en-AU"/>
          </w:rPr>
          <w:drawing>
            <wp:inline distT="0" distB="0" distL="0" distR="0">
              <wp:extent cx="3928110" cy="46755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28110" cy="4675505"/>
                      </a:xfrm>
                      <a:prstGeom prst="rect">
                        <a:avLst/>
                      </a:prstGeom>
                      <a:noFill/>
                      <a:ln>
                        <a:noFill/>
                      </a:ln>
                    </pic:spPr>
                  </pic:pic>
                </a:graphicData>
              </a:graphic>
            </wp:inline>
          </w:drawing>
        </w:r>
      </w:del>
    </w:p>
    <w:p>
      <w:pPr>
        <w:pStyle w:val="zyMiscellaneousBody"/>
        <w:ind w:hanging="567"/>
        <w:rPr>
          <w:ins w:id="86" w:author="Master Repository Process" w:date="2021-09-12T09:24:00Z"/>
        </w:rPr>
      </w:pPr>
      <w:ins w:id="87" w:author="Master Repository Process" w:date="2021-09-12T09:24:00Z">
        <w:r>
          <w:rPr>
            <w:noProof/>
            <w:lang w:eastAsia="en-AU"/>
          </w:rPr>
          <w:drawing>
            <wp:inline distT="0" distB="0" distL="0" distR="0">
              <wp:extent cx="4495800" cy="3105150"/>
              <wp:effectExtent l="0" t="0" r="0" b="0"/>
              <wp:docPr id="1" name="Picture 1" descr="map-15n6q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15n6q90#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3105150"/>
                      </a:xfrm>
                      <a:prstGeom prst="rect">
                        <a:avLst/>
                      </a:prstGeom>
                      <a:noFill/>
                      <a:ln>
                        <a:noFill/>
                      </a:ln>
                    </pic:spPr>
                  </pic:pic>
                </a:graphicData>
              </a:graphic>
            </wp:inline>
          </w:drawing>
        </w:r>
      </w:ins>
    </w:p>
    <w:p>
      <w:pPr>
        <w:pStyle w:val="yFootnotesection"/>
        <w:rPr>
          <w:ins w:id="88" w:author="Master Repository Process" w:date="2021-09-12T09:24:00Z"/>
        </w:rPr>
      </w:pPr>
      <w:ins w:id="89" w:author="Master Repository Process" w:date="2021-09-12T09:24:00Z">
        <w:r>
          <w:tab/>
          <w:t>[Division 1 inserted in Gazette 26 Mar 2010 p. 1134-5.]</w:t>
        </w:r>
      </w:ins>
    </w:p>
    <w:p>
      <w:pPr>
        <w:pStyle w:val="yHeading3"/>
        <w:pageBreakBefore/>
      </w:pPr>
      <w:bookmarkStart w:id="90" w:name="_Toc257294163"/>
      <w:bookmarkStart w:id="91" w:name="_Toc257300858"/>
      <w:bookmarkStart w:id="92" w:name="_Toc257361278"/>
      <w:bookmarkStart w:id="93" w:name="_Toc5612709"/>
      <w:r>
        <w:rPr>
          <w:rStyle w:val="CharSDivNo"/>
        </w:rPr>
        <w:t>Division 2</w:t>
      </w:r>
      <w:r>
        <w:rPr>
          <w:b w:val="0"/>
        </w:rPr>
        <w:t> — </w:t>
      </w:r>
      <w:r>
        <w:rPr>
          <w:rStyle w:val="CharSDivText"/>
        </w:rPr>
        <w:t>Perth tourism precinct</w:t>
      </w:r>
      <w:bookmarkEnd w:id="90"/>
      <w:bookmarkEnd w:id="91"/>
      <w:bookmarkEnd w:id="92"/>
      <w:bookmarkEnd w:id="93"/>
    </w:p>
    <w:p>
      <w:pPr>
        <w:pStyle w:val="yFootnoteheading"/>
      </w:pPr>
      <w:r>
        <w:tab/>
        <w:t>[Heading inserted in Gazette 24 Nov 2009 p. 4734.]</w:t>
      </w:r>
    </w:p>
    <w:p>
      <w:pPr>
        <w:pStyle w:val="ySubsection"/>
      </w:pPr>
      <w:r>
        <w:tab/>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w:t>
      </w:r>
    </w:p>
    <w:p>
      <w:pPr>
        <w:pStyle w:val="ySubsection"/>
      </w:pPr>
      <w:r>
        <w:tab/>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ySubsection"/>
      </w:pPr>
      <w:r>
        <w:tab/>
        <w:t>(3)</w:t>
      </w:r>
      <w:r>
        <w:tab/>
        <w:t>The Perth tourism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yFootnotesection"/>
      </w:pPr>
      <w:r>
        <w:tab/>
        <w:t>[Division 2 inserted in Gazette 24 Nov 2009 p. 4734-5.]</w:t>
      </w:r>
    </w:p>
    <w:p>
      <w:pPr>
        <w:pStyle w:val="yScheduleHeading"/>
      </w:pPr>
      <w:bookmarkStart w:id="94" w:name="_Toc257294164"/>
      <w:bookmarkStart w:id="95" w:name="_Toc257300859"/>
      <w:bookmarkStart w:id="96" w:name="_Toc257361279"/>
      <w:bookmarkStart w:id="97" w:name="_Toc5612710"/>
      <w:r>
        <w:rPr>
          <w:rStyle w:val="CharSchNo"/>
        </w:rPr>
        <w:t>Schedule 2</w:t>
      </w:r>
      <w:r>
        <w:t> — </w:t>
      </w:r>
      <w:r>
        <w:rPr>
          <w:rStyle w:val="CharSchText"/>
        </w:rPr>
        <w:t>Holiday resorts</w:t>
      </w:r>
      <w:bookmarkEnd w:id="60"/>
      <w:bookmarkEnd w:id="61"/>
      <w:bookmarkEnd w:id="62"/>
      <w:bookmarkEnd w:id="63"/>
      <w:bookmarkEnd w:id="64"/>
      <w:bookmarkEnd w:id="65"/>
      <w:bookmarkEnd w:id="94"/>
      <w:bookmarkEnd w:id="95"/>
      <w:bookmarkEnd w:id="96"/>
      <w:bookmarkEnd w:id="97"/>
    </w:p>
    <w:p>
      <w:pPr>
        <w:pStyle w:val="yShoulderClause"/>
      </w:pPr>
      <w:r>
        <w:t>[r. 5]</w:t>
      </w:r>
    </w:p>
    <w:p>
      <w:pPr>
        <w:pStyle w:val="yHeading3"/>
      </w:pPr>
      <w:bookmarkStart w:id="98" w:name="_Toc166556605"/>
      <w:bookmarkStart w:id="99" w:name="_Toc166573868"/>
      <w:bookmarkStart w:id="100" w:name="_Toc166580127"/>
      <w:bookmarkStart w:id="101" w:name="_Toc166667529"/>
      <w:bookmarkStart w:id="102" w:name="_Toc235325916"/>
      <w:bookmarkStart w:id="103" w:name="_Toc246813267"/>
      <w:bookmarkStart w:id="104" w:name="_Toc257294165"/>
      <w:bookmarkStart w:id="105" w:name="_Toc257300860"/>
      <w:bookmarkStart w:id="106" w:name="_Toc257361280"/>
      <w:bookmarkStart w:id="107" w:name="_Toc5612711"/>
      <w:r>
        <w:rPr>
          <w:rStyle w:val="CharSDivNo"/>
        </w:rPr>
        <w:t>Division 1</w:t>
      </w:r>
      <w:r>
        <w:t> — </w:t>
      </w:r>
      <w:r>
        <w:rPr>
          <w:rStyle w:val="CharSDivText"/>
        </w:rPr>
        <w:t>Rockingham holiday resort</w:t>
      </w:r>
      <w:bookmarkEnd w:id="98"/>
      <w:bookmarkEnd w:id="99"/>
      <w:bookmarkEnd w:id="100"/>
      <w:bookmarkEnd w:id="101"/>
      <w:bookmarkEnd w:id="102"/>
      <w:bookmarkEnd w:id="103"/>
      <w:bookmarkEnd w:id="104"/>
      <w:bookmarkEnd w:id="105"/>
      <w:bookmarkEnd w:id="106"/>
      <w:bookmarkEnd w:id="107"/>
    </w:p>
    <w:p>
      <w:pPr>
        <w:pStyle w:val="ySubsection"/>
      </w:pPr>
      <w:r>
        <w:tab/>
      </w:r>
      <w:r>
        <w:tab/>
        <w:t>City of Rockingham.</w:t>
      </w:r>
    </w:p>
    <w:p>
      <w:pPr>
        <w:pStyle w:val="yHeading3"/>
      </w:pPr>
      <w:bookmarkStart w:id="108" w:name="_Toc166556606"/>
      <w:bookmarkStart w:id="109" w:name="_Toc166573869"/>
      <w:bookmarkStart w:id="110" w:name="_Toc166580128"/>
      <w:bookmarkStart w:id="111" w:name="_Toc166667530"/>
      <w:bookmarkStart w:id="112" w:name="_Toc235325917"/>
      <w:bookmarkStart w:id="113" w:name="_Toc246813268"/>
      <w:bookmarkStart w:id="114" w:name="_Toc257294166"/>
      <w:bookmarkStart w:id="115" w:name="_Toc257300861"/>
      <w:bookmarkStart w:id="116" w:name="_Toc257361281"/>
      <w:bookmarkStart w:id="117" w:name="_Toc5612712"/>
      <w:r>
        <w:rPr>
          <w:rStyle w:val="CharSDivNo"/>
        </w:rPr>
        <w:t>Division 2</w:t>
      </w:r>
      <w:r>
        <w:t> — </w:t>
      </w:r>
      <w:r>
        <w:rPr>
          <w:rStyle w:val="CharSDivText"/>
        </w:rPr>
        <w:t>Rottnest Island holiday resort</w:t>
      </w:r>
      <w:bookmarkEnd w:id="108"/>
      <w:bookmarkEnd w:id="109"/>
      <w:bookmarkEnd w:id="110"/>
      <w:bookmarkEnd w:id="111"/>
      <w:bookmarkEnd w:id="112"/>
      <w:bookmarkEnd w:id="113"/>
      <w:bookmarkEnd w:id="114"/>
      <w:bookmarkEnd w:id="115"/>
      <w:bookmarkEnd w:id="116"/>
      <w:bookmarkEnd w:id="117"/>
    </w:p>
    <w:p>
      <w:pPr>
        <w:pStyle w:val="ySubsection"/>
      </w:pPr>
      <w:r>
        <w:tab/>
      </w:r>
      <w:r>
        <w:tab/>
        <w:t>Rottnest Island.</w:t>
      </w:r>
    </w:p>
    <w:p>
      <w:pPr>
        <w:pStyle w:val="yHeading3"/>
        <w:rPr>
          <w:rStyle w:val="CharSDivText"/>
        </w:rPr>
      </w:pPr>
      <w:bookmarkStart w:id="118" w:name="_Toc166556607"/>
      <w:bookmarkStart w:id="119" w:name="_Toc166573870"/>
      <w:bookmarkStart w:id="120" w:name="_Toc166580129"/>
      <w:bookmarkStart w:id="121" w:name="_Toc166667531"/>
      <w:bookmarkStart w:id="122" w:name="_Toc235325918"/>
      <w:bookmarkStart w:id="123" w:name="_Toc246813269"/>
      <w:bookmarkStart w:id="124" w:name="_Toc257294167"/>
      <w:bookmarkStart w:id="125" w:name="_Toc257300862"/>
      <w:bookmarkStart w:id="126" w:name="_Toc257361282"/>
      <w:bookmarkStart w:id="127" w:name="_Toc5612713"/>
      <w:r>
        <w:rPr>
          <w:rStyle w:val="CharSDivNo"/>
        </w:rPr>
        <w:t>Division 3</w:t>
      </w:r>
      <w:r>
        <w:t> — </w:t>
      </w:r>
      <w:r>
        <w:rPr>
          <w:rStyle w:val="CharSDivText"/>
        </w:rPr>
        <w:t>Wanneroo holiday resort</w:t>
      </w:r>
      <w:bookmarkEnd w:id="118"/>
      <w:bookmarkEnd w:id="119"/>
      <w:bookmarkEnd w:id="120"/>
      <w:bookmarkEnd w:id="121"/>
      <w:bookmarkEnd w:id="122"/>
      <w:bookmarkEnd w:id="123"/>
      <w:bookmarkEnd w:id="124"/>
      <w:bookmarkEnd w:id="125"/>
      <w:bookmarkEnd w:id="126"/>
      <w:bookmarkEnd w:id="127"/>
    </w:p>
    <w:p>
      <w:pPr>
        <w:pStyle w:val="ySubsection"/>
        <w:rPr>
          <w:sz w:val="20"/>
          <w:lang w:val="en-US"/>
        </w:rPr>
      </w:pPr>
      <w:r>
        <w:tab/>
      </w:r>
      <w:r>
        <w:tab/>
        <w:t xml:space="preserve">Localities of Two Rocks and </w:t>
      </w:r>
      <w:r>
        <w:rPr>
          <w:lang w:val="en-US"/>
        </w:rPr>
        <w:t>Yanchep</w:t>
      </w:r>
      <w:r>
        <w:rPr>
          <w:sz w:val="20"/>
          <w:lang w:val="en-US"/>
        </w:rPr>
        <w:t>.</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28" w:name="_Toc113695922"/>
    </w:p>
    <w:p>
      <w:pPr>
        <w:pStyle w:val="nHeading2"/>
      </w:pPr>
      <w:bookmarkStart w:id="129" w:name="UpToHere"/>
      <w:bookmarkStart w:id="130" w:name="_Toc166573871"/>
      <w:bookmarkStart w:id="131" w:name="_Toc166580130"/>
      <w:bookmarkStart w:id="132" w:name="_Toc166667532"/>
      <w:bookmarkStart w:id="133" w:name="_Toc235325919"/>
      <w:bookmarkStart w:id="134" w:name="_Toc246813270"/>
      <w:bookmarkStart w:id="135" w:name="_Toc257294168"/>
      <w:bookmarkStart w:id="136" w:name="_Toc257300863"/>
      <w:bookmarkStart w:id="137" w:name="_Toc257361283"/>
      <w:bookmarkStart w:id="138" w:name="_Toc5612714"/>
      <w:bookmarkEnd w:id="129"/>
      <w:r>
        <w:t>Notes</w:t>
      </w:r>
      <w:bookmarkEnd w:id="128"/>
      <w:bookmarkEnd w:id="130"/>
      <w:bookmarkEnd w:id="131"/>
      <w:bookmarkEnd w:id="132"/>
      <w:bookmarkEnd w:id="133"/>
      <w:bookmarkEnd w:id="134"/>
      <w:bookmarkEnd w:id="135"/>
      <w:bookmarkEnd w:id="136"/>
      <w:bookmarkEnd w:id="137"/>
      <w:bookmarkEnd w:id="138"/>
    </w:p>
    <w:p>
      <w:pPr>
        <w:pStyle w:val="nSubsection"/>
        <w:rPr>
          <w:snapToGrid w:val="0"/>
        </w:rPr>
      </w:pPr>
      <w:bookmarkStart w:id="139" w:name="_Toc70311430"/>
      <w:bookmarkStart w:id="140" w:name="_Toc113695923"/>
      <w:r>
        <w:rPr>
          <w:snapToGrid w:val="0"/>
          <w:vertAlign w:val="superscript"/>
        </w:rPr>
        <w:t>1</w:t>
      </w:r>
      <w:r>
        <w:rPr>
          <w:snapToGrid w:val="0"/>
        </w:rPr>
        <w:tab/>
        <w:t xml:space="preserve">This is a compilation of the </w:t>
      </w:r>
      <w:r>
        <w:rPr>
          <w:i/>
          <w:noProof/>
          <w:snapToGrid w:val="0"/>
        </w:rPr>
        <w:t>Retail Trading Hours (Tourism Precincts and Holiday Resorts) Regulations 2007</w:t>
      </w:r>
      <w:r>
        <w:rPr>
          <w:snapToGrid w:val="0"/>
        </w:rPr>
        <w:t xml:space="preserve"> and includes the amendments made by the other written laws referred to in the following table. </w:t>
      </w:r>
    </w:p>
    <w:p>
      <w:pPr>
        <w:pStyle w:val="nHeading3"/>
      </w:pPr>
      <w:bookmarkStart w:id="141" w:name="_Toc257361284"/>
      <w:bookmarkStart w:id="142" w:name="_Toc5612715"/>
      <w:r>
        <w:t>Compilation table</w:t>
      </w:r>
      <w:bookmarkEnd w:id="139"/>
      <w:bookmarkEnd w:id="140"/>
      <w:bookmarkEnd w:id="141"/>
      <w:bookmarkEnd w:id="1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left w:val="nil"/>
              <w:bottom w:val="nil"/>
            </w:tcBorders>
          </w:tcPr>
          <w:p>
            <w:pPr>
              <w:pStyle w:val="nTable"/>
              <w:spacing w:after="40"/>
              <w:rPr>
                <w:sz w:val="19"/>
              </w:rPr>
            </w:pPr>
            <w:r>
              <w:rPr>
                <w:i/>
                <w:noProof/>
                <w:snapToGrid w:val="0"/>
                <w:sz w:val="19"/>
              </w:rPr>
              <w:t>Retail Trading Hours (Tourism Precincts and Holiday Resorts) Regulations 2007</w:t>
            </w:r>
          </w:p>
        </w:tc>
        <w:tc>
          <w:tcPr>
            <w:tcW w:w="1276" w:type="dxa"/>
            <w:tcBorders>
              <w:top w:val="single" w:sz="4" w:space="0" w:color="auto"/>
              <w:bottom w:val="nil"/>
            </w:tcBorders>
          </w:tcPr>
          <w:p>
            <w:pPr>
              <w:pStyle w:val="nTable"/>
              <w:spacing w:after="40"/>
              <w:rPr>
                <w:sz w:val="19"/>
              </w:rPr>
            </w:pPr>
            <w:r>
              <w:rPr>
                <w:sz w:val="19"/>
              </w:rPr>
              <w:t>11 May 2007 p. 2019</w:t>
            </w:r>
            <w:r>
              <w:rPr>
                <w:sz w:val="19"/>
              </w:rPr>
              <w:noBreakHyphen/>
              <w:t>25</w:t>
            </w:r>
          </w:p>
        </w:tc>
        <w:tc>
          <w:tcPr>
            <w:tcW w:w="2693" w:type="dxa"/>
            <w:tcBorders>
              <w:top w:val="single" w:sz="4" w:space="0" w:color="auto"/>
              <w:bottom w:val="nil"/>
              <w:right w:val="nil"/>
            </w:tcBorders>
          </w:tcPr>
          <w:p>
            <w:pPr>
              <w:pStyle w:val="nTable"/>
              <w:spacing w:after="40"/>
              <w:rPr>
                <w:sz w:val="19"/>
              </w:rPr>
            </w:pPr>
            <w:r>
              <w:rPr>
                <w:sz w:val="19"/>
              </w:rPr>
              <w:t xml:space="preserve">11 May 2007 (see r. 2 and </w:t>
            </w:r>
            <w:r>
              <w:rPr>
                <w:i/>
                <w:sz w:val="19"/>
              </w:rPr>
              <w:t xml:space="preserve">Gazette  </w:t>
            </w:r>
            <w:r>
              <w:rPr>
                <w:iCs/>
                <w:sz w:val="19"/>
              </w:rPr>
              <w:t>11</w:t>
            </w:r>
            <w:r>
              <w:rPr>
                <w:sz w:val="19"/>
              </w:rPr>
              <w:t> May 2007 p. 2017)</w:t>
            </w:r>
          </w:p>
        </w:tc>
      </w:tr>
      <w:tr>
        <w:tc>
          <w:tcPr>
            <w:tcW w:w="3118" w:type="dxa"/>
            <w:tcBorders>
              <w:top w:val="nil"/>
              <w:bottom w:val="nil"/>
            </w:tcBorders>
          </w:tcPr>
          <w:p>
            <w:pPr>
              <w:pStyle w:val="nTable"/>
              <w:spacing w:after="40"/>
              <w:rPr>
                <w:i/>
                <w:noProof/>
                <w:snapToGrid w:val="0"/>
                <w:sz w:val="19"/>
              </w:rPr>
            </w:pPr>
            <w:r>
              <w:rPr>
                <w:i/>
                <w:noProof/>
                <w:snapToGrid w:val="0"/>
                <w:sz w:val="19"/>
              </w:rPr>
              <w:t>Retail Trading Hours (Tourism Precincts and Holiday Resorts) Amendment Regulations 2009</w:t>
            </w:r>
          </w:p>
        </w:tc>
        <w:tc>
          <w:tcPr>
            <w:tcW w:w="1276" w:type="dxa"/>
            <w:tcBorders>
              <w:top w:val="nil"/>
              <w:bottom w:val="nil"/>
            </w:tcBorders>
          </w:tcPr>
          <w:p>
            <w:pPr>
              <w:pStyle w:val="nTable"/>
              <w:spacing w:after="40"/>
              <w:rPr>
                <w:sz w:val="19"/>
              </w:rPr>
            </w:pPr>
            <w:r>
              <w:rPr>
                <w:iCs/>
                <w:sz w:val="19"/>
              </w:rPr>
              <w:t>14 Jul 2009 p. 2811</w:t>
            </w:r>
            <w:r>
              <w:rPr>
                <w:iCs/>
                <w:sz w:val="19"/>
              </w:rPr>
              <w:noBreakHyphen/>
              <w:t>12</w:t>
            </w:r>
          </w:p>
        </w:tc>
        <w:tc>
          <w:tcPr>
            <w:tcW w:w="2693" w:type="dxa"/>
            <w:tcBorders>
              <w:top w:val="nil"/>
              <w:bottom w:val="nil"/>
            </w:tcBorders>
          </w:tcPr>
          <w:p>
            <w:pPr>
              <w:pStyle w:val="nTable"/>
              <w:spacing w:after="40"/>
              <w:rPr>
                <w:sz w:val="19"/>
              </w:rPr>
            </w:pPr>
            <w:r>
              <w:rPr>
                <w:snapToGrid w:val="0"/>
                <w:spacing w:val="-2"/>
                <w:sz w:val="19"/>
                <w:lang w:val="en-US"/>
              </w:rPr>
              <w:t>r. 1 and 2: 14 Jul 2009 (see r. 2(a));</w:t>
            </w:r>
            <w:r>
              <w:rPr>
                <w:snapToGrid w:val="0"/>
                <w:spacing w:val="-2"/>
                <w:sz w:val="19"/>
                <w:lang w:val="en-US"/>
              </w:rPr>
              <w:br/>
              <w:t>Regulations other than r. 1 and 2: 15 Jul 2009 (see r. 2(b))</w:t>
            </w:r>
          </w:p>
        </w:tc>
      </w:tr>
      <w:tr>
        <w:trPr>
          <w:tblHeader/>
        </w:trPr>
        <w:tc>
          <w:tcPr>
            <w:tcW w:w="3118" w:type="dxa"/>
            <w:tcBorders>
              <w:top w:val="nil"/>
              <w:bottom w:val="nil"/>
            </w:tcBorders>
          </w:tcPr>
          <w:p>
            <w:pPr>
              <w:pStyle w:val="nTable"/>
              <w:spacing w:after="40"/>
              <w:rPr>
                <w:b/>
                <w:sz w:val="19"/>
              </w:rPr>
            </w:pPr>
            <w:r>
              <w:rPr>
                <w:i/>
                <w:noProof/>
                <w:snapToGrid w:val="0"/>
                <w:sz w:val="19"/>
              </w:rPr>
              <w:t>Retail Trading Hours (Tourism Precincts and Holiday Resorts) Amendment Regulations (No. 2) 2009</w:t>
            </w:r>
          </w:p>
        </w:tc>
        <w:tc>
          <w:tcPr>
            <w:tcW w:w="1276" w:type="dxa"/>
            <w:tcBorders>
              <w:top w:val="nil"/>
              <w:bottom w:val="nil"/>
            </w:tcBorders>
          </w:tcPr>
          <w:p>
            <w:pPr>
              <w:pStyle w:val="nTable"/>
              <w:spacing w:after="40"/>
              <w:rPr>
                <w:bCs/>
                <w:sz w:val="19"/>
              </w:rPr>
            </w:pPr>
            <w:r>
              <w:rPr>
                <w:bCs/>
                <w:sz w:val="19"/>
              </w:rPr>
              <w:t>24 Nov 2009 p. 4733</w:t>
            </w:r>
            <w:r>
              <w:rPr>
                <w:bCs/>
                <w:sz w:val="19"/>
              </w:rPr>
              <w:noBreakHyphen/>
              <w:t>5</w:t>
            </w:r>
          </w:p>
        </w:tc>
        <w:tc>
          <w:tcPr>
            <w:tcW w:w="2693" w:type="dxa"/>
            <w:tcBorders>
              <w:top w:val="nil"/>
              <w:bottom w:val="nil"/>
            </w:tcBorders>
          </w:tcPr>
          <w:p>
            <w:pPr>
              <w:pStyle w:val="nTable"/>
              <w:spacing w:after="40"/>
              <w:rPr>
                <w:bCs/>
                <w:sz w:val="19"/>
              </w:rPr>
            </w:pPr>
            <w:r>
              <w:rPr>
                <w:bCs/>
                <w:sz w:val="19"/>
              </w:rPr>
              <w:t>r. 1 and 2: 24 Nov 2009 (see r. 2(a));</w:t>
            </w:r>
            <w:r>
              <w:rPr>
                <w:bCs/>
                <w:sz w:val="19"/>
              </w:rPr>
              <w:br/>
              <w:t>Regulations other than r. 1 and 2: 1 Jan 2010 (see r. 2(b))</w:t>
            </w:r>
          </w:p>
        </w:tc>
      </w:tr>
      <w:tr>
        <w:trPr>
          <w:tblHeader/>
          <w:ins w:id="143" w:author="Master Repository Process" w:date="2021-09-12T09:24:00Z"/>
        </w:trPr>
        <w:tc>
          <w:tcPr>
            <w:tcW w:w="3118" w:type="dxa"/>
            <w:tcBorders>
              <w:top w:val="nil"/>
              <w:bottom w:val="single" w:sz="4" w:space="0" w:color="auto"/>
            </w:tcBorders>
          </w:tcPr>
          <w:p>
            <w:pPr>
              <w:pStyle w:val="nTable"/>
              <w:spacing w:after="40"/>
              <w:rPr>
                <w:ins w:id="144" w:author="Master Repository Process" w:date="2021-09-12T09:24:00Z"/>
                <w:i/>
                <w:noProof/>
                <w:snapToGrid w:val="0"/>
                <w:sz w:val="19"/>
              </w:rPr>
            </w:pPr>
            <w:ins w:id="145" w:author="Master Repository Process" w:date="2021-09-12T09:24:00Z">
              <w:r>
                <w:rPr>
                  <w:i/>
                  <w:noProof/>
                  <w:snapToGrid w:val="0"/>
                  <w:sz w:val="19"/>
                </w:rPr>
                <w:t>Retail Trading Hours (Tourism Precincts and Holiday Resorts) Amendment Regulations 2010</w:t>
              </w:r>
            </w:ins>
          </w:p>
        </w:tc>
        <w:tc>
          <w:tcPr>
            <w:tcW w:w="1276" w:type="dxa"/>
            <w:tcBorders>
              <w:top w:val="nil"/>
              <w:bottom w:val="single" w:sz="4" w:space="0" w:color="auto"/>
            </w:tcBorders>
          </w:tcPr>
          <w:p>
            <w:pPr>
              <w:pStyle w:val="nTable"/>
              <w:spacing w:after="40"/>
              <w:rPr>
                <w:ins w:id="146" w:author="Master Repository Process" w:date="2021-09-12T09:24:00Z"/>
                <w:bCs/>
                <w:sz w:val="19"/>
              </w:rPr>
            </w:pPr>
            <w:ins w:id="147" w:author="Master Repository Process" w:date="2021-09-12T09:24:00Z">
              <w:r>
                <w:rPr>
                  <w:bCs/>
                  <w:sz w:val="19"/>
                </w:rPr>
                <w:t>26 Mar 2010 p. 1134-5</w:t>
              </w:r>
            </w:ins>
          </w:p>
        </w:tc>
        <w:tc>
          <w:tcPr>
            <w:tcW w:w="2693" w:type="dxa"/>
            <w:tcBorders>
              <w:top w:val="nil"/>
              <w:bottom w:val="single" w:sz="4" w:space="0" w:color="auto"/>
            </w:tcBorders>
          </w:tcPr>
          <w:p>
            <w:pPr>
              <w:pStyle w:val="nTable"/>
              <w:spacing w:after="40"/>
              <w:rPr>
                <w:ins w:id="148" w:author="Master Repository Process" w:date="2021-09-12T09:24:00Z"/>
                <w:bCs/>
                <w:sz w:val="19"/>
              </w:rPr>
            </w:pPr>
            <w:ins w:id="149" w:author="Master Repository Process" w:date="2021-09-12T09:24:00Z">
              <w:r>
                <w:rPr>
                  <w:bCs/>
                  <w:sz w:val="19"/>
                </w:rPr>
                <w:t>r. 1 and 2: 26 Mar 2010 (see r. 2(a));</w:t>
              </w:r>
              <w:r>
                <w:rPr>
                  <w:bCs/>
                  <w:sz w:val="19"/>
                </w:rPr>
                <w:br/>
                <w:t>Regulations other than r. 1 and 2: 27 Mar 2010 (see r. 2(b))</w:t>
              </w:r>
            </w:ins>
          </w:p>
        </w:tc>
      </w:tr>
    </w:tbl>
    <w:p>
      <w:pPr>
        <w:pStyle w:val="nSubsection"/>
        <w:tabs>
          <w:tab w:val="clear" w:pos="454"/>
          <w:tab w:val="left" w:pos="567"/>
        </w:tabs>
        <w:spacing w:before="0"/>
        <w:ind w:left="567" w:hanging="567"/>
        <w:rPr>
          <w:snapToGrid w:val="0"/>
          <w:vertAlign w:val="superscript"/>
        </w:rPr>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(Tourism Precincts and Holiday Resorts)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MERGEFORMA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142" w:right="17"/>
          </w:pPr>
          <w:fldSimple w:instr=" Styleref &quot;Name of Act/Reg&quot; ">
            <w:r>
              <w:rPr>
                <w:noProof/>
              </w:rPr>
              <w:t>Retail Trading Hours (Tourism Precincts and Holiday Resorts)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360" w:right="17"/>
          </w:pPr>
          <w:fldSimple w:instr=" Styleref &quot;Name of Act/Reg&quot; ">
            <w:r>
              <w:rPr>
                <w:noProof/>
              </w:rPr>
              <w:t>Retail Trading Hours (Tourism Precincts and Holiday Resorts)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170192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43449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1697A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1305E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B22D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4A7F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E49E5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4AE4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DC60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D067E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A6C6C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748"/>
    <w:docVar w:name="WAFER_20151209123748" w:val="RemoveTrackChanges"/>
    <w:docVar w:name="WAFER_20151209123748_GUID" w:val="a4b723b8-6361-4b42-a0b4-2c4a925966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D1E8FF4-7F44-4172-809D-CEDC18FA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1380</Words>
  <Characters>7097</Characters>
  <Application>Microsoft Office Word</Application>
  <DocSecurity>0</DocSecurity>
  <Lines>186</Lines>
  <Paragraphs>71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    Schedule 1 — Tourism precincts</vt:lpstr>
      <vt:lpstr>        Division 1 — Fremantle tourism precinct</vt:lpstr>
      <vt:lpstr>        Division 2 — Perth tourism precinct</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8406</CharactersWithSpaces>
  <SharedDoc>false</SharedDoc>
  <HLinks>
    <vt:vector size="12" baseType="variant">
      <vt:variant>
        <vt:i4>720989</vt:i4>
      </vt:variant>
      <vt:variant>
        <vt:i4>4151</vt:i4>
      </vt:variant>
      <vt:variant>
        <vt:i4>1025</vt:i4>
      </vt:variant>
      <vt:variant>
        <vt:i4>1</vt:i4>
      </vt:variant>
      <vt:variant>
        <vt:lpwstr>map-15n6q90#4.jpg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(Tourism Precincts and Holiday Resorts) Regulations 2007 00-d0-01 - 00-e0-02</dc:title>
  <dc:subject/>
  <dc:creator/>
  <cp:keywords/>
  <dc:description/>
  <cp:lastModifiedBy>Master Repository Process</cp:lastModifiedBy>
  <cp:revision>2</cp:revision>
  <cp:lastPrinted>2007-05-01T03:00:00Z</cp:lastPrinted>
  <dcterms:created xsi:type="dcterms:W3CDTF">2021-09-12T01:24:00Z</dcterms:created>
  <dcterms:modified xsi:type="dcterms:W3CDTF">2021-09-12T01:24:00Z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May 2007 p 2027-31</vt:lpwstr>
  </property>
  <property fmtid="{D5CDD505-2E9C-101B-9397-08002B2CF9AE}" pid="3" name="CommencementDate">
    <vt:lpwstr>20100327</vt:lpwstr>
  </property>
  <property fmtid="{D5CDD505-2E9C-101B-9397-08002B2CF9AE}" pid="4" name="DocumentType">
    <vt:lpwstr>Reg</vt:lpwstr>
  </property>
  <property fmtid="{D5CDD505-2E9C-101B-9397-08002B2CF9AE}" pid="5" name="OwlsUID">
    <vt:i4>39736</vt:i4>
  </property>
  <property fmtid="{D5CDD505-2E9C-101B-9397-08002B2CF9AE}" pid="6" name="FromSuffix">
    <vt:lpwstr>00-d0-01</vt:lpwstr>
  </property>
  <property fmtid="{D5CDD505-2E9C-101B-9397-08002B2CF9AE}" pid="7" name="FromAsAtDate">
    <vt:lpwstr>01 Jan 2010</vt:lpwstr>
  </property>
  <property fmtid="{D5CDD505-2E9C-101B-9397-08002B2CF9AE}" pid="8" name="ToSuffix">
    <vt:lpwstr>00-e0-02</vt:lpwstr>
  </property>
  <property fmtid="{D5CDD505-2E9C-101B-9397-08002B2CF9AE}" pid="9" name="ToAsAtDate">
    <vt:lpwstr>27 Mar 2010</vt:lpwstr>
  </property>
</Properties>
</file>