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28 Mar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87527724"/>
      <w:bookmarkStart w:id="22" w:name="_Toc526931897"/>
      <w:bookmarkStart w:id="23" w:name="_Toc102538126"/>
      <w:bookmarkStart w:id="24" w:name="_Toc146533354"/>
      <w:bookmarkStart w:id="25" w:name="_Toc163010899"/>
      <w:bookmarkStart w:id="26" w:name="_Toc158003235"/>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27" w:name="_Toc487527725"/>
      <w:bookmarkStart w:id="28" w:name="_Toc526931898"/>
      <w:bookmarkStart w:id="29" w:name="_Toc102538127"/>
      <w:bookmarkStart w:id="30" w:name="_Toc146533355"/>
      <w:bookmarkStart w:id="31" w:name="_Toc163010900"/>
      <w:bookmarkStart w:id="32" w:name="_Toc158003236"/>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3" w:name="_Toc487527726"/>
      <w:bookmarkStart w:id="34" w:name="_Toc526931899"/>
      <w:bookmarkStart w:id="35" w:name="_Toc102538128"/>
      <w:bookmarkStart w:id="36" w:name="_Toc146533356"/>
      <w:bookmarkStart w:id="37" w:name="_Toc163010901"/>
      <w:bookmarkStart w:id="38" w:name="_Toc158003237"/>
      <w:r>
        <w:rPr>
          <w:rStyle w:val="CharSectno"/>
        </w:rPr>
        <w:t>3</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w:t>
      </w:r>
      <w:r>
        <w:lastRenderedPageBreak/>
        <w:t>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39" w:name="_Toc89505462"/>
      <w:bookmarkStart w:id="40" w:name="_Toc89505504"/>
      <w:bookmarkStart w:id="41" w:name="_Toc89585117"/>
      <w:bookmarkStart w:id="42" w:name="_Toc102465869"/>
      <w:bookmarkStart w:id="43" w:name="_Toc102538129"/>
      <w:bookmarkStart w:id="44" w:name="_Toc139346299"/>
      <w:bookmarkStart w:id="45" w:name="_Toc139700509"/>
      <w:bookmarkStart w:id="46" w:name="_Toc142276061"/>
      <w:bookmarkStart w:id="47" w:name="_Toc142276973"/>
      <w:bookmarkStart w:id="48" w:name="_Toc143058002"/>
      <w:bookmarkStart w:id="49" w:name="_Toc143058111"/>
      <w:bookmarkStart w:id="50" w:name="_Toc143398767"/>
      <w:bookmarkStart w:id="51" w:name="_Toc146533357"/>
      <w:bookmarkStart w:id="52" w:name="_Toc157328021"/>
      <w:bookmarkStart w:id="53" w:name="_Toc157328086"/>
      <w:bookmarkStart w:id="54" w:name="_Toc158003238"/>
      <w:bookmarkStart w:id="55" w:name="_Toc162949567"/>
      <w:bookmarkStart w:id="56" w:name="_Toc162949609"/>
      <w:bookmarkStart w:id="57" w:name="_Toc162949651"/>
      <w:bookmarkStart w:id="58" w:name="_Toc163010902"/>
      <w:r>
        <w:rPr>
          <w:rStyle w:val="CharPartNo"/>
        </w:rPr>
        <w:t>Part 2</w:t>
      </w:r>
      <w:r>
        <w:t> — </w:t>
      </w:r>
      <w:r>
        <w:rPr>
          <w:rStyle w:val="CharPartText"/>
        </w:rPr>
        <w:t>The Racing Penalties Appeal Tribunal of Western Australia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89505463"/>
      <w:bookmarkStart w:id="60" w:name="_Toc89505505"/>
      <w:bookmarkStart w:id="61" w:name="_Toc89585118"/>
      <w:bookmarkStart w:id="62" w:name="_Toc102465870"/>
      <w:bookmarkStart w:id="63" w:name="_Toc102538130"/>
      <w:bookmarkStart w:id="64" w:name="_Toc139346300"/>
      <w:bookmarkStart w:id="65" w:name="_Toc139700510"/>
      <w:bookmarkStart w:id="66" w:name="_Toc142276062"/>
      <w:bookmarkStart w:id="67" w:name="_Toc142276974"/>
      <w:bookmarkStart w:id="68" w:name="_Toc143058003"/>
      <w:bookmarkStart w:id="69" w:name="_Toc143058112"/>
      <w:bookmarkStart w:id="70" w:name="_Toc143398768"/>
      <w:bookmarkStart w:id="71" w:name="_Toc146533358"/>
      <w:bookmarkStart w:id="72" w:name="_Toc157328022"/>
      <w:bookmarkStart w:id="73" w:name="_Toc157328087"/>
      <w:bookmarkStart w:id="74" w:name="_Toc158003239"/>
      <w:bookmarkStart w:id="75" w:name="_Toc162949568"/>
      <w:bookmarkStart w:id="76" w:name="_Toc162949610"/>
      <w:bookmarkStart w:id="77" w:name="_Toc162949652"/>
      <w:bookmarkStart w:id="78" w:name="_Toc163010903"/>
      <w:r>
        <w:rPr>
          <w:rStyle w:val="CharDivNo"/>
        </w:rPr>
        <w:t>Division 1</w:t>
      </w:r>
      <w:r>
        <w:rPr>
          <w:snapToGrid w:val="0"/>
        </w:rPr>
        <w:t> — </w:t>
      </w:r>
      <w:r>
        <w:rPr>
          <w:rStyle w:val="CharDivText"/>
        </w:rPr>
        <w:t>Constitution and 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87527727"/>
      <w:bookmarkStart w:id="80" w:name="_Toc526931900"/>
      <w:bookmarkStart w:id="81" w:name="_Toc102538131"/>
      <w:bookmarkStart w:id="82" w:name="_Toc146533359"/>
      <w:bookmarkStart w:id="83" w:name="_Toc163010904"/>
      <w:bookmarkStart w:id="84" w:name="_Toc158003240"/>
      <w:r>
        <w:rPr>
          <w:rStyle w:val="CharSectno"/>
        </w:rPr>
        <w:t>4</w:t>
      </w:r>
      <w:r>
        <w:rPr>
          <w:snapToGrid w:val="0"/>
        </w:rPr>
        <w:t>.</w:t>
      </w:r>
      <w:r>
        <w:rPr>
          <w:snapToGrid w:val="0"/>
        </w:rPr>
        <w:tab/>
        <w:t>The Racing Penalties Appeal Tribunal of Western Australia</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85" w:name="_Toc487527728"/>
      <w:bookmarkStart w:id="86" w:name="_Toc526931901"/>
      <w:bookmarkStart w:id="87" w:name="_Toc102538132"/>
      <w:bookmarkStart w:id="88" w:name="_Toc146533360"/>
      <w:bookmarkStart w:id="89" w:name="_Toc163010905"/>
      <w:bookmarkStart w:id="90" w:name="_Toc158003241"/>
      <w:r>
        <w:rPr>
          <w:rStyle w:val="CharSectno"/>
        </w:rPr>
        <w:t>5</w:t>
      </w:r>
      <w:r>
        <w:rPr>
          <w:snapToGrid w:val="0"/>
        </w:rPr>
        <w:t>.</w:t>
      </w:r>
      <w:r>
        <w:rPr>
          <w:snapToGrid w:val="0"/>
        </w:rPr>
        <w:tab/>
        <w:t>Chairperson and acting Chairperson</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91" w:name="_Toc487527729"/>
      <w:bookmarkStart w:id="92" w:name="_Toc526931902"/>
      <w:bookmarkStart w:id="93" w:name="_Toc102538133"/>
      <w:bookmarkStart w:id="94" w:name="_Toc146533361"/>
      <w:bookmarkStart w:id="95" w:name="_Toc163010906"/>
      <w:bookmarkStart w:id="96" w:name="_Toc158003242"/>
      <w:r>
        <w:rPr>
          <w:rStyle w:val="CharSectno"/>
        </w:rPr>
        <w:t>6</w:t>
      </w:r>
      <w:r>
        <w:rPr>
          <w:snapToGrid w:val="0"/>
        </w:rPr>
        <w:t>.</w:t>
      </w:r>
      <w:r>
        <w:rPr>
          <w:snapToGrid w:val="0"/>
        </w:rPr>
        <w:tab/>
        <w:t>Panel of members</w:t>
      </w:r>
      <w:bookmarkEnd w:id="91"/>
      <w:bookmarkEnd w:id="92"/>
      <w:bookmarkEnd w:id="93"/>
      <w:bookmarkEnd w:id="94"/>
      <w:bookmarkEnd w:id="95"/>
      <w:bookmarkEnd w:id="96"/>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97" w:name="_Toc487527730"/>
      <w:bookmarkStart w:id="98" w:name="_Toc526931903"/>
      <w:bookmarkStart w:id="99" w:name="_Toc102538134"/>
      <w:bookmarkStart w:id="100" w:name="_Toc146533362"/>
      <w:bookmarkStart w:id="101" w:name="_Toc163010907"/>
      <w:bookmarkStart w:id="102" w:name="_Toc158003243"/>
      <w:r>
        <w:rPr>
          <w:rStyle w:val="CharSectno"/>
        </w:rPr>
        <w:t>7</w:t>
      </w:r>
      <w:r>
        <w:rPr>
          <w:snapToGrid w:val="0"/>
        </w:rPr>
        <w:t>.</w:t>
      </w:r>
      <w:r>
        <w:rPr>
          <w:snapToGrid w:val="0"/>
        </w:rPr>
        <w:tab/>
        <w:t>Eligibility to sit on a particular Tribunal</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03" w:name="_Toc487527731"/>
      <w:bookmarkStart w:id="104" w:name="_Toc526931904"/>
      <w:bookmarkStart w:id="105" w:name="_Toc102538135"/>
      <w:bookmarkStart w:id="106" w:name="_Toc146533363"/>
      <w:bookmarkStart w:id="107" w:name="_Toc163010908"/>
      <w:bookmarkStart w:id="108" w:name="_Toc158003244"/>
      <w:r>
        <w:rPr>
          <w:rStyle w:val="CharSectno"/>
        </w:rPr>
        <w:t>8</w:t>
      </w:r>
      <w:r>
        <w:rPr>
          <w:snapToGrid w:val="0"/>
        </w:rPr>
        <w:t>.</w:t>
      </w:r>
      <w:r>
        <w:rPr>
          <w:snapToGrid w:val="0"/>
        </w:rPr>
        <w:tab/>
        <w:t>The Registrar</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09" w:name="_Toc487527732"/>
      <w:bookmarkStart w:id="110" w:name="_Toc526931905"/>
      <w:bookmarkStart w:id="111" w:name="_Toc102538136"/>
      <w:bookmarkStart w:id="112" w:name="_Toc146533364"/>
      <w:bookmarkStart w:id="113" w:name="_Toc163010909"/>
      <w:bookmarkStart w:id="114" w:name="_Toc158003245"/>
      <w:r>
        <w:rPr>
          <w:rStyle w:val="CharSectno"/>
        </w:rPr>
        <w:t>9</w:t>
      </w:r>
      <w:r>
        <w:rPr>
          <w:snapToGrid w:val="0"/>
        </w:rPr>
        <w:t>.</w:t>
      </w:r>
      <w:r>
        <w:rPr>
          <w:snapToGrid w:val="0"/>
        </w:rPr>
        <w:tab/>
        <w:t>Relationship with Minister</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15" w:name="_Toc89505470"/>
      <w:bookmarkStart w:id="116" w:name="_Toc89505512"/>
      <w:bookmarkStart w:id="117" w:name="_Toc89585125"/>
      <w:bookmarkStart w:id="118" w:name="_Toc102465877"/>
      <w:bookmarkStart w:id="119" w:name="_Toc102538137"/>
      <w:bookmarkStart w:id="120" w:name="_Toc139346307"/>
      <w:bookmarkStart w:id="121" w:name="_Toc139700517"/>
      <w:bookmarkStart w:id="122" w:name="_Toc142276069"/>
      <w:bookmarkStart w:id="123" w:name="_Toc142276981"/>
      <w:bookmarkStart w:id="124" w:name="_Toc143058010"/>
      <w:bookmarkStart w:id="125" w:name="_Toc143058119"/>
      <w:bookmarkStart w:id="126" w:name="_Toc143398775"/>
      <w:bookmarkStart w:id="127" w:name="_Toc146533365"/>
      <w:bookmarkStart w:id="128" w:name="_Toc157328029"/>
      <w:bookmarkStart w:id="129" w:name="_Toc157328094"/>
      <w:bookmarkStart w:id="130" w:name="_Toc158003246"/>
      <w:bookmarkStart w:id="131" w:name="_Toc162949575"/>
      <w:bookmarkStart w:id="132" w:name="_Toc162949617"/>
      <w:bookmarkStart w:id="133" w:name="_Toc162949659"/>
      <w:bookmarkStart w:id="134" w:name="_Toc163010910"/>
      <w:r>
        <w:rPr>
          <w:rStyle w:val="CharDivNo"/>
        </w:rPr>
        <w:t>Division 2</w:t>
      </w:r>
      <w:r>
        <w:rPr>
          <w:snapToGrid w:val="0"/>
        </w:rPr>
        <w:t> — </w:t>
      </w:r>
      <w:r>
        <w:rPr>
          <w:rStyle w:val="CharDivText"/>
        </w:rPr>
        <w:t>Jurisdiction and functions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487527733"/>
      <w:bookmarkStart w:id="136" w:name="_Toc526931906"/>
      <w:bookmarkStart w:id="137" w:name="_Toc102538138"/>
      <w:bookmarkStart w:id="138" w:name="_Toc146533366"/>
      <w:bookmarkStart w:id="139" w:name="_Toc163010911"/>
      <w:bookmarkStart w:id="140" w:name="_Toc158003247"/>
      <w:r>
        <w:rPr>
          <w:rStyle w:val="CharSectno"/>
        </w:rPr>
        <w:t>10</w:t>
      </w:r>
      <w:r>
        <w:rPr>
          <w:snapToGrid w:val="0"/>
        </w:rPr>
        <w:t>.</w:t>
      </w:r>
      <w:r>
        <w:rPr>
          <w:snapToGrid w:val="0"/>
        </w:rPr>
        <w:tab/>
        <w:t>Jurisdiction, as variously constituted</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41" w:name="_Toc487527734"/>
      <w:bookmarkStart w:id="142" w:name="_Toc526931907"/>
      <w:bookmarkStart w:id="143" w:name="_Toc102538139"/>
      <w:bookmarkStart w:id="144" w:name="_Toc146533367"/>
      <w:bookmarkStart w:id="145" w:name="_Toc163010912"/>
      <w:bookmarkStart w:id="146" w:name="_Toc158003248"/>
      <w:r>
        <w:rPr>
          <w:rStyle w:val="CharSectno"/>
        </w:rPr>
        <w:t>11</w:t>
      </w:r>
      <w:r>
        <w:rPr>
          <w:snapToGrid w:val="0"/>
        </w:rPr>
        <w:t>.</w:t>
      </w:r>
      <w:r>
        <w:rPr>
          <w:snapToGrid w:val="0"/>
        </w:rPr>
        <w:tab/>
        <w:t>Proceedings before the Tribunal</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47" w:name="_Toc487527735"/>
      <w:bookmarkStart w:id="148" w:name="_Toc526931908"/>
      <w:bookmarkStart w:id="149" w:name="_Toc102538140"/>
      <w:bookmarkStart w:id="150" w:name="_Toc146533368"/>
      <w:bookmarkStart w:id="151" w:name="_Toc163010913"/>
      <w:bookmarkStart w:id="152" w:name="_Toc158003249"/>
      <w:r>
        <w:rPr>
          <w:rStyle w:val="CharSectno"/>
        </w:rPr>
        <w:t>12</w:t>
      </w:r>
      <w:r>
        <w:rPr>
          <w:snapToGrid w:val="0"/>
        </w:rPr>
        <w:t>.</w:t>
      </w:r>
      <w:r>
        <w:rPr>
          <w:snapToGrid w:val="0"/>
        </w:rPr>
        <w:tab/>
        <w:t>Appeals which are not to be heard by the Tribunal</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53" w:name="_Toc487527736"/>
      <w:bookmarkStart w:id="154" w:name="_Toc526931909"/>
      <w:r>
        <w:tab/>
        <w:t>[Section 12 amended by No. 35 of 2003 s. 182.]</w:t>
      </w:r>
    </w:p>
    <w:p>
      <w:pPr>
        <w:pStyle w:val="Heading5"/>
        <w:rPr>
          <w:snapToGrid w:val="0"/>
        </w:rPr>
      </w:pPr>
      <w:bookmarkStart w:id="155" w:name="_Toc102538141"/>
      <w:bookmarkStart w:id="156" w:name="_Toc146533369"/>
      <w:bookmarkStart w:id="157" w:name="_Toc163010914"/>
      <w:bookmarkStart w:id="158" w:name="_Toc158003250"/>
      <w:r>
        <w:rPr>
          <w:rStyle w:val="CharSectno"/>
        </w:rPr>
        <w:t>13</w:t>
      </w:r>
      <w:r>
        <w:rPr>
          <w:snapToGrid w:val="0"/>
        </w:rPr>
        <w:t>.</w:t>
      </w:r>
      <w:r>
        <w:rPr>
          <w:snapToGrid w:val="0"/>
        </w:rPr>
        <w:tab/>
        <w:t>Appeals which shall be heard by the Tribunal</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59" w:name="_Toc487527737"/>
      <w:bookmarkStart w:id="160" w:name="_Toc526931910"/>
      <w:r>
        <w:tab/>
        <w:t>[Section 13 amended by No. 35 of 2003 s. 183.]</w:t>
      </w:r>
    </w:p>
    <w:p>
      <w:pPr>
        <w:pStyle w:val="Heading5"/>
        <w:rPr>
          <w:snapToGrid w:val="0"/>
        </w:rPr>
      </w:pPr>
      <w:bookmarkStart w:id="161" w:name="_Toc102538142"/>
      <w:bookmarkStart w:id="162" w:name="_Toc146533370"/>
      <w:bookmarkStart w:id="163" w:name="_Toc163010915"/>
      <w:bookmarkStart w:id="164" w:name="_Toc158003251"/>
      <w:r>
        <w:rPr>
          <w:rStyle w:val="CharSectno"/>
        </w:rPr>
        <w:t>14</w:t>
      </w:r>
      <w:r>
        <w:rPr>
          <w:snapToGrid w:val="0"/>
        </w:rPr>
        <w:t>.</w:t>
      </w:r>
      <w:r>
        <w:rPr>
          <w:snapToGrid w:val="0"/>
        </w:rPr>
        <w:tab/>
        <w:t>The determination of an appeal</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65" w:name="_Toc487527738"/>
      <w:bookmarkStart w:id="166" w:name="_Toc526931911"/>
      <w:r>
        <w:tab/>
        <w:t>[Section 14 amended by No. 35 of 2003 s. 184.]</w:t>
      </w:r>
    </w:p>
    <w:p>
      <w:pPr>
        <w:pStyle w:val="Heading5"/>
        <w:rPr>
          <w:snapToGrid w:val="0"/>
        </w:rPr>
      </w:pPr>
      <w:bookmarkStart w:id="167" w:name="_Toc102538143"/>
      <w:bookmarkStart w:id="168" w:name="_Toc146533371"/>
      <w:bookmarkStart w:id="169" w:name="_Toc163010916"/>
      <w:bookmarkStart w:id="170" w:name="_Toc158003252"/>
      <w:r>
        <w:rPr>
          <w:rStyle w:val="CharSectno"/>
        </w:rPr>
        <w:t>15</w:t>
      </w:r>
      <w:r>
        <w:rPr>
          <w:snapToGrid w:val="0"/>
        </w:rPr>
        <w:t>.</w:t>
      </w:r>
      <w:r>
        <w:rPr>
          <w:snapToGrid w:val="0"/>
        </w:rPr>
        <w:tab/>
        <w:t>Other avenues of appeal may no longer be applicable</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71" w:name="_Toc89505477"/>
      <w:bookmarkStart w:id="172" w:name="_Toc89505519"/>
      <w:bookmarkStart w:id="173" w:name="_Toc89585132"/>
      <w:bookmarkStart w:id="174" w:name="_Toc102465884"/>
      <w:bookmarkStart w:id="175" w:name="_Toc102538144"/>
      <w:bookmarkStart w:id="176" w:name="_Toc139346314"/>
      <w:bookmarkStart w:id="177" w:name="_Toc139700524"/>
      <w:bookmarkStart w:id="178" w:name="_Toc142276076"/>
      <w:bookmarkStart w:id="179" w:name="_Toc142276988"/>
      <w:bookmarkStart w:id="180" w:name="_Toc143058017"/>
      <w:bookmarkStart w:id="181" w:name="_Toc143058126"/>
      <w:bookmarkStart w:id="182" w:name="_Toc143398782"/>
      <w:bookmarkStart w:id="183" w:name="_Toc146533372"/>
      <w:bookmarkStart w:id="184" w:name="_Toc157328036"/>
      <w:bookmarkStart w:id="185" w:name="_Toc157328101"/>
      <w:bookmarkStart w:id="186" w:name="_Toc158003253"/>
      <w:bookmarkStart w:id="187" w:name="_Toc162949582"/>
      <w:bookmarkStart w:id="188" w:name="_Toc162949624"/>
      <w:bookmarkStart w:id="189" w:name="_Toc162949666"/>
      <w:bookmarkStart w:id="190" w:name="_Toc163010917"/>
      <w:r>
        <w:rPr>
          <w:rStyle w:val="CharDivNo"/>
        </w:rPr>
        <w:t>Division 3</w:t>
      </w:r>
      <w:r>
        <w:rPr>
          <w:snapToGrid w:val="0"/>
        </w:rPr>
        <w:t> — </w:t>
      </w:r>
      <w:r>
        <w:rPr>
          <w:rStyle w:val="CharDivText"/>
        </w:rPr>
        <w:t>Procedures and powers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87527739"/>
      <w:bookmarkStart w:id="192" w:name="_Toc526931912"/>
      <w:bookmarkStart w:id="193" w:name="_Toc102538145"/>
      <w:bookmarkStart w:id="194" w:name="_Toc146533373"/>
      <w:bookmarkStart w:id="195" w:name="_Toc163010918"/>
      <w:bookmarkStart w:id="196" w:name="_Toc158003254"/>
      <w:r>
        <w:rPr>
          <w:rStyle w:val="CharSectno"/>
        </w:rPr>
        <w:t>16</w:t>
      </w:r>
      <w:r>
        <w:rPr>
          <w:snapToGrid w:val="0"/>
        </w:rPr>
        <w:t>.</w:t>
      </w:r>
      <w:r>
        <w:rPr>
          <w:snapToGrid w:val="0"/>
        </w:rPr>
        <w:tab/>
        <w:t>Procedure on making an appeal</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97" w:name="_Toc487527740"/>
      <w:bookmarkStart w:id="198" w:name="_Toc526931913"/>
      <w:r>
        <w:tab/>
        <w:t>[Section 16 amended by No. 35 of 2003 s. 186; No. 65 of 2003 s. 58(2).]</w:t>
      </w:r>
    </w:p>
    <w:p>
      <w:pPr>
        <w:pStyle w:val="Heading5"/>
        <w:rPr>
          <w:snapToGrid w:val="0"/>
        </w:rPr>
      </w:pPr>
      <w:bookmarkStart w:id="199" w:name="_Toc102538146"/>
      <w:bookmarkStart w:id="200" w:name="_Toc146533374"/>
      <w:bookmarkStart w:id="201" w:name="_Toc163010919"/>
      <w:bookmarkStart w:id="202" w:name="_Toc158003255"/>
      <w:r>
        <w:rPr>
          <w:rStyle w:val="CharSectno"/>
        </w:rPr>
        <w:t>17</w:t>
      </w:r>
      <w:r>
        <w:rPr>
          <w:snapToGrid w:val="0"/>
        </w:rPr>
        <w:t>.</w:t>
      </w:r>
      <w:r>
        <w:rPr>
          <w:snapToGrid w:val="0"/>
        </w:rPr>
        <w:tab/>
        <w:t>Hearing powers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03" w:name="_Toc487527741"/>
      <w:bookmarkStart w:id="204" w:name="_Toc526931914"/>
      <w:r>
        <w:tab/>
        <w:t>[Section 17 amended by No. 35 of 2003 s. 187.]</w:t>
      </w:r>
    </w:p>
    <w:p>
      <w:pPr>
        <w:pStyle w:val="Heading5"/>
        <w:rPr>
          <w:snapToGrid w:val="0"/>
        </w:rPr>
      </w:pPr>
      <w:bookmarkStart w:id="205" w:name="_Toc102538147"/>
      <w:bookmarkStart w:id="206" w:name="_Toc146533375"/>
      <w:bookmarkStart w:id="207" w:name="_Toc163010920"/>
      <w:bookmarkStart w:id="208" w:name="_Toc158003256"/>
      <w:r>
        <w:rPr>
          <w:rStyle w:val="CharSectno"/>
        </w:rPr>
        <w:t>18</w:t>
      </w:r>
      <w:r>
        <w:rPr>
          <w:snapToGrid w:val="0"/>
        </w:rPr>
        <w:t>.</w:t>
      </w:r>
      <w:r>
        <w:rPr>
          <w:snapToGrid w:val="0"/>
        </w:rPr>
        <w:tab/>
        <w:t>Withdrawal of appeals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09" w:name="_Toc487527742"/>
      <w:bookmarkStart w:id="210" w:name="_Toc526931915"/>
      <w:bookmarkStart w:id="211" w:name="_Toc102538148"/>
      <w:bookmarkStart w:id="212" w:name="_Toc146533376"/>
      <w:bookmarkStart w:id="213" w:name="_Toc163010921"/>
      <w:bookmarkStart w:id="214" w:name="_Toc158003257"/>
      <w:r>
        <w:rPr>
          <w:rStyle w:val="CharSectno"/>
        </w:rPr>
        <w:t>19</w:t>
      </w:r>
      <w:r>
        <w:rPr>
          <w:snapToGrid w:val="0"/>
        </w:rPr>
        <w:t>.</w:t>
      </w:r>
      <w:r>
        <w:rPr>
          <w:snapToGrid w:val="0"/>
        </w:rPr>
        <w:tab/>
        <w:t>Disobedience to determinations of the Tribunal</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15" w:name="_Toc89505482"/>
      <w:bookmarkStart w:id="216" w:name="_Toc89505524"/>
      <w:bookmarkStart w:id="217" w:name="_Toc89585137"/>
      <w:bookmarkStart w:id="218" w:name="_Toc102465889"/>
      <w:bookmarkStart w:id="219" w:name="_Toc102538149"/>
      <w:bookmarkStart w:id="220" w:name="_Toc139346319"/>
      <w:bookmarkStart w:id="221" w:name="_Toc139700529"/>
      <w:bookmarkStart w:id="222" w:name="_Toc142276081"/>
      <w:bookmarkStart w:id="223" w:name="_Toc142276993"/>
      <w:bookmarkStart w:id="224" w:name="_Toc143058022"/>
      <w:bookmarkStart w:id="225" w:name="_Toc143058131"/>
      <w:bookmarkStart w:id="226" w:name="_Toc143398787"/>
      <w:bookmarkStart w:id="227" w:name="_Toc146533377"/>
      <w:bookmarkStart w:id="228" w:name="_Toc157328041"/>
      <w:bookmarkStart w:id="229" w:name="_Toc157328106"/>
      <w:bookmarkStart w:id="230" w:name="_Toc158003258"/>
      <w:bookmarkStart w:id="231" w:name="_Toc162949587"/>
      <w:bookmarkStart w:id="232" w:name="_Toc162949629"/>
      <w:bookmarkStart w:id="233" w:name="_Toc162949671"/>
      <w:bookmarkStart w:id="234" w:name="_Toc163010922"/>
      <w:r>
        <w:rPr>
          <w:rStyle w:val="CharPartNo"/>
        </w:rPr>
        <w:t>Part 3</w:t>
      </w:r>
      <w:r>
        <w:rPr>
          <w:rStyle w:val="CharDivNo"/>
        </w:rPr>
        <w:t> </w:t>
      </w:r>
      <w:r>
        <w:t>—</w:t>
      </w:r>
      <w:r>
        <w:rPr>
          <w:rStyle w:val="CharDivText"/>
        </w:rPr>
        <w:t> </w:t>
      </w:r>
      <w:r>
        <w:rPr>
          <w:rStyle w:val="CharPartText"/>
        </w:rPr>
        <w:t>Miscellaneous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487527743"/>
      <w:bookmarkStart w:id="236" w:name="_Toc526931916"/>
      <w:bookmarkStart w:id="237" w:name="_Toc102538150"/>
      <w:bookmarkStart w:id="238" w:name="_Toc146533378"/>
      <w:bookmarkStart w:id="239" w:name="_Toc163010923"/>
      <w:bookmarkStart w:id="240" w:name="_Toc158003259"/>
      <w:r>
        <w:rPr>
          <w:rStyle w:val="CharSectno"/>
        </w:rPr>
        <w:t>20</w:t>
      </w:r>
      <w:r>
        <w:rPr>
          <w:snapToGrid w:val="0"/>
        </w:rPr>
        <w:t>.</w:t>
      </w:r>
      <w:r>
        <w:rPr>
          <w:snapToGrid w:val="0"/>
        </w:rPr>
        <w:tab/>
        <w:t>Offences</w:t>
      </w:r>
      <w:bookmarkEnd w:id="235"/>
      <w:bookmarkEnd w:id="236"/>
      <w:bookmarkEnd w:id="237"/>
      <w:bookmarkEnd w:id="238"/>
      <w:bookmarkEnd w:id="239"/>
      <w:bookmarkEnd w:id="240"/>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41" w:name="_Toc487527744"/>
      <w:bookmarkStart w:id="242" w:name="_Toc526931917"/>
      <w:bookmarkStart w:id="243" w:name="_Toc102538151"/>
      <w:bookmarkStart w:id="244" w:name="_Toc146533379"/>
      <w:bookmarkStart w:id="245" w:name="_Toc163010924"/>
      <w:bookmarkStart w:id="246" w:name="_Toc158003260"/>
      <w:r>
        <w:rPr>
          <w:rStyle w:val="CharSectno"/>
        </w:rPr>
        <w:t>21</w:t>
      </w:r>
      <w:r>
        <w:rPr>
          <w:snapToGrid w:val="0"/>
        </w:rPr>
        <w:t>.</w:t>
      </w:r>
      <w:r>
        <w:rPr>
          <w:snapToGrid w:val="0"/>
        </w:rPr>
        <w:tab/>
        <w:t>Reasons for determinations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47" w:name="_Toc487527745"/>
      <w:bookmarkStart w:id="248" w:name="_Toc526931918"/>
      <w:bookmarkStart w:id="249" w:name="_Toc102538152"/>
      <w:bookmarkStart w:id="250" w:name="_Toc146533380"/>
      <w:bookmarkStart w:id="251" w:name="_Toc163010925"/>
      <w:bookmarkStart w:id="252" w:name="_Toc158003261"/>
      <w:r>
        <w:rPr>
          <w:rStyle w:val="CharSectno"/>
        </w:rPr>
        <w:t>22</w:t>
      </w:r>
      <w:r>
        <w:rPr>
          <w:snapToGrid w:val="0"/>
        </w:rPr>
        <w:t>.</w:t>
      </w:r>
      <w:r>
        <w:rPr>
          <w:snapToGrid w:val="0"/>
        </w:rPr>
        <w:tab/>
        <w:t>Protection</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53" w:name="_Toc487527746"/>
      <w:bookmarkStart w:id="254" w:name="_Toc526931919"/>
      <w:bookmarkStart w:id="255" w:name="_Toc102538153"/>
      <w:bookmarkStart w:id="256" w:name="_Toc146533381"/>
      <w:bookmarkStart w:id="257" w:name="_Toc163010926"/>
      <w:bookmarkStart w:id="258" w:name="_Toc158003262"/>
      <w:r>
        <w:rPr>
          <w:rStyle w:val="CharSectno"/>
        </w:rPr>
        <w:t>23</w:t>
      </w:r>
      <w:r>
        <w:rPr>
          <w:snapToGrid w:val="0"/>
        </w:rPr>
        <w:t>.</w:t>
      </w:r>
      <w:r>
        <w:rPr>
          <w:snapToGrid w:val="0"/>
        </w:rPr>
        <w:tab/>
        <w:t>Evidentiary provisions, and recovery of moneys ordered to be paid</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59" w:name="_Toc487527747"/>
      <w:bookmarkStart w:id="260" w:name="_Toc526931920"/>
      <w:bookmarkStart w:id="261" w:name="_Toc102538154"/>
      <w:bookmarkStart w:id="262" w:name="_Toc146533382"/>
      <w:bookmarkStart w:id="263" w:name="_Toc163010927"/>
      <w:bookmarkStart w:id="264" w:name="_Toc158003263"/>
      <w:r>
        <w:rPr>
          <w:rStyle w:val="CharSectno"/>
        </w:rPr>
        <w:t>24</w:t>
      </w:r>
      <w:r>
        <w:rPr>
          <w:snapToGrid w:val="0"/>
        </w:rPr>
        <w:t>.</w:t>
      </w:r>
      <w:r>
        <w:rPr>
          <w:snapToGrid w:val="0"/>
        </w:rPr>
        <w:tab/>
        <w:t>Finance and audit</w:t>
      </w:r>
      <w:bookmarkEnd w:id="259"/>
      <w:bookmarkEnd w:id="260"/>
      <w:bookmarkEnd w:id="261"/>
      <w:bookmarkEnd w:id="262"/>
      <w:bookmarkEnd w:id="263"/>
      <w:bookmarkEnd w:id="264"/>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Subject to subsection (10),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Notwithstanding the provisions of the</w:t>
      </w:r>
      <w:r>
        <w:rPr>
          <w:i/>
        </w:rPr>
        <w:t xml:space="preserve"> Financial Management Act 2006</w:t>
      </w:r>
      <w:r>
        <w:rPr>
          <w:snapToGrid w:val="0"/>
        </w:rPr>
        <w:t>, the financial year of the Tribunal shall end on 31 July in each year.</w:t>
      </w:r>
    </w:p>
    <w:p>
      <w:pPr>
        <w:pStyle w:val="Footnotesection"/>
      </w:pPr>
      <w:r>
        <w:tab/>
        <w:t xml:space="preserve">[Section 24 amended by No. 11 of 1992 s. 71; No. 49 of 1996 s. 59; No. 35 of 2003 s. 189; No. 28 of 2006 s. 407; No. 77 of 2006 s. 17.] </w:t>
      </w:r>
    </w:p>
    <w:p>
      <w:pPr>
        <w:pStyle w:val="Heading5"/>
        <w:rPr>
          <w:snapToGrid w:val="0"/>
        </w:rPr>
      </w:pPr>
      <w:bookmarkStart w:id="265" w:name="_Toc487527748"/>
      <w:bookmarkStart w:id="266" w:name="_Toc526931921"/>
      <w:bookmarkStart w:id="267" w:name="_Toc102538155"/>
      <w:bookmarkStart w:id="268" w:name="_Toc146533383"/>
      <w:bookmarkStart w:id="269" w:name="_Toc163010928"/>
      <w:bookmarkStart w:id="270" w:name="_Toc158003264"/>
      <w:r>
        <w:rPr>
          <w:rStyle w:val="CharSectno"/>
        </w:rPr>
        <w:t>25</w:t>
      </w:r>
      <w:r>
        <w:rPr>
          <w:snapToGrid w:val="0"/>
        </w:rPr>
        <w:t>.</w:t>
      </w:r>
      <w:r>
        <w:rPr>
          <w:snapToGrid w:val="0"/>
        </w:rPr>
        <w:tab/>
        <w:t>Regulations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71" w:name="_Toc487527749"/>
      <w:bookmarkStart w:id="272" w:name="_Toc526931922"/>
      <w:r>
        <w:tab/>
        <w:t>[Section 25 amended by No. 35 of 2003 s. 190; No. 65 of 2003 s. 58(3).]</w:t>
      </w:r>
    </w:p>
    <w:p>
      <w:pPr>
        <w:pStyle w:val="Heading5"/>
        <w:rPr>
          <w:snapToGrid w:val="0"/>
        </w:rPr>
      </w:pPr>
      <w:bookmarkStart w:id="273" w:name="_Toc102538156"/>
      <w:bookmarkStart w:id="274" w:name="_Toc146533384"/>
      <w:bookmarkStart w:id="275" w:name="_Toc163010929"/>
      <w:bookmarkStart w:id="276" w:name="_Toc158003265"/>
      <w:r>
        <w:rPr>
          <w:rStyle w:val="CharSectno"/>
        </w:rPr>
        <w:t>26</w:t>
      </w:r>
      <w:r>
        <w:rPr>
          <w:snapToGrid w:val="0"/>
        </w:rPr>
        <w:t>.</w:t>
      </w:r>
      <w:r>
        <w:rPr>
          <w:snapToGrid w:val="0"/>
        </w:rPr>
        <w:tab/>
        <w:t>Transitional</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77" w:name="_Toc102538157"/>
      <w:bookmarkStart w:id="278" w:name="_Toc139346327"/>
      <w:bookmarkStart w:id="279" w:name="_Toc139700537"/>
      <w:bookmarkStart w:id="280" w:name="_Toc142276089"/>
      <w:bookmarkStart w:id="281" w:name="_Toc142277001"/>
      <w:bookmarkStart w:id="282" w:name="_Toc143058030"/>
      <w:bookmarkStart w:id="283" w:name="_Toc143058139"/>
      <w:bookmarkStart w:id="284" w:name="_Toc143398795"/>
      <w:bookmarkStart w:id="285" w:name="_Toc146533385"/>
      <w:bookmarkStart w:id="286" w:name="_Toc157328049"/>
      <w:bookmarkStart w:id="287" w:name="_Toc157328114"/>
      <w:bookmarkStart w:id="288" w:name="_Toc158003266"/>
      <w:bookmarkStart w:id="289" w:name="_Toc162949595"/>
      <w:bookmarkStart w:id="290" w:name="_Toc162949637"/>
      <w:bookmarkStart w:id="291" w:name="_Toc162949679"/>
      <w:bookmarkStart w:id="292" w:name="_Toc163010930"/>
      <w:r>
        <w:rPr>
          <w:rStyle w:val="CharSchNo"/>
        </w:rPr>
        <w:t>Schedule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293" w:name="_Toc526931926"/>
      <w:bookmarkStart w:id="294" w:name="_Toc102538158"/>
      <w:bookmarkStart w:id="295" w:name="_Toc146533386"/>
      <w:bookmarkStart w:id="296" w:name="_Toc163010931"/>
      <w:bookmarkStart w:id="297" w:name="_Toc158003267"/>
      <w:r>
        <w:rPr>
          <w:rStyle w:val="CharSClsNo"/>
        </w:rPr>
        <w:t>1</w:t>
      </w:r>
      <w:r>
        <w:rPr>
          <w:snapToGrid w:val="0"/>
        </w:rPr>
        <w:t>.</w:t>
      </w:r>
      <w:r>
        <w:rPr>
          <w:snapToGrid w:val="0"/>
        </w:rPr>
        <w:tab/>
        <w:t>Public service officer may be member of a Tribunal</w:t>
      </w:r>
      <w:bookmarkEnd w:id="293"/>
      <w:bookmarkEnd w:id="294"/>
      <w:bookmarkEnd w:id="295"/>
      <w:bookmarkEnd w:id="296"/>
      <w:bookmarkEnd w:id="297"/>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298" w:name="_Toc526931927"/>
      <w:bookmarkStart w:id="299" w:name="_Toc102538159"/>
      <w:r>
        <w:tab/>
        <w:t xml:space="preserve">[Clause 1 amended by No. 32 of 1994 s. 19.] </w:t>
      </w:r>
    </w:p>
    <w:p>
      <w:pPr>
        <w:pStyle w:val="yHeading5"/>
        <w:spacing w:before="240"/>
        <w:outlineLvl w:val="9"/>
        <w:rPr>
          <w:snapToGrid w:val="0"/>
        </w:rPr>
      </w:pPr>
      <w:bookmarkStart w:id="300" w:name="_Toc146533387"/>
      <w:bookmarkStart w:id="301" w:name="_Toc163010932"/>
      <w:bookmarkStart w:id="302" w:name="_Toc158003268"/>
      <w:r>
        <w:rPr>
          <w:snapToGrid w:val="0"/>
        </w:rPr>
        <w:t>2.</w:t>
      </w:r>
      <w:r>
        <w:rPr>
          <w:snapToGrid w:val="0"/>
        </w:rPr>
        <w:tab/>
        <w:t>Remuneration</w:t>
      </w:r>
      <w:bookmarkEnd w:id="298"/>
      <w:bookmarkEnd w:id="299"/>
      <w:bookmarkEnd w:id="300"/>
      <w:bookmarkEnd w:id="301"/>
      <w:bookmarkEnd w:id="302"/>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03" w:name="_Toc526931928"/>
      <w:bookmarkStart w:id="304" w:name="_Toc102538160"/>
      <w:bookmarkStart w:id="305" w:name="_Toc146533388"/>
      <w:bookmarkStart w:id="306" w:name="_Toc163010933"/>
      <w:bookmarkStart w:id="307" w:name="_Toc158003269"/>
      <w:r>
        <w:rPr>
          <w:rStyle w:val="CharSClsNo"/>
        </w:rPr>
        <w:t>3</w:t>
      </w:r>
      <w:r>
        <w:rPr>
          <w:snapToGrid w:val="0"/>
        </w:rPr>
        <w:t>.</w:t>
      </w:r>
      <w:r>
        <w:rPr>
          <w:snapToGrid w:val="0"/>
        </w:rPr>
        <w:tab/>
        <w:t>Eligibility for, and vacation of, office and conditions of appointment</w:t>
      </w:r>
      <w:bookmarkEnd w:id="303"/>
      <w:bookmarkEnd w:id="304"/>
      <w:bookmarkEnd w:id="305"/>
      <w:bookmarkEnd w:id="306"/>
      <w:bookmarkEnd w:id="307"/>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08" w:name="_Toc526931929"/>
      <w:bookmarkStart w:id="309" w:name="_Toc102538161"/>
      <w:bookmarkStart w:id="310" w:name="_Toc146533389"/>
      <w:bookmarkStart w:id="311" w:name="_Toc163010934"/>
      <w:bookmarkStart w:id="312" w:name="_Toc158003270"/>
      <w:r>
        <w:rPr>
          <w:rStyle w:val="CharSClsNo"/>
        </w:rPr>
        <w:t>4</w:t>
      </w:r>
      <w:r>
        <w:rPr>
          <w:snapToGrid w:val="0"/>
        </w:rPr>
        <w:t>.</w:t>
      </w:r>
      <w:r>
        <w:rPr>
          <w:snapToGrid w:val="0"/>
        </w:rPr>
        <w:tab/>
        <w:t>Removal from office</w:t>
      </w:r>
      <w:bookmarkEnd w:id="308"/>
      <w:bookmarkEnd w:id="309"/>
      <w:bookmarkEnd w:id="310"/>
      <w:bookmarkEnd w:id="311"/>
      <w:bookmarkEnd w:id="312"/>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313" w:name="_Toc526931930"/>
      <w:bookmarkStart w:id="314" w:name="_Toc102538162"/>
      <w:bookmarkStart w:id="315" w:name="_Toc146533390"/>
      <w:bookmarkStart w:id="316" w:name="_Toc163010935"/>
      <w:bookmarkStart w:id="317" w:name="_Toc158003271"/>
      <w:r>
        <w:rPr>
          <w:rStyle w:val="CharSClsNo"/>
        </w:rPr>
        <w:t>5</w:t>
      </w:r>
      <w:r>
        <w:rPr>
          <w:snapToGrid w:val="0"/>
        </w:rPr>
        <w:t>.</w:t>
      </w:r>
      <w:r>
        <w:rPr>
          <w:snapToGrid w:val="0"/>
        </w:rPr>
        <w:tab/>
        <w:t>Validity of proceedings, etc.</w:t>
      </w:r>
      <w:bookmarkEnd w:id="313"/>
      <w:bookmarkEnd w:id="314"/>
      <w:bookmarkEnd w:id="315"/>
      <w:bookmarkEnd w:id="316"/>
      <w:bookmarkEnd w:id="31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18" w:name="_Toc526931931"/>
      <w:bookmarkStart w:id="319" w:name="_Toc102538163"/>
      <w:bookmarkStart w:id="320" w:name="_Toc146533391"/>
      <w:bookmarkStart w:id="321" w:name="_Toc163010936"/>
      <w:bookmarkStart w:id="322" w:name="_Toc158003272"/>
      <w:r>
        <w:rPr>
          <w:rStyle w:val="CharSClsNo"/>
        </w:rPr>
        <w:t>6</w:t>
      </w:r>
      <w:r>
        <w:rPr>
          <w:snapToGrid w:val="0"/>
        </w:rPr>
        <w:t>.</w:t>
      </w:r>
      <w:r>
        <w:rPr>
          <w:snapToGrid w:val="0"/>
        </w:rPr>
        <w:tab/>
        <w:t>Presumptions</w:t>
      </w:r>
      <w:bookmarkEnd w:id="318"/>
      <w:bookmarkEnd w:id="319"/>
      <w:bookmarkEnd w:id="320"/>
      <w:bookmarkEnd w:id="321"/>
      <w:bookmarkEnd w:id="322"/>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23" w:name="_Toc89505497"/>
      <w:bookmarkStart w:id="324" w:name="_Toc89505539"/>
      <w:bookmarkStart w:id="325" w:name="_Toc89585152"/>
      <w:bookmarkStart w:id="326" w:name="_Toc102465904"/>
      <w:bookmarkStart w:id="327" w:name="_Toc102538164"/>
      <w:bookmarkStart w:id="328" w:name="_Toc139346334"/>
      <w:bookmarkStart w:id="329" w:name="_Toc139700544"/>
      <w:bookmarkStart w:id="330" w:name="_Toc142276096"/>
      <w:bookmarkStart w:id="331" w:name="_Toc142277008"/>
      <w:bookmarkStart w:id="332" w:name="_Toc143058037"/>
      <w:bookmarkStart w:id="333" w:name="_Toc143058146"/>
      <w:bookmarkStart w:id="334" w:name="_Toc143398802"/>
      <w:bookmarkStart w:id="335" w:name="_Toc146533392"/>
      <w:bookmarkStart w:id="336" w:name="_Toc157328056"/>
      <w:bookmarkStart w:id="337" w:name="_Toc157328121"/>
      <w:bookmarkStart w:id="338" w:name="_Toc158003273"/>
      <w:bookmarkStart w:id="339" w:name="_Toc162949602"/>
      <w:bookmarkStart w:id="340" w:name="_Toc162949644"/>
      <w:bookmarkStart w:id="341" w:name="_Toc162949686"/>
      <w:bookmarkStart w:id="342" w:name="_Toc163010937"/>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ins w:id="343" w:author="svcMRProcess" w:date="2018-09-08T02:09: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44" w:name="_Toc146533393"/>
      <w:bookmarkStart w:id="345" w:name="_Toc163010938"/>
      <w:bookmarkStart w:id="346" w:name="_Toc158003274"/>
      <w:r>
        <w:rPr>
          <w:snapToGrid w:val="0"/>
        </w:rPr>
        <w:t>Compilation table</w:t>
      </w:r>
      <w:bookmarkEnd w:id="344"/>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bl>
    <w:p>
      <w:pPr>
        <w:pStyle w:val="nSubsection"/>
        <w:keepNext/>
        <w:spacing w:before="200"/>
        <w:rPr>
          <w:ins w:id="347" w:author="svcMRProcess" w:date="2018-09-08T02:09:00Z"/>
          <w:snapToGrid w:val="0"/>
        </w:rPr>
      </w:pPr>
      <w:ins w:id="348" w:author="svcMRProcess" w:date="2018-09-08T02:09:00Z">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ins>
    </w:p>
    <w:p>
      <w:pPr>
        <w:pStyle w:val="nHeading3"/>
        <w:rPr>
          <w:ins w:id="349" w:author="svcMRProcess" w:date="2018-09-08T02:09:00Z"/>
        </w:rPr>
      </w:pPr>
      <w:bookmarkStart w:id="350" w:name="_Toc511102521"/>
      <w:bookmarkStart w:id="351" w:name="_Toc102796713"/>
      <w:bookmarkStart w:id="352" w:name="_Toc153879397"/>
      <w:bookmarkStart w:id="353" w:name="_Toc162949126"/>
      <w:bookmarkStart w:id="354" w:name="_Toc163010939"/>
      <w:ins w:id="355" w:author="svcMRProcess" w:date="2018-09-08T02:09:00Z">
        <w:r>
          <w:t>Provisions that have not come into operation</w:t>
        </w:r>
        <w:bookmarkEnd w:id="350"/>
        <w:bookmarkEnd w:id="351"/>
        <w:bookmarkEnd w:id="352"/>
        <w:bookmarkEnd w:id="353"/>
        <w:bookmarkEnd w:id="354"/>
      </w:ins>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ins w:id="356" w:author="svcMRProcess" w:date="2018-09-08T02:09:00Z"/>
        </w:trPr>
        <w:tc>
          <w:tcPr>
            <w:tcW w:w="2268" w:type="dxa"/>
            <w:tcBorders>
              <w:top w:val="single" w:sz="8" w:space="0" w:color="auto"/>
              <w:bottom w:val="single" w:sz="8" w:space="0" w:color="auto"/>
            </w:tcBorders>
          </w:tcPr>
          <w:p>
            <w:pPr>
              <w:pStyle w:val="nTable"/>
              <w:keepNext/>
              <w:spacing w:before="60" w:after="60"/>
              <w:ind w:right="113"/>
              <w:rPr>
                <w:ins w:id="357" w:author="svcMRProcess" w:date="2018-09-08T02:09:00Z"/>
                <w:b/>
              </w:rPr>
            </w:pPr>
            <w:ins w:id="358" w:author="svcMRProcess" w:date="2018-09-08T02:09:00Z">
              <w:r>
                <w:rPr>
                  <w:b/>
                </w:rPr>
                <w:t>Short title</w:t>
              </w:r>
            </w:ins>
          </w:p>
        </w:tc>
        <w:tc>
          <w:tcPr>
            <w:tcW w:w="1134" w:type="dxa"/>
            <w:tcBorders>
              <w:top w:val="single" w:sz="8" w:space="0" w:color="auto"/>
              <w:bottom w:val="single" w:sz="8" w:space="0" w:color="auto"/>
            </w:tcBorders>
          </w:tcPr>
          <w:p>
            <w:pPr>
              <w:pStyle w:val="nTable"/>
              <w:keepNext/>
              <w:spacing w:before="60" w:after="60"/>
              <w:rPr>
                <w:ins w:id="359" w:author="svcMRProcess" w:date="2018-09-08T02:09:00Z"/>
                <w:b/>
              </w:rPr>
            </w:pPr>
            <w:ins w:id="360" w:author="svcMRProcess" w:date="2018-09-08T02:09:00Z">
              <w:r>
                <w:rPr>
                  <w:b/>
                </w:rPr>
                <w:t>Number and year</w:t>
              </w:r>
            </w:ins>
          </w:p>
        </w:tc>
        <w:tc>
          <w:tcPr>
            <w:tcW w:w="1134" w:type="dxa"/>
            <w:tcBorders>
              <w:top w:val="single" w:sz="8" w:space="0" w:color="auto"/>
              <w:bottom w:val="single" w:sz="8" w:space="0" w:color="auto"/>
            </w:tcBorders>
          </w:tcPr>
          <w:p>
            <w:pPr>
              <w:pStyle w:val="nTable"/>
              <w:keepNext/>
              <w:spacing w:before="60" w:after="60"/>
              <w:rPr>
                <w:ins w:id="361" w:author="svcMRProcess" w:date="2018-09-08T02:09:00Z"/>
                <w:b/>
              </w:rPr>
            </w:pPr>
            <w:ins w:id="362" w:author="svcMRProcess" w:date="2018-09-08T02:09:00Z">
              <w:r>
                <w:rPr>
                  <w:b/>
                </w:rPr>
                <w:t>Assent</w:t>
              </w:r>
            </w:ins>
          </w:p>
        </w:tc>
        <w:tc>
          <w:tcPr>
            <w:tcW w:w="2580" w:type="dxa"/>
            <w:tcBorders>
              <w:top w:val="single" w:sz="8" w:space="0" w:color="auto"/>
              <w:bottom w:val="single" w:sz="8" w:space="0" w:color="auto"/>
            </w:tcBorders>
          </w:tcPr>
          <w:p>
            <w:pPr>
              <w:pStyle w:val="nTable"/>
              <w:keepNext/>
              <w:spacing w:before="60" w:after="60"/>
              <w:rPr>
                <w:ins w:id="363" w:author="svcMRProcess" w:date="2018-09-08T02:09:00Z"/>
                <w:b/>
              </w:rPr>
            </w:pPr>
            <w:ins w:id="364" w:author="svcMRProcess" w:date="2018-09-08T02:09:00Z">
              <w:r>
                <w:rPr>
                  <w:b/>
                </w:rPr>
                <w:t>Commencement</w:t>
              </w:r>
            </w:ins>
          </w:p>
        </w:tc>
      </w:tr>
      <w:tr>
        <w:trPr>
          <w:cantSplit/>
          <w:ins w:id="365" w:author="svcMRProcess" w:date="2018-09-08T02:09:00Z"/>
        </w:trPr>
        <w:tc>
          <w:tcPr>
            <w:tcW w:w="2268" w:type="dxa"/>
            <w:tcBorders>
              <w:bottom w:val="single" w:sz="8" w:space="0" w:color="auto"/>
            </w:tcBorders>
          </w:tcPr>
          <w:p>
            <w:pPr>
              <w:pStyle w:val="nTable"/>
              <w:spacing w:before="120"/>
              <w:ind w:right="113"/>
              <w:rPr>
                <w:ins w:id="366" w:author="svcMRProcess" w:date="2018-09-08T02:09:00Z"/>
                <w:iCs/>
                <w:snapToGrid w:val="0"/>
                <w:sz w:val="19"/>
              </w:rPr>
            </w:pPr>
            <w:ins w:id="367" w:author="svcMRProcess" w:date="2018-09-08T02:09:00Z">
              <w:r>
                <w:rPr>
                  <w:i/>
                  <w:snapToGrid w:val="0"/>
                  <w:sz w:val="19"/>
                </w:rPr>
                <w:t>Racing and Wagering Legislation Amendment Act 2007</w:t>
              </w:r>
              <w:r>
                <w:rPr>
                  <w:iCs/>
                  <w:snapToGrid w:val="0"/>
                  <w:sz w:val="19"/>
                </w:rPr>
                <w:t xml:space="preserve"> Pt. 3 </w:t>
              </w:r>
              <w:r>
                <w:rPr>
                  <w:iCs/>
                  <w:snapToGrid w:val="0"/>
                  <w:sz w:val="19"/>
                  <w:vertAlign w:val="superscript"/>
                </w:rPr>
                <w:t>4</w:t>
              </w:r>
            </w:ins>
          </w:p>
        </w:tc>
        <w:tc>
          <w:tcPr>
            <w:tcW w:w="1134" w:type="dxa"/>
            <w:tcBorders>
              <w:bottom w:val="single" w:sz="8" w:space="0" w:color="auto"/>
            </w:tcBorders>
          </w:tcPr>
          <w:p>
            <w:pPr>
              <w:pStyle w:val="nTable"/>
              <w:keepNext/>
              <w:spacing w:before="120"/>
              <w:rPr>
                <w:ins w:id="368" w:author="svcMRProcess" w:date="2018-09-08T02:09:00Z"/>
                <w:sz w:val="19"/>
              </w:rPr>
            </w:pPr>
            <w:ins w:id="369" w:author="svcMRProcess" w:date="2018-09-08T02:09:00Z">
              <w:r>
                <w:rPr>
                  <w:sz w:val="19"/>
                </w:rPr>
                <w:t>2 of 2007</w:t>
              </w:r>
            </w:ins>
          </w:p>
        </w:tc>
        <w:tc>
          <w:tcPr>
            <w:tcW w:w="1134" w:type="dxa"/>
            <w:tcBorders>
              <w:bottom w:val="single" w:sz="8" w:space="0" w:color="auto"/>
            </w:tcBorders>
          </w:tcPr>
          <w:p>
            <w:pPr>
              <w:pStyle w:val="nTable"/>
              <w:keepNext/>
              <w:spacing w:before="120"/>
              <w:rPr>
                <w:ins w:id="370" w:author="svcMRProcess" w:date="2018-09-08T02:09:00Z"/>
                <w:sz w:val="19"/>
              </w:rPr>
            </w:pPr>
            <w:ins w:id="371" w:author="svcMRProcess" w:date="2018-09-08T02:09:00Z">
              <w:r>
                <w:rPr>
                  <w:sz w:val="19"/>
                </w:rPr>
                <w:t>28 Mar 2007</w:t>
              </w:r>
            </w:ins>
          </w:p>
        </w:tc>
        <w:tc>
          <w:tcPr>
            <w:tcW w:w="2580" w:type="dxa"/>
            <w:tcBorders>
              <w:bottom w:val="single" w:sz="8" w:space="0" w:color="auto"/>
            </w:tcBorders>
          </w:tcPr>
          <w:p>
            <w:pPr>
              <w:pStyle w:val="nTable"/>
              <w:keepNext/>
              <w:spacing w:before="120"/>
              <w:rPr>
                <w:ins w:id="372" w:author="svcMRProcess" w:date="2018-09-08T02:09:00Z"/>
                <w:snapToGrid w:val="0"/>
                <w:sz w:val="19"/>
                <w:lang w:val="en-US"/>
              </w:rPr>
            </w:pPr>
            <w:ins w:id="373" w:author="svcMRProcess" w:date="2018-09-08T02:09:00Z">
              <w:r>
                <w:rPr>
                  <w:snapToGrid w:val="0"/>
                  <w:sz w:val="19"/>
                  <w:lang w:val="en-US"/>
                </w:rPr>
                <w:t>1 Jul 2007 (see s. 2)</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74" w:name="_Toc20219085"/>
      <w:bookmarkStart w:id="375" w:name="_Toc20710666"/>
      <w:bookmarkStart w:id="376" w:name="_Toc22632825"/>
      <w:bookmarkStart w:id="377" w:name="_Toc44146574"/>
      <w:r>
        <w:rPr>
          <w:rStyle w:val="CharSectno"/>
        </w:rPr>
        <w:t>19</w:t>
      </w:r>
      <w:r>
        <w:t>.</w:t>
      </w:r>
      <w:r>
        <w:tab/>
        <w:t>Power to amend regulations</w:t>
      </w:r>
      <w:bookmarkEnd w:id="374"/>
      <w:bookmarkEnd w:id="375"/>
      <w:bookmarkEnd w:id="376"/>
      <w:bookmarkEnd w:id="37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78" w:name="_Toc44146748"/>
      <w:r>
        <w:rPr>
          <w:rStyle w:val="CharSectno"/>
        </w:rPr>
        <w:t>193</w:t>
      </w:r>
      <w:r>
        <w:t>.</w:t>
      </w:r>
      <w:r>
        <w:tab/>
        <w:t>Appeals</w:t>
      </w:r>
      <w:bookmarkEnd w:id="378"/>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79" w:name="_Toc44146749"/>
      <w:r>
        <w:rPr>
          <w:rStyle w:val="CharSectno"/>
        </w:rPr>
        <w:t>194</w:t>
      </w:r>
      <w:r>
        <w:t>.</w:t>
      </w:r>
      <w:r>
        <w:tab/>
        <w:t>Funds of Tribunal</w:t>
      </w:r>
      <w:bookmarkEnd w:id="379"/>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ins w:id="380" w:author="svcMRProcess" w:date="2018-09-08T02:09:00Z"/>
        </w:rPr>
      </w:pPr>
      <w:ins w:id="381" w:author="svcMRProcess" w:date="2018-09-08T02:09:00Z">
        <w:r>
          <w:rPr>
            <w:vertAlign w:val="superscript"/>
          </w:rPr>
          <w:t>4</w:t>
        </w:r>
        <w:r>
          <w:tab/>
          <w:t xml:space="preserve">On the date as at which this compilation was prepared, the </w:t>
        </w:r>
        <w:r>
          <w:rPr>
            <w:i/>
            <w:snapToGrid w:val="0"/>
          </w:rPr>
          <w:t>Racing and Wagering Legislation Amendment Act 2007</w:t>
        </w:r>
        <w:r>
          <w:rPr>
            <w:iCs/>
            <w:snapToGrid w:val="0"/>
          </w:rPr>
          <w:t xml:space="preserve"> Pt. 3</w:t>
        </w:r>
        <w:r>
          <w:t xml:space="preserve"> had not come into operation.  It reads as follows:</w:t>
        </w:r>
      </w:ins>
    </w:p>
    <w:p>
      <w:pPr>
        <w:pStyle w:val="MiscOpen"/>
        <w:rPr>
          <w:ins w:id="382" w:author="svcMRProcess" w:date="2018-09-08T02:09:00Z"/>
        </w:rPr>
      </w:pPr>
      <w:ins w:id="383" w:author="svcMRProcess" w:date="2018-09-08T02:09:00Z">
        <w:r>
          <w:t>“</w:t>
        </w:r>
      </w:ins>
    </w:p>
    <w:p>
      <w:pPr>
        <w:pStyle w:val="nzHeading2"/>
        <w:rPr>
          <w:ins w:id="384" w:author="svcMRProcess" w:date="2018-09-08T02:09:00Z"/>
        </w:rPr>
      </w:pPr>
      <w:bookmarkStart w:id="385" w:name="_Toc162943508"/>
      <w:bookmarkStart w:id="386" w:name="_Toc162947880"/>
      <w:ins w:id="387" w:author="svcMRProcess" w:date="2018-09-08T02:09:00Z">
        <w:r>
          <w:rPr>
            <w:rStyle w:val="CharPartNo"/>
          </w:rPr>
          <w:t>Part 3</w:t>
        </w:r>
        <w:r>
          <w:rPr>
            <w:rStyle w:val="CharDivNo"/>
          </w:rPr>
          <w:t> </w:t>
        </w:r>
        <w:r>
          <w:t>—</w:t>
        </w:r>
        <w:r>
          <w:rPr>
            <w:rStyle w:val="CharDivText"/>
          </w:rPr>
          <w:t> </w:t>
        </w:r>
        <w:r>
          <w:rPr>
            <w:rStyle w:val="CharPartText"/>
            <w:i/>
            <w:iCs/>
          </w:rPr>
          <w:t>Racing Penalties (Appeals) Act 1990</w:t>
        </w:r>
        <w:bookmarkEnd w:id="385"/>
        <w:bookmarkEnd w:id="386"/>
      </w:ins>
    </w:p>
    <w:p>
      <w:pPr>
        <w:pStyle w:val="nzHeading5"/>
        <w:rPr>
          <w:ins w:id="388" w:author="svcMRProcess" w:date="2018-09-08T02:09:00Z"/>
          <w:snapToGrid w:val="0"/>
        </w:rPr>
      </w:pPr>
      <w:bookmarkStart w:id="389" w:name="_Toc147036252"/>
      <w:bookmarkStart w:id="390" w:name="_Toc162943509"/>
      <w:bookmarkStart w:id="391" w:name="_Toc162947881"/>
      <w:ins w:id="392" w:author="svcMRProcess" w:date="2018-09-08T02:09:00Z">
        <w:r>
          <w:rPr>
            <w:rStyle w:val="CharSectno"/>
          </w:rPr>
          <w:t>6</w:t>
        </w:r>
        <w:r>
          <w:rPr>
            <w:snapToGrid w:val="0"/>
          </w:rPr>
          <w:t>.</w:t>
        </w:r>
        <w:r>
          <w:rPr>
            <w:snapToGrid w:val="0"/>
          </w:rPr>
          <w:tab/>
          <w:t>The Act amended</w:t>
        </w:r>
        <w:bookmarkEnd w:id="389"/>
        <w:bookmarkEnd w:id="390"/>
        <w:bookmarkEnd w:id="391"/>
      </w:ins>
    </w:p>
    <w:p>
      <w:pPr>
        <w:pStyle w:val="nzSubsection"/>
        <w:rPr>
          <w:ins w:id="393" w:author="svcMRProcess" w:date="2018-09-08T02:09:00Z"/>
        </w:rPr>
      </w:pPr>
      <w:ins w:id="394" w:author="svcMRProcess" w:date="2018-09-08T02:09:00Z">
        <w:r>
          <w:tab/>
        </w:r>
        <w:r>
          <w:tab/>
          <w:t xml:space="preserve">The amendments in this Part are to the </w:t>
        </w:r>
        <w:r>
          <w:rPr>
            <w:i/>
          </w:rPr>
          <w:t>Racing Penalties (Appeals) Act 1990</w:t>
        </w:r>
        <w:r>
          <w:t>.</w:t>
        </w:r>
      </w:ins>
    </w:p>
    <w:p>
      <w:pPr>
        <w:pStyle w:val="nzHeading5"/>
        <w:rPr>
          <w:ins w:id="395" w:author="svcMRProcess" w:date="2018-09-08T02:09:00Z"/>
        </w:rPr>
      </w:pPr>
      <w:bookmarkStart w:id="396" w:name="_Toc147036253"/>
      <w:bookmarkStart w:id="397" w:name="_Toc162943510"/>
      <w:bookmarkStart w:id="398" w:name="_Toc162947882"/>
      <w:ins w:id="399" w:author="svcMRProcess" w:date="2018-09-08T02:09:00Z">
        <w:r>
          <w:rPr>
            <w:rStyle w:val="CharSectno"/>
          </w:rPr>
          <w:t>7</w:t>
        </w:r>
        <w:r>
          <w:t>.</w:t>
        </w:r>
        <w:r>
          <w:tab/>
          <w:t>Section 24 amended</w:t>
        </w:r>
        <w:bookmarkEnd w:id="396"/>
        <w:bookmarkEnd w:id="397"/>
        <w:bookmarkEnd w:id="398"/>
      </w:ins>
    </w:p>
    <w:p>
      <w:pPr>
        <w:pStyle w:val="nzSubsection"/>
        <w:rPr>
          <w:ins w:id="400" w:author="svcMRProcess" w:date="2018-09-08T02:09:00Z"/>
        </w:rPr>
      </w:pPr>
      <w:ins w:id="401" w:author="svcMRProcess" w:date="2018-09-08T02:09:00Z">
        <w:r>
          <w:tab/>
          <w:t>(1)</w:t>
        </w:r>
        <w:r>
          <w:tab/>
          <w:t xml:space="preserve">Section 24(9) is amended by deleting “Subject to subsection (10), the” and inserting instead — </w:t>
        </w:r>
      </w:ins>
    </w:p>
    <w:p>
      <w:pPr>
        <w:pStyle w:val="nzSubsection"/>
        <w:rPr>
          <w:ins w:id="402" w:author="svcMRProcess" w:date="2018-09-08T02:09:00Z"/>
        </w:rPr>
      </w:pPr>
      <w:ins w:id="403" w:author="svcMRProcess" w:date="2018-09-08T02:09:00Z">
        <w:r>
          <w:tab/>
        </w:r>
        <w:r>
          <w:tab/>
          <w:t>“    The    ”.</w:t>
        </w:r>
      </w:ins>
    </w:p>
    <w:p>
      <w:pPr>
        <w:pStyle w:val="nzSubsection"/>
        <w:rPr>
          <w:ins w:id="404" w:author="svcMRProcess" w:date="2018-09-08T02:09:00Z"/>
        </w:rPr>
      </w:pPr>
      <w:ins w:id="405" w:author="svcMRProcess" w:date="2018-09-08T02:09:00Z">
        <w:r>
          <w:tab/>
          <w:t>(2)</w:t>
        </w:r>
        <w:r>
          <w:tab/>
          <w:t xml:space="preserve">Section 24(10) is repealed and the following subsection is inserted instead — </w:t>
        </w:r>
      </w:ins>
    </w:p>
    <w:p>
      <w:pPr>
        <w:pStyle w:val="MiscOpen"/>
        <w:ind w:left="600"/>
        <w:rPr>
          <w:ins w:id="406" w:author="svcMRProcess" w:date="2018-09-08T02:09:00Z"/>
        </w:rPr>
      </w:pPr>
      <w:ins w:id="407" w:author="svcMRProcess" w:date="2018-09-08T02:09:00Z">
        <w:r>
          <w:t xml:space="preserve">“    </w:t>
        </w:r>
      </w:ins>
    </w:p>
    <w:p>
      <w:pPr>
        <w:pStyle w:val="nzSubsection"/>
        <w:rPr>
          <w:ins w:id="408" w:author="svcMRProcess" w:date="2018-09-08T02:09:00Z"/>
        </w:rPr>
      </w:pPr>
      <w:ins w:id="409" w:author="svcMRProcess" w:date="2018-09-08T02:09:00Z">
        <w:r>
          <w:tab/>
          <w:t>(10)</w:t>
        </w:r>
        <w:r>
          <w:tab/>
          <w:t xml:space="preserve">The financial year of the Tribunal that — </w:t>
        </w:r>
      </w:ins>
    </w:p>
    <w:p>
      <w:pPr>
        <w:pStyle w:val="nzIndenta"/>
        <w:rPr>
          <w:ins w:id="410" w:author="svcMRProcess" w:date="2018-09-08T02:09:00Z"/>
        </w:rPr>
      </w:pPr>
      <w:ins w:id="411" w:author="svcMRProcess" w:date="2018-09-08T02:09:00Z">
        <w:r>
          <w:tab/>
          <w:t>(a)</w:t>
        </w:r>
        <w:r>
          <w:tab/>
          <w:t>began on 1 August 2006; and</w:t>
        </w:r>
      </w:ins>
    </w:p>
    <w:p>
      <w:pPr>
        <w:pStyle w:val="nzIndenta"/>
        <w:rPr>
          <w:ins w:id="412" w:author="svcMRProcess" w:date="2018-09-08T02:09:00Z"/>
        </w:rPr>
      </w:pPr>
      <w:ins w:id="413" w:author="svcMRProcess" w:date="2018-09-08T02:09:00Z">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ins>
    </w:p>
    <w:p>
      <w:pPr>
        <w:pStyle w:val="nzSubsection"/>
        <w:rPr>
          <w:ins w:id="414" w:author="svcMRProcess" w:date="2018-09-08T02:09:00Z"/>
        </w:rPr>
      </w:pPr>
      <w:ins w:id="415" w:author="svcMRProcess" w:date="2018-09-08T02:09:00Z">
        <w:r>
          <w:tab/>
        </w:r>
        <w:r>
          <w:tab/>
          <w:t>is to be taken to have ended on 30 June 2007.</w:t>
        </w:r>
      </w:ins>
    </w:p>
    <w:p>
      <w:pPr>
        <w:pStyle w:val="MiscClose"/>
        <w:ind w:right="256"/>
        <w:rPr>
          <w:ins w:id="416" w:author="svcMRProcess" w:date="2018-09-08T02:09:00Z"/>
        </w:rPr>
      </w:pPr>
      <w:ins w:id="417" w:author="svcMRProcess" w:date="2018-09-08T02:09:00Z">
        <w:r>
          <w:t xml:space="preserve">    ”.</w:t>
        </w:r>
      </w:ins>
    </w:p>
    <w:p>
      <w:pPr>
        <w:pStyle w:val="MiscClose"/>
        <w:rPr>
          <w:ins w:id="418" w:author="svcMRProcess" w:date="2018-09-08T02:09:00Z"/>
        </w:rPr>
      </w:pPr>
      <w:ins w:id="419" w:author="svcMRProcess" w:date="2018-09-08T02:09: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9494</Words>
  <Characters>44623</Characters>
  <Application>Microsoft Office Word</Application>
  <DocSecurity>0</DocSecurity>
  <Lines>1206</Lines>
  <Paragraphs>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02-b0-02 - 02-c0-02</dc:title>
  <dc:subject/>
  <dc:creator/>
  <cp:keywords/>
  <dc:description/>
  <cp:lastModifiedBy>svcMRProcess</cp:lastModifiedBy>
  <cp:revision>2</cp:revision>
  <cp:lastPrinted>2006-09-08T07:23:00Z</cp:lastPrinted>
  <dcterms:created xsi:type="dcterms:W3CDTF">2018-09-07T18:09:00Z</dcterms:created>
  <dcterms:modified xsi:type="dcterms:W3CDTF">2018-09-07T18:09:00Z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652</vt:i4>
  </property>
  <property fmtid="{D5CDD505-2E9C-101B-9397-08002B2CF9AE}" pid="6" name="FromSuffix">
    <vt:lpwstr>02-b0-02</vt:lpwstr>
  </property>
  <property fmtid="{D5CDD505-2E9C-101B-9397-08002B2CF9AE}" pid="7" name="FromAsAtDate">
    <vt:lpwstr>01 Feb 2007</vt:lpwstr>
  </property>
  <property fmtid="{D5CDD505-2E9C-101B-9397-08002B2CF9AE}" pid="8" name="ToSuffix">
    <vt:lpwstr>02-c0-02</vt:lpwstr>
  </property>
  <property fmtid="{D5CDD505-2E9C-101B-9397-08002B2CF9AE}" pid="9" name="ToAsAtDate">
    <vt:lpwstr>28 Mar 2007</vt:lpwstr>
  </property>
</Properties>
</file>