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1:35:00Z"/>
        </w:trPr>
        <w:tc>
          <w:tcPr>
            <w:tcW w:w="2434" w:type="dxa"/>
            <w:vMerge w:val="restart"/>
          </w:tcPr>
          <w:p>
            <w:pPr>
              <w:rPr>
                <w:del w:id="1" w:author="svcMRProcess" w:date="2015-11-05T21:35:00Z"/>
              </w:rPr>
            </w:pPr>
          </w:p>
        </w:tc>
        <w:tc>
          <w:tcPr>
            <w:tcW w:w="2434" w:type="dxa"/>
            <w:vMerge w:val="restart"/>
          </w:tcPr>
          <w:p>
            <w:pPr>
              <w:jc w:val="center"/>
              <w:rPr>
                <w:del w:id="2" w:author="svcMRProcess" w:date="2015-11-05T21:35:00Z"/>
              </w:rPr>
            </w:pPr>
            <w:del w:id="3" w:author="svcMRProcess" w:date="2015-11-05T21:35:00Z">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svcMRProcess" w:date="2015-11-05T21:35:00Z"/>
              </w:rPr>
            </w:pPr>
          </w:p>
        </w:tc>
      </w:tr>
      <w:tr>
        <w:trPr>
          <w:cantSplit/>
          <w:del w:id="5" w:author="svcMRProcess" w:date="2015-11-05T21:35:00Z"/>
        </w:trPr>
        <w:tc>
          <w:tcPr>
            <w:tcW w:w="2434" w:type="dxa"/>
            <w:vMerge/>
          </w:tcPr>
          <w:p>
            <w:pPr>
              <w:rPr>
                <w:del w:id="6" w:author="svcMRProcess" w:date="2015-11-05T21:35:00Z"/>
              </w:rPr>
            </w:pPr>
          </w:p>
        </w:tc>
        <w:tc>
          <w:tcPr>
            <w:tcW w:w="2434" w:type="dxa"/>
            <w:vMerge/>
          </w:tcPr>
          <w:p>
            <w:pPr>
              <w:jc w:val="center"/>
              <w:rPr>
                <w:del w:id="7" w:author="svcMRProcess" w:date="2015-11-05T21:35:00Z"/>
              </w:rPr>
            </w:pPr>
          </w:p>
        </w:tc>
        <w:tc>
          <w:tcPr>
            <w:tcW w:w="2434" w:type="dxa"/>
          </w:tcPr>
          <w:p>
            <w:pPr>
              <w:keepNext/>
              <w:rPr>
                <w:del w:id="8" w:author="svcMRProcess" w:date="2015-11-05T21:35:00Z"/>
                <w:b/>
                <w:sz w:val="22"/>
              </w:rPr>
            </w:pPr>
            <w:del w:id="9" w:author="svcMRProcess" w:date="2015-11-05T21:35: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November 2005</w:delText>
              </w:r>
            </w:del>
          </w:p>
        </w:tc>
      </w:tr>
    </w:tbl>
    <w:p>
      <w:pPr>
        <w:pStyle w:val="WA"/>
        <w:spacing w:before="120"/>
      </w:pPr>
      <w:r>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10" w:name="_GoBack"/>
      <w:bookmarkEnd w:id="10"/>
      <w:r>
        <w:rPr>
          <w:snapToGrid w:val="0"/>
        </w:rPr>
        <w:t xml:space="preserve">n Act to regulate the keeping and use of radioactive substances, irradiating apparatus and certain electronic products, and for matters incidental thereto. </w:t>
      </w:r>
    </w:p>
    <w:p>
      <w:pPr>
        <w:pStyle w:val="Heading2"/>
      </w:pPr>
      <w:bookmarkStart w:id="11" w:name="_Toc89506015"/>
      <w:bookmarkStart w:id="12" w:name="_Toc89585311"/>
      <w:bookmarkStart w:id="13" w:name="_Toc92699994"/>
      <w:bookmarkStart w:id="14" w:name="_Toc96924366"/>
      <w:bookmarkStart w:id="15" w:name="_Toc102535150"/>
      <w:bookmarkStart w:id="16" w:name="_Toc102726306"/>
      <w:bookmarkStart w:id="17" w:name="_Toc102726373"/>
      <w:bookmarkStart w:id="18" w:name="_Toc112555228"/>
      <w:bookmarkStart w:id="19" w:name="_Toc112556575"/>
      <w:bookmarkStart w:id="20" w:name="_Toc115076913"/>
      <w:bookmarkStart w:id="21" w:name="_Toc118524924"/>
      <w:bookmarkStart w:id="22" w:name="_Toc118525305"/>
      <w:bookmarkStart w:id="23" w:name="_Toc120001926"/>
      <w:bookmarkStart w:id="24" w:name="_Toc137975576"/>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21612310"/>
      <w:bookmarkStart w:id="26" w:name="_Toc37750188"/>
      <w:bookmarkStart w:id="27" w:name="_Toc137975577"/>
      <w:bookmarkStart w:id="28" w:name="_Toc120001927"/>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9" w:name="_Toc421612311"/>
      <w:bookmarkStart w:id="30" w:name="_Toc37750189"/>
      <w:bookmarkStart w:id="31" w:name="_Toc137975578"/>
      <w:bookmarkStart w:id="32" w:name="_Toc120001928"/>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33" w:name="_Toc421612312"/>
      <w:bookmarkStart w:id="34" w:name="_Toc37750190"/>
      <w:bookmarkStart w:id="35" w:name="_Toc137975579"/>
      <w:bookmarkStart w:id="36" w:name="_Toc120001929"/>
      <w:r>
        <w:rPr>
          <w:rStyle w:val="CharSectno"/>
        </w:rPr>
        <w:t>4</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pPr>
      <w:r>
        <w:rPr>
          <w:b/>
        </w:rPr>
        <w:tab/>
        <w:t>“</w:t>
      </w:r>
      <w:r>
        <w:rPr>
          <w:rStyle w:val="CharDefText"/>
        </w:rPr>
        <w:t>section</w:t>
      </w:r>
      <w:r>
        <w:rPr>
          <w:b/>
        </w:rPr>
        <w:t>”</w:t>
      </w:r>
      <w:r>
        <w:t xml:space="preserve"> means section of this Act, and </w:t>
      </w:r>
      <w:r>
        <w:rPr>
          <w:b/>
        </w:rPr>
        <w:t>“</w:t>
      </w:r>
      <w:r>
        <w:rPr>
          <w:rStyle w:val="CharDefText"/>
        </w:rPr>
        <w:t>subsection</w:t>
      </w:r>
      <w:r>
        <w:rPr>
          <w:b/>
        </w:rPr>
        <w:t>”</w:t>
      </w:r>
      <w:r>
        <w:t xml:space="preserve"> means subsection of the section in which it appears;</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[Section 4 amended by No. 63 of 1981 s. 4; No. 28 of 1984 s. 96 and 97.]</w:t>
      </w:r>
    </w:p>
    <w:p>
      <w:pPr>
        <w:pStyle w:val="Heading5"/>
        <w:rPr>
          <w:snapToGrid w:val="0"/>
        </w:rPr>
      </w:pPr>
      <w:bookmarkStart w:id="37" w:name="_Toc421612313"/>
      <w:bookmarkStart w:id="38" w:name="_Toc37750191"/>
      <w:bookmarkStart w:id="39" w:name="_Toc102726377"/>
      <w:bookmarkStart w:id="40" w:name="_Toc137975580"/>
      <w:bookmarkStart w:id="41" w:name="_Toc120001930"/>
      <w:bookmarkStart w:id="42" w:name="_Toc421612314"/>
      <w:bookmarkStart w:id="43" w:name="_Toc37750192"/>
      <w:r>
        <w:rPr>
          <w:rStyle w:val="CharSectno"/>
        </w:rPr>
        <w:t>5</w:t>
      </w:r>
      <w:r>
        <w:rPr>
          <w:snapToGrid w:val="0"/>
        </w:rPr>
        <w:t>.</w:t>
      </w:r>
      <w:r>
        <w:rPr>
          <w:snapToGrid w:val="0"/>
        </w:rPr>
        <w:tab/>
        <w:t>Repeals and transitional provisions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following Acts are hereby repealed, that is to say — </w:t>
      </w:r>
    </w:p>
    <w:p>
      <w:pPr>
        <w:pStyle w:val="MiscellaneousHeading"/>
        <w:rPr>
          <w:b/>
          <w:bCs/>
          <w:snapToGrid w:val="0"/>
        </w:rPr>
      </w:pPr>
    </w:p>
    <w:tbl>
      <w:tblPr>
        <w:tblW w:w="0" w:type="auto"/>
        <w:tblInd w:w="1068" w:type="dxa"/>
        <w:tblLook w:val="0000" w:firstRow="0" w:lastRow="0" w:firstColumn="0" w:lastColumn="0" w:noHBand="0" w:noVBand="0"/>
      </w:tblPr>
      <w:tblGrid>
        <w:gridCol w:w="1560"/>
        <w:gridCol w:w="4684"/>
      </w:tblGrid>
      <w:tr>
        <w:tc>
          <w:tcPr>
            <w:tcW w:w="1560" w:type="dxa"/>
          </w:tcPr>
          <w:p>
            <w:pPr>
              <w:pStyle w:val="Table"/>
              <w:rPr>
                <w:snapToGrid w:val="0"/>
              </w:rPr>
            </w:pPr>
            <w:r>
              <w:rPr>
                <w:snapToGrid w:val="0"/>
              </w:rPr>
              <w:t>65 of 1954</w:t>
            </w:r>
          </w:p>
        </w:tc>
        <w:tc>
          <w:tcPr>
            <w:tcW w:w="4684" w:type="dxa"/>
          </w:tcPr>
          <w:p>
            <w:pPr>
              <w:pStyle w:val="Table"/>
              <w:rPr>
                <w:snapToGrid w:val="0"/>
              </w:rPr>
            </w:pPr>
            <w:r>
              <w:rPr>
                <w:i/>
                <w:snapToGrid w:val="0"/>
              </w:rPr>
              <w:t>Radioactive Substances Act 1954</w:t>
            </w:r>
            <w:r>
              <w:rPr>
                <w:snapToGrid w:val="0"/>
              </w:rPr>
              <w:t>;</w:t>
            </w:r>
          </w:p>
        </w:tc>
      </w:tr>
      <w:tr>
        <w:tc>
          <w:tcPr>
            <w:tcW w:w="1560" w:type="dxa"/>
          </w:tcPr>
          <w:p>
            <w:pPr>
              <w:pStyle w:val="Table"/>
              <w:rPr>
                <w:snapToGrid w:val="0"/>
              </w:rPr>
            </w:pPr>
            <w:r>
              <w:rPr>
                <w:snapToGrid w:val="0"/>
              </w:rPr>
              <w:t>13 of 1960</w:t>
            </w:r>
          </w:p>
        </w:tc>
        <w:tc>
          <w:tcPr>
            <w:tcW w:w="4684" w:type="dxa"/>
          </w:tcPr>
          <w:p>
            <w:pPr>
              <w:pStyle w:val="Table"/>
              <w:rPr>
                <w:snapToGrid w:val="0"/>
              </w:rPr>
            </w:pPr>
            <w:r>
              <w:rPr>
                <w:i/>
                <w:snapToGrid w:val="0"/>
              </w:rPr>
              <w:t>Radioactive Substances Act Amendment Act 1960</w:t>
            </w:r>
            <w:r>
              <w:rPr>
                <w:snapToGrid w:val="0"/>
              </w:rPr>
              <w:t>; and</w:t>
            </w:r>
          </w:p>
        </w:tc>
      </w:tr>
      <w:tr>
        <w:tc>
          <w:tcPr>
            <w:tcW w:w="1560" w:type="dxa"/>
          </w:tcPr>
          <w:p>
            <w:pPr>
              <w:pStyle w:val="Table"/>
              <w:rPr>
                <w:snapToGrid w:val="0"/>
              </w:rPr>
            </w:pPr>
            <w:r>
              <w:rPr>
                <w:snapToGrid w:val="0"/>
              </w:rPr>
              <w:t>5 of 1964</w:t>
            </w:r>
          </w:p>
        </w:tc>
        <w:tc>
          <w:tcPr>
            <w:tcW w:w="4684" w:type="dxa"/>
          </w:tcPr>
          <w:p>
            <w:pPr>
              <w:pStyle w:val="Table"/>
              <w:rPr>
                <w:snapToGrid w:val="0"/>
              </w:rPr>
            </w:pPr>
            <w:r>
              <w:rPr>
                <w:i/>
                <w:snapToGrid w:val="0"/>
              </w:rPr>
              <w:t>Radioactive Substances Act Amendment Act 1964</w:t>
            </w:r>
            <w:r>
              <w:rPr>
                <w:snapToGrid w:val="0"/>
              </w:rPr>
              <w:t>.</w:t>
            </w:r>
          </w:p>
        </w:tc>
      </w:tr>
    </w:tbl>
    <w:p>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xml:space="preserve"> </w:t>
      </w:r>
      <w:r>
        <w:rPr>
          <w:snapToGrid w:val="0"/>
          <w:vertAlign w:val="superscript"/>
        </w:rPr>
        <w:t>2</w:t>
      </w:r>
      <w:r>
        <w:rPr>
          <w:snapToGrid w:val="0"/>
        </w:rPr>
        <w:t>, until regulations are made under this Act </w:t>
      </w:r>
      <w:r>
        <w:rPr>
          <w:snapToGrid w:val="0"/>
          <w:vertAlign w:val="superscript"/>
        </w:rPr>
        <w:t>3</w:t>
      </w:r>
      <w:r>
        <w:rPr>
          <w:snapToGrid w:val="0"/>
        </w:rPr>
        <w:t>, the regulations made under the repealed Acts, and in force at the time this Act comes into operation, shall apply, so far as applicable, to persons, acts, circumstances, and things under this Act, as if those regulations were made under this Act.</w:t>
      </w:r>
    </w:p>
    <w:p>
      <w:pPr>
        <w:pStyle w:val="Subsection"/>
        <w:keepNext/>
        <w:spacing w:before="140"/>
        <w:rPr>
          <w:snapToGrid w:val="0"/>
        </w:rPr>
      </w:pPr>
      <w:r>
        <w:rPr>
          <w:snapToGrid w:val="0"/>
        </w:rPr>
        <w:tab/>
        <w:t>(3)</w:t>
      </w:r>
      <w:r>
        <w:rPr>
          <w:snapToGrid w:val="0"/>
        </w:rPr>
        <w:tab/>
        <w:t>Upon the coming into operation of this Act — </w:t>
      </w:r>
    </w:p>
    <w:p>
      <w:pPr>
        <w:pStyle w:val="Indenta"/>
        <w:rPr>
          <w:snapToGrid w:val="0"/>
        </w:rPr>
      </w:pPr>
      <w:r>
        <w:rPr>
          <w:snapToGrid w:val="0"/>
        </w:rPr>
        <w:tab/>
        <w:t>(a)</w:t>
      </w:r>
      <w:r>
        <w:rPr>
          <w:snapToGrid w:val="0"/>
        </w:rPr>
        <w:tab/>
        <w:t>a licence in force under the repealed Acts immediately prior thereto shall have effect as though it were a licence granted under this Act;</w:t>
      </w:r>
    </w:p>
    <w:p>
      <w:pPr>
        <w:pStyle w:val="Indenta"/>
        <w:rPr>
          <w:snapToGrid w:val="0"/>
          <w:spacing w:val="-2"/>
        </w:rPr>
      </w:pPr>
      <w:r>
        <w:rPr>
          <w:snapToGrid w:val="0"/>
          <w:spacing w:val="-2"/>
        </w:rPr>
        <w:tab/>
        <w:t>(b)</w:t>
      </w:r>
      <w:r>
        <w:rPr>
          <w:snapToGrid w:val="0"/>
          <w:spacing w:val="-2"/>
        </w:rPr>
        <w:tab/>
        <w:t>an exemption from obtaining a licence or registration under the repealed Acts in force immediately prior thereto shall have effect as though it were an exemption granted by the Council in a particular case under this Act; and</w:t>
      </w:r>
    </w:p>
    <w:p>
      <w:pPr>
        <w:pStyle w:val="Indenta"/>
        <w:rPr>
          <w:snapToGrid w:val="0"/>
        </w:rPr>
      </w:pPr>
      <w:r>
        <w:rPr>
          <w:snapToGrid w:val="0"/>
        </w:rPr>
        <w:tab/>
        <w:t>(c)</w:t>
      </w:r>
      <w:r>
        <w:rPr>
          <w:snapToGrid w:val="0"/>
        </w:rPr>
        <w:tab/>
        <w:t>a registration in force under the repealed Acts immediately prior thereto shall have effect as though it were effected under this Act.</w:t>
      </w:r>
    </w:p>
    <w:p>
      <w:pPr>
        <w:pStyle w:val="Subsection"/>
        <w:spacing w:before="140"/>
        <w:rPr>
          <w:snapToGrid w:val="0"/>
        </w:rPr>
      </w:pPr>
      <w:r>
        <w:rPr>
          <w:snapToGrid w:val="0"/>
        </w:rPr>
        <w:tab/>
        <w:t>(4)</w:t>
      </w:r>
      <w:r>
        <w:rPr>
          <w:snapToGrid w:val="0"/>
        </w:rPr>
        <w:tab/>
        <w:t>Where any person is the holder of a licence or has a registration effected in his name under the repealed Acts, on the first application under this Act — </w:t>
      </w:r>
    </w:p>
    <w:p>
      <w:pPr>
        <w:pStyle w:val="Indenta"/>
        <w:rPr>
          <w:snapToGrid w:val="0"/>
        </w:rPr>
      </w:pPr>
      <w:r>
        <w:rPr>
          <w:snapToGrid w:val="0"/>
        </w:rPr>
        <w:tab/>
        <w:t>(a)</w:t>
      </w:r>
      <w:r>
        <w:rPr>
          <w:snapToGrid w:val="0"/>
        </w:rPr>
        <w:tab/>
        <w:t>he may apply for the grant of a licence or exemption or for the registration to be effected under this Act at any time before that licence or registration would have expired under the repealed Act;</w:t>
      </w:r>
    </w:p>
    <w:p>
      <w:pPr>
        <w:pStyle w:val="Indenta"/>
        <w:rPr>
          <w:snapToGrid w:val="0"/>
        </w:rPr>
      </w:pPr>
      <w:r>
        <w:rPr>
          <w:snapToGrid w:val="0"/>
        </w:rPr>
        <w:tab/>
        <w:t>(b)</w:t>
      </w:r>
      <w:r>
        <w:rPr>
          <w:snapToGrid w:val="0"/>
        </w:rPr>
        <w:tab/>
        <w:t>the matter may be dealt with as a renewal;</w:t>
      </w:r>
    </w:p>
    <w:p>
      <w:pPr>
        <w:pStyle w:val="Indenta"/>
        <w:rPr>
          <w:snapToGrid w:val="0"/>
        </w:rPr>
      </w:pPr>
      <w:r>
        <w:rPr>
          <w:snapToGrid w:val="0"/>
        </w:rPr>
        <w:tab/>
        <w:t>(c)</w:t>
      </w:r>
      <w:r>
        <w:rPr>
          <w:snapToGrid w:val="0"/>
        </w:rPr>
        <w:tab/>
        <w:t>any licence or exemption granted, or registration effected, may be for a period of less than one year; and</w:t>
      </w:r>
    </w:p>
    <w:p>
      <w:pPr>
        <w:pStyle w:val="Indenta"/>
        <w:rPr>
          <w:snapToGrid w:val="0"/>
        </w:rPr>
      </w:pPr>
      <w:r>
        <w:rPr>
          <w:snapToGrid w:val="0"/>
        </w:rPr>
        <w:tab/>
        <w:t>(d)</w:t>
      </w:r>
      <w:r>
        <w:rPr>
          <w:snapToGrid w:val="0"/>
        </w:rPr>
        <w:tab/>
        <w:t>the fees payable may be rateably apportioned accordingly, taking into account any unexpired period for which payment was made under the repealed Acts.</w:t>
      </w:r>
    </w:p>
    <w:p>
      <w:pPr>
        <w:pStyle w:val="Heading5"/>
        <w:spacing w:before="200"/>
        <w:rPr>
          <w:snapToGrid w:val="0"/>
        </w:rPr>
      </w:pPr>
      <w:bookmarkStart w:id="44" w:name="_Toc137975581"/>
      <w:bookmarkStart w:id="45" w:name="_Toc120001931"/>
      <w:r>
        <w:rPr>
          <w:rStyle w:val="CharSectno"/>
        </w:rPr>
        <w:t>6</w:t>
      </w:r>
      <w:r>
        <w:rPr>
          <w:snapToGrid w:val="0"/>
        </w:rPr>
        <w:t>.</w:t>
      </w:r>
      <w:r>
        <w:rPr>
          <w:snapToGrid w:val="0"/>
        </w:rPr>
        <w:tab/>
        <w:t>Application of this Act, and exemptions</w:t>
      </w:r>
      <w:bookmarkEnd w:id="42"/>
      <w:bookmarkEnd w:id="43"/>
      <w:bookmarkEnd w:id="44"/>
      <w:bookmarkEnd w:id="45"/>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46" w:name="_Toc421612315"/>
      <w:bookmarkStart w:id="47" w:name="_Toc37750193"/>
      <w:bookmarkStart w:id="48" w:name="_Toc137975582"/>
      <w:bookmarkStart w:id="49" w:name="_Toc120001932"/>
      <w:r>
        <w:rPr>
          <w:rStyle w:val="CharSectno"/>
        </w:rPr>
        <w:t>7</w:t>
      </w:r>
      <w:r>
        <w:rPr>
          <w:snapToGrid w:val="0"/>
        </w:rPr>
        <w:t>.</w:t>
      </w:r>
      <w:r>
        <w:rPr>
          <w:snapToGrid w:val="0"/>
        </w:rPr>
        <w:tab/>
        <w:t>Crown bound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50" w:name="_Toc421612316"/>
      <w:bookmarkStart w:id="51" w:name="_Toc37750194"/>
      <w:bookmarkStart w:id="52" w:name="_Toc137975583"/>
      <w:bookmarkStart w:id="53" w:name="_Toc120001933"/>
      <w:r>
        <w:rPr>
          <w:rStyle w:val="CharSectno"/>
        </w:rPr>
        <w:t>8</w:t>
      </w:r>
      <w:r>
        <w:rPr>
          <w:snapToGrid w:val="0"/>
        </w:rPr>
        <w:t>.</w:t>
      </w:r>
      <w:r>
        <w:rPr>
          <w:snapToGrid w:val="0"/>
        </w:rPr>
        <w:tab/>
        <w:t>Prohibition</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54" w:name="_Toc421612317"/>
      <w:bookmarkStart w:id="55" w:name="_Toc37750195"/>
      <w:bookmarkStart w:id="56" w:name="_Toc137975584"/>
      <w:bookmarkStart w:id="57" w:name="_Toc120001934"/>
      <w:r>
        <w:rPr>
          <w:rStyle w:val="CharSectno"/>
        </w:rPr>
        <w:t>9</w:t>
      </w:r>
      <w:r>
        <w:rPr>
          <w:snapToGrid w:val="0"/>
        </w:rPr>
        <w:t>.</w:t>
      </w:r>
      <w:r>
        <w:rPr>
          <w:snapToGrid w:val="0"/>
        </w:rPr>
        <w:tab/>
        <w:t>Civil remedies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58" w:name="_Toc89506024"/>
      <w:bookmarkStart w:id="59" w:name="_Toc89585320"/>
      <w:bookmarkStart w:id="60" w:name="_Toc92700003"/>
      <w:bookmarkStart w:id="61" w:name="_Toc96924375"/>
      <w:bookmarkStart w:id="62" w:name="_Toc102535159"/>
      <w:bookmarkStart w:id="63" w:name="_Toc102726315"/>
      <w:bookmarkStart w:id="64" w:name="_Toc102726382"/>
      <w:bookmarkStart w:id="65" w:name="_Toc112555237"/>
      <w:bookmarkStart w:id="66" w:name="_Toc112556584"/>
      <w:bookmarkStart w:id="67" w:name="_Toc115076921"/>
      <w:bookmarkStart w:id="68" w:name="_Toc118524933"/>
      <w:bookmarkStart w:id="69" w:name="_Toc118525314"/>
      <w:bookmarkStart w:id="70" w:name="_Toc120001935"/>
      <w:bookmarkStart w:id="71" w:name="_Toc137975585"/>
      <w:r>
        <w:rPr>
          <w:rStyle w:val="CharPartNo"/>
        </w:rPr>
        <w:t>Part II</w:t>
      </w:r>
      <w:r>
        <w:rPr>
          <w:rStyle w:val="CharDivNo"/>
        </w:rPr>
        <w:t> </w:t>
      </w:r>
      <w:r>
        <w:t>—</w:t>
      </w:r>
      <w:r>
        <w:rPr>
          <w:rStyle w:val="CharDivText"/>
        </w:rPr>
        <w:t> </w:t>
      </w:r>
      <w:r>
        <w:rPr>
          <w:rStyle w:val="CharPartText"/>
        </w:rPr>
        <w:t>Administrative provisions</w:t>
      </w:r>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21612318"/>
      <w:bookmarkStart w:id="73" w:name="_Toc37750196"/>
      <w:bookmarkStart w:id="74" w:name="_Toc137975586"/>
      <w:bookmarkStart w:id="75" w:name="_Toc120001936"/>
      <w:r>
        <w:rPr>
          <w:rStyle w:val="CharSectno"/>
        </w:rPr>
        <w:t>10</w:t>
      </w:r>
      <w:r>
        <w:rPr>
          <w:snapToGrid w:val="0"/>
        </w:rPr>
        <w:t>.</w:t>
      </w:r>
      <w:r>
        <w:rPr>
          <w:snapToGrid w:val="0"/>
        </w:rPr>
        <w:tab/>
        <w:t>Duty of Minister and administrative arrangements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76" w:name="_Toc421612319"/>
      <w:bookmarkStart w:id="77" w:name="_Toc37750197"/>
      <w:bookmarkStart w:id="78" w:name="_Toc137975587"/>
      <w:bookmarkStart w:id="79" w:name="_Toc120001937"/>
      <w:r>
        <w:rPr>
          <w:rStyle w:val="CharSectno"/>
        </w:rPr>
        <w:t>11</w:t>
      </w:r>
      <w:r>
        <w:rPr>
          <w:snapToGrid w:val="0"/>
        </w:rPr>
        <w:t>.</w:t>
      </w:r>
      <w:r>
        <w:rPr>
          <w:snapToGrid w:val="0"/>
        </w:rPr>
        <w:tab/>
        <w:t>Further functions of the Council</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80" w:name="_Toc421612320"/>
      <w:bookmarkStart w:id="81" w:name="_Toc37750198"/>
      <w:bookmarkStart w:id="82" w:name="_Toc137975588"/>
      <w:bookmarkStart w:id="83" w:name="_Toc120001938"/>
      <w:r>
        <w:rPr>
          <w:rStyle w:val="CharSectno"/>
        </w:rPr>
        <w:t>12</w:t>
      </w:r>
      <w:r>
        <w:rPr>
          <w:snapToGrid w:val="0"/>
        </w:rPr>
        <w:t>.</w:t>
      </w:r>
      <w:r>
        <w:rPr>
          <w:snapToGrid w:val="0"/>
        </w:rPr>
        <w:tab/>
      </w:r>
      <w:bookmarkEnd w:id="80"/>
      <w:bookmarkEnd w:id="81"/>
      <w:r>
        <w:rPr>
          <w:snapToGrid w:val="0"/>
        </w:rPr>
        <w:t>Reviews</w:t>
      </w:r>
      <w:bookmarkEnd w:id="82"/>
      <w:bookmarkEnd w:id="83"/>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84" w:name="_Toc421612321"/>
      <w:bookmarkStart w:id="85" w:name="_Toc37750199"/>
      <w:r>
        <w:tab/>
        <w:t>[(2)</w:t>
      </w:r>
      <w:r>
        <w:noBreakHyphen/>
        <w:t>(4)</w:t>
      </w:r>
      <w:r>
        <w:tab/>
        <w:t>repealed]</w:t>
      </w:r>
    </w:p>
    <w:p>
      <w:pPr>
        <w:pStyle w:val="Footnotesection"/>
      </w:pPr>
      <w:r>
        <w:tab/>
        <w:t>[Section 12 amended by No. 55 of 2004 s. 994.]</w:t>
      </w:r>
    </w:p>
    <w:p>
      <w:pPr>
        <w:pStyle w:val="Heading5"/>
        <w:rPr>
          <w:snapToGrid w:val="0"/>
        </w:rPr>
      </w:pPr>
      <w:bookmarkStart w:id="86" w:name="_Toc137975589"/>
      <w:bookmarkStart w:id="87" w:name="_Toc120001939"/>
      <w:r>
        <w:rPr>
          <w:rStyle w:val="CharSectno"/>
        </w:rPr>
        <w:t>13</w:t>
      </w:r>
      <w:r>
        <w:rPr>
          <w:snapToGrid w:val="0"/>
        </w:rPr>
        <w:t>.</w:t>
      </w:r>
      <w:r>
        <w:rPr>
          <w:snapToGrid w:val="0"/>
        </w:rPr>
        <w:tab/>
        <w:t>Radiological Council</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5 nor more than 7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 and</w:t>
      </w:r>
    </w:p>
    <w:p>
      <w:pPr>
        <w:pStyle w:val="Indenti"/>
        <w:rPr>
          <w:snapToGrid w:val="0"/>
        </w:rPr>
      </w:pPr>
      <w:r>
        <w:rPr>
          <w:snapToGrid w:val="0"/>
        </w:rPr>
        <w:tab/>
        <w:t>(vi)</w:t>
      </w:r>
      <w:r>
        <w:rPr>
          <w:snapToGrid w:val="0"/>
        </w:rPr>
        <w:tab/>
        <w:t>2 may be nominated by the Minister with the advice of the other members of the Council as being persons having special knowledge of the problems of radiation hazards.</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w:t>
      </w:r>
    </w:p>
    <w:p>
      <w:pPr>
        <w:pStyle w:val="Heading5"/>
        <w:rPr>
          <w:snapToGrid w:val="0"/>
        </w:rPr>
      </w:pPr>
      <w:bookmarkStart w:id="88" w:name="_Toc421612322"/>
      <w:bookmarkStart w:id="89" w:name="_Toc37750200"/>
      <w:bookmarkStart w:id="90" w:name="_Toc137975590"/>
      <w:bookmarkStart w:id="91" w:name="_Toc120001940"/>
      <w:r>
        <w:rPr>
          <w:rStyle w:val="CharSectno"/>
        </w:rPr>
        <w:t>14</w:t>
      </w:r>
      <w:r>
        <w:rPr>
          <w:snapToGrid w:val="0"/>
        </w:rPr>
        <w:t>.</w:t>
      </w:r>
      <w:r>
        <w:rPr>
          <w:snapToGrid w:val="0"/>
        </w:rPr>
        <w:tab/>
        <w:t>Tenure of office</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92" w:name="_Toc421612323"/>
      <w:bookmarkStart w:id="93" w:name="_Toc37750201"/>
      <w:bookmarkStart w:id="94" w:name="_Toc137975591"/>
      <w:bookmarkStart w:id="95" w:name="_Toc120001941"/>
      <w:r>
        <w:rPr>
          <w:rStyle w:val="CharSectno"/>
        </w:rPr>
        <w:t>15</w:t>
      </w:r>
      <w:r>
        <w:rPr>
          <w:snapToGrid w:val="0"/>
        </w:rPr>
        <w:t>.</w:t>
      </w:r>
      <w:r>
        <w:rPr>
          <w:snapToGrid w:val="0"/>
        </w:rPr>
        <w:tab/>
        <w:t>Deputies and casual vacancies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96" w:name="_Toc421612324"/>
      <w:bookmarkStart w:id="97" w:name="_Toc37750202"/>
      <w:bookmarkStart w:id="98" w:name="_Toc137975592"/>
      <w:bookmarkStart w:id="99" w:name="_Toc120001942"/>
      <w:r>
        <w:rPr>
          <w:rStyle w:val="CharSectno"/>
        </w:rPr>
        <w:t>16</w:t>
      </w:r>
      <w:r>
        <w:rPr>
          <w:snapToGrid w:val="0"/>
        </w:rPr>
        <w:t>.</w:t>
      </w:r>
      <w:r>
        <w:rPr>
          <w:snapToGrid w:val="0"/>
        </w:rPr>
        <w:tab/>
        <w:t>Proceedings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100" w:name="_Toc421612325"/>
      <w:bookmarkStart w:id="101" w:name="_Toc37750203"/>
      <w:bookmarkStart w:id="102" w:name="_Toc137975593"/>
      <w:bookmarkStart w:id="103" w:name="_Toc120001943"/>
      <w:r>
        <w:rPr>
          <w:rStyle w:val="CharSectno"/>
        </w:rPr>
        <w:t>17</w:t>
      </w:r>
      <w:r>
        <w:rPr>
          <w:snapToGrid w:val="0"/>
        </w:rPr>
        <w:t>.</w:t>
      </w:r>
      <w:r>
        <w:rPr>
          <w:snapToGrid w:val="0"/>
        </w:rPr>
        <w:tab/>
        <w:t>Co</w:t>
      </w:r>
      <w:r>
        <w:rPr>
          <w:snapToGrid w:val="0"/>
        </w:rPr>
        <w:noBreakHyphen/>
        <w:t>option and consultants</w:t>
      </w:r>
      <w:bookmarkEnd w:id="100"/>
      <w:bookmarkEnd w:id="101"/>
      <w:bookmarkEnd w:id="102"/>
      <w:bookmarkEnd w:id="103"/>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104" w:name="_Toc421612326"/>
      <w:bookmarkStart w:id="105" w:name="_Toc37750204"/>
      <w:bookmarkStart w:id="106" w:name="_Toc137975594"/>
      <w:bookmarkStart w:id="107" w:name="_Toc120001944"/>
      <w:r>
        <w:rPr>
          <w:rStyle w:val="CharSectno"/>
        </w:rPr>
        <w:t>18</w:t>
      </w:r>
      <w:r>
        <w:rPr>
          <w:snapToGrid w:val="0"/>
        </w:rPr>
        <w:t>.</w:t>
      </w:r>
      <w:r>
        <w:rPr>
          <w:snapToGrid w:val="0"/>
        </w:rPr>
        <w:tab/>
        <w:t>Delegation</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08" w:name="_Toc421612327"/>
      <w:bookmarkStart w:id="109" w:name="_Toc37750205"/>
      <w:bookmarkStart w:id="110" w:name="_Toc137975595"/>
      <w:bookmarkStart w:id="111" w:name="_Toc120001945"/>
      <w:r>
        <w:rPr>
          <w:rStyle w:val="CharSectno"/>
        </w:rPr>
        <w:t>19</w:t>
      </w:r>
      <w:r>
        <w:rPr>
          <w:snapToGrid w:val="0"/>
        </w:rPr>
        <w:t>.</w:t>
      </w:r>
      <w:r>
        <w:rPr>
          <w:snapToGrid w:val="0"/>
        </w:rPr>
        <w:tab/>
        <w:t>Committees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12" w:name="_Toc421612328"/>
      <w:bookmarkStart w:id="113" w:name="_Toc37750206"/>
      <w:bookmarkStart w:id="114" w:name="_Toc137975596"/>
      <w:bookmarkStart w:id="115" w:name="_Toc120001946"/>
      <w:r>
        <w:rPr>
          <w:rStyle w:val="CharSectno"/>
        </w:rPr>
        <w:t>20</w:t>
      </w:r>
      <w:r>
        <w:rPr>
          <w:snapToGrid w:val="0"/>
        </w:rPr>
        <w:t>.</w:t>
      </w:r>
      <w:r>
        <w:rPr>
          <w:snapToGrid w:val="0"/>
        </w:rPr>
        <w:tab/>
        <w:t>Restriction on remuneration</w:t>
      </w:r>
      <w:bookmarkEnd w:id="112"/>
      <w:bookmarkEnd w:id="113"/>
      <w:bookmarkEnd w:id="114"/>
      <w:bookmarkEnd w:id="115"/>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16" w:name="_Toc421612329"/>
      <w:bookmarkStart w:id="117" w:name="_Toc37750207"/>
      <w:bookmarkStart w:id="118" w:name="_Toc137975597"/>
      <w:bookmarkStart w:id="119" w:name="_Toc120001947"/>
      <w:r>
        <w:rPr>
          <w:rStyle w:val="CharSectno"/>
        </w:rPr>
        <w:t>21</w:t>
      </w:r>
      <w:r>
        <w:rPr>
          <w:snapToGrid w:val="0"/>
        </w:rPr>
        <w:t>.</w:t>
      </w:r>
      <w:r>
        <w:rPr>
          <w:snapToGrid w:val="0"/>
        </w:rPr>
        <w:tab/>
        <w:t>Transfer of property</w:t>
      </w:r>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20" w:name="_Toc421612330"/>
      <w:bookmarkStart w:id="121" w:name="_Toc37750208"/>
      <w:bookmarkStart w:id="122" w:name="_Toc137975598"/>
      <w:bookmarkStart w:id="123" w:name="_Toc120001948"/>
      <w:r>
        <w:rPr>
          <w:rStyle w:val="CharSectno"/>
        </w:rPr>
        <w:t>22</w:t>
      </w:r>
      <w:r>
        <w:rPr>
          <w:snapToGrid w:val="0"/>
        </w:rPr>
        <w:t>.</w:t>
      </w:r>
      <w:r>
        <w:rPr>
          <w:snapToGrid w:val="0"/>
        </w:rPr>
        <w:tab/>
        <w:t>Annual report of Council, etc.</w:t>
      </w:r>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24" w:name="_Toc421612331"/>
      <w:bookmarkStart w:id="125" w:name="_Toc37750209"/>
      <w:bookmarkStart w:id="126" w:name="_Toc137975599"/>
      <w:bookmarkStart w:id="127" w:name="_Toc120001949"/>
      <w:r>
        <w:rPr>
          <w:rStyle w:val="CharSectno"/>
        </w:rPr>
        <w:t>23</w:t>
      </w:r>
      <w:r>
        <w:rPr>
          <w:snapToGrid w:val="0"/>
        </w:rPr>
        <w:t>.</w:t>
      </w:r>
      <w:r>
        <w:rPr>
          <w:snapToGrid w:val="0"/>
        </w:rPr>
        <w:tab/>
        <w:t>Disputes with governmental bodies</w:t>
      </w:r>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28" w:name="_Toc421612332"/>
      <w:bookmarkStart w:id="129" w:name="_Toc37750210"/>
      <w:bookmarkStart w:id="130" w:name="_Toc137975600"/>
      <w:bookmarkStart w:id="131" w:name="_Toc120001950"/>
      <w:r>
        <w:rPr>
          <w:rStyle w:val="CharSectno"/>
        </w:rPr>
        <w:t>24</w:t>
      </w:r>
      <w:r>
        <w:rPr>
          <w:snapToGrid w:val="0"/>
        </w:rPr>
        <w:t>.</w:t>
      </w:r>
      <w:r>
        <w:rPr>
          <w:snapToGrid w:val="0"/>
        </w:rPr>
        <w:tab/>
        <w:t>Actions, claims and demands</w:t>
      </w:r>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2"/>
      </w:pPr>
      <w:bookmarkStart w:id="132" w:name="_Toc89506040"/>
      <w:bookmarkStart w:id="133" w:name="_Toc89585336"/>
      <w:bookmarkStart w:id="134" w:name="_Toc92700019"/>
      <w:bookmarkStart w:id="135" w:name="_Toc96924391"/>
      <w:bookmarkStart w:id="136" w:name="_Toc102535175"/>
      <w:bookmarkStart w:id="137" w:name="_Toc102726331"/>
      <w:bookmarkStart w:id="138" w:name="_Toc102726398"/>
      <w:bookmarkStart w:id="139" w:name="_Toc112555253"/>
      <w:bookmarkStart w:id="140" w:name="_Toc112556600"/>
      <w:bookmarkStart w:id="141" w:name="_Toc115076937"/>
      <w:bookmarkStart w:id="142" w:name="_Toc118524949"/>
      <w:bookmarkStart w:id="143" w:name="_Toc118525330"/>
      <w:bookmarkStart w:id="144" w:name="_Toc120001951"/>
      <w:bookmarkStart w:id="145" w:name="_Toc137975601"/>
      <w:r>
        <w:rPr>
          <w:rStyle w:val="CharPartNo"/>
        </w:rPr>
        <w:t>Part III</w:t>
      </w:r>
      <w:r>
        <w:rPr>
          <w:rStyle w:val="CharDivNo"/>
        </w:rPr>
        <w:t> </w:t>
      </w:r>
      <w:r>
        <w:t>—</w:t>
      </w:r>
      <w:r>
        <w:rPr>
          <w:rStyle w:val="CharDivText"/>
        </w:rPr>
        <w:t> </w:t>
      </w:r>
      <w:r>
        <w:rPr>
          <w:rStyle w:val="CharPartText"/>
        </w:rPr>
        <w:t>Licensing and registration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21612333"/>
      <w:bookmarkStart w:id="147" w:name="_Toc37750211"/>
      <w:bookmarkStart w:id="148" w:name="_Toc137975602"/>
      <w:bookmarkStart w:id="149" w:name="_Toc120001952"/>
      <w:r>
        <w:rPr>
          <w:rStyle w:val="CharSectno"/>
        </w:rPr>
        <w:t>25</w:t>
      </w:r>
      <w:r>
        <w:rPr>
          <w:snapToGrid w:val="0"/>
        </w:rPr>
        <w:t>.</w:t>
      </w:r>
      <w:r>
        <w:rPr>
          <w:snapToGrid w:val="0"/>
        </w:rPr>
        <w:tab/>
        <w:t>Matters requiring a licence</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50" w:name="_Toc421612334"/>
      <w:bookmarkStart w:id="151" w:name="_Toc37750212"/>
      <w:bookmarkStart w:id="152" w:name="_Toc137975603"/>
      <w:bookmarkStart w:id="153" w:name="_Toc120001953"/>
      <w:r>
        <w:rPr>
          <w:rStyle w:val="CharSectno"/>
        </w:rPr>
        <w:t>26</w:t>
      </w:r>
      <w:r>
        <w:rPr>
          <w:snapToGrid w:val="0"/>
        </w:rPr>
        <w:t>.</w:t>
      </w:r>
      <w:r>
        <w:rPr>
          <w:snapToGrid w:val="0"/>
        </w:rPr>
        <w:tab/>
        <w:t>Licensing of persons</w:t>
      </w:r>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rPr>
        <w:t>Nurses Act 1992 </w:t>
      </w:r>
      <w:r>
        <w:t>acting in accordance with the relevant provision, if any, of a code of practice issued under section 9(1)(c)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w:t>
      </w:r>
    </w:p>
    <w:p>
      <w:pPr>
        <w:pStyle w:val="Heading5"/>
        <w:spacing w:before="200"/>
        <w:rPr>
          <w:snapToGrid w:val="0"/>
        </w:rPr>
      </w:pPr>
      <w:bookmarkStart w:id="154" w:name="_Toc421612335"/>
      <w:bookmarkStart w:id="155" w:name="_Toc37750213"/>
      <w:bookmarkStart w:id="156" w:name="_Toc137975604"/>
      <w:bookmarkStart w:id="157" w:name="_Toc120001954"/>
      <w:r>
        <w:rPr>
          <w:rStyle w:val="CharSectno"/>
        </w:rPr>
        <w:t>27</w:t>
      </w:r>
      <w:r>
        <w:rPr>
          <w:snapToGrid w:val="0"/>
        </w:rPr>
        <w:t>.</w:t>
      </w:r>
      <w:r>
        <w:rPr>
          <w:snapToGrid w:val="0"/>
        </w:rPr>
        <w:tab/>
        <w:t>Use of radioactive substances or radiation on persons</w:t>
      </w:r>
      <w:bookmarkEnd w:id="154"/>
      <w:bookmarkEnd w:id="155"/>
      <w:bookmarkEnd w:id="156"/>
      <w:bookmarkEnd w:id="157"/>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t>he was lawfully acting under the direction and supervision of a person to whom paragraph (a) applies; or</w:t>
      </w:r>
    </w:p>
    <w:p>
      <w:pPr>
        <w:pStyle w:val="Indenta"/>
        <w:rPr>
          <w:snapToGrid w:val="0"/>
        </w:rPr>
      </w:pPr>
      <w:r>
        <w:rPr>
          <w:snapToGrid w:val="0"/>
        </w:rPr>
        <w:tab/>
        <w:t>(c)</w:t>
      </w:r>
      <w:r>
        <w:rPr>
          <w:snapToGrid w:val="0"/>
        </w:rPr>
        <w:tab/>
        <w:t>he was the holder of an exemption granted under this Act.</w:t>
      </w:r>
    </w:p>
    <w:p>
      <w:pPr>
        <w:pStyle w:val="Heading5"/>
        <w:rPr>
          <w:snapToGrid w:val="0"/>
        </w:rPr>
      </w:pPr>
      <w:bookmarkStart w:id="158" w:name="_Toc421612336"/>
      <w:bookmarkStart w:id="159" w:name="_Toc37750214"/>
      <w:bookmarkStart w:id="160" w:name="_Toc137975605"/>
      <w:bookmarkStart w:id="161" w:name="_Toc120001955"/>
      <w:r>
        <w:rPr>
          <w:rStyle w:val="CharSectno"/>
        </w:rPr>
        <w:t>28</w:t>
      </w:r>
      <w:r>
        <w:rPr>
          <w:snapToGrid w:val="0"/>
        </w:rPr>
        <w:t>.</w:t>
      </w:r>
      <w:r>
        <w:rPr>
          <w:snapToGrid w:val="0"/>
        </w:rPr>
        <w:tab/>
        <w:t>Registration</w:t>
      </w:r>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62" w:name="_Toc421612337"/>
      <w:bookmarkStart w:id="163" w:name="_Toc37750215"/>
      <w:bookmarkStart w:id="164" w:name="_Toc137975606"/>
      <w:bookmarkStart w:id="165" w:name="_Toc120001956"/>
      <w:r>
        <w:rPr>
          <w:rStyle w:val="CharSectno"/>
        </w:rPr>
        <w:t>29</w:t>
      </w:r>
      <w:r>
        <w:rPr>
          <w:snapToGrid w:val="0"/>
        </w:rPr>
        <w:t>.</w:t>
      </w:r>
      <w:r>
        <w:rPr>
          <w:snapToGrid w:val="0"/>
        </w:rPr>
        <w:tab/>
        <w:t>Sales and purchases</w:t>
      </w:r>
      <w:bookmarkEnd w:id="162"/>
      <w:bookmarkEnd w:id="163"/>
      <w:bookmarkEnd w:id="164"/>
      <w:bookmarkEnd w:id="165"/>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66" w:name="_Toc421612338"/>
      <w:bookmarkStart w:id="167" w:name="_Toc37750216"/>
      <w:bookmarkStart w:id="168" w:name="_Toc137975607"/>
      <w:bookmarkStart w:id="169" w:name="_Toc120001957"/>
      <w:r>
        <w:rPr>
          <w:rStyle w:val="CharSectno"/>
        </w:rPr>
        <w:t>30</w:t>
      </w:r>
      <w:r>
        <w:rPr>
          <w:snapToGrid w:val="0"/>
        </w:rPr>
        <w:t>.</w:t>
      </w:r>
      <w:r>
        <w:rPr>
          <w:snapToGrid w:val="0"/>
        </w:rPr>
        <w:tab/>
        <w:t>Registration of defective premises, apparatus or products prohibited</w:t>
      </w:r>
      <w:bookmarkEnd w:id="166"/>
      <w:bookmarkEnd w:id="167"/>
      <w:bookmarkEnd w:id="168"/>
      <w:bookmarkEnd w:id="169"/>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70" w:name="_Toc421612339"/>
      <w:bookmarkStart w:id="171" w:name="_Toc37750217"/>
      <w:bookmarkStart w:id="172" w:name="_Toc137975608"/>
      <w:bookmarkStart w:id="173" w:name="_Toc120001958"/>
      <w:r>
        <w:rPr>
          <w:rStyle w:val="CharSectno"/>
        </w:rPr>
        <w:t>31</w:t>
      </w:r>
      <w:r>
        <w:rPr>
          <w:snapToGrid w:val="0"/>
        </w:rPr>
        <w:t>.</w:t>
      </w:r>
      <w:r>
        <w:rPr>
          <w:snapToGrid w:val="0"/>
        </w:rPr>
        <w:tab/>
        <w:t>Review of potentially dangerous articles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74" w:name="_Toc421612340"/>
      <w:bookmarkStart w:id="175" w:name="_Toc37750218"/>
      <w:bookmarkStart w:id="176" w:name="_Toc137975609"/>
      <w:bookmarkStart w:id="177" w:name="_Toc120001959"/>
      <w:r>
        <w:rPr>
          <w:rStyle w:val="CharSectno"/>
        </w:rPr>
        <w:t>32</w:t>
      </w:r>
      <w:r>
        <w:rPr>
          <w:snapToGrid w:val="0"/>
        </w:rPr>
        <w:t>.</w:t>
      </w:r>
      <w:r>
        <w:rPr>
          <w:snapToGrid w:val="0"/>
        </w:rPr>
        <w:tab/>
        <w:t>Refusal of licence, exemption or registration</w:t>
      </w:r>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78" w:name="_Toc421612341"/>
      <w:bookmarkStart w:id="179" w:name="_Toc37750219"/>
      <w:bookmarkStart w:id="180" w:name="_Toc137975610"/>
      <w:bookmarkStart w:id="181" w:name="_Toc120001960"/>
      <w:r>
        <w:rPr>
          <w:rStyle w:val="CharSectno"/>
        </w:rPr>
        <w:t>33</w:t>
      </w:r>
      <w:r>
        <w:rPr>
          <w:snapToGrid w:val="0"/>
        </w:rPr>
        <w:t>.</w:t>
      </w:r>
      <w:r>
        <w:rPr>
          <w:snapToGrid w:val="0"/>
        </w:rPr>
        <w:tab/>
        <w:t>Licences and registration</w:t>
      </w:r>
      <w:bookmarkEnd w:id="178"/>
      <w:bookmarkEnd w:id="179"/>
      <w:bookmarkEnd w:id="180"/>
      <w:bookmarkEnd w:id="181"/>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82" w:name="_Toc421612342"/>
      <w:bookmarkStart w:id="183" w:name="_Toc37750220"/>
      <w:bookmarkStart w:id="184" w:name="_Toc137975611"/>
      <w:bookmarkStart w:id="185" w:name="_Toc120001961"/>
      <w:r>
        <w:rPr>
          <w:rStyle w:val="CharSectno"/>
        </w:rPr>
        <w:t>34</w:t>
      </w:r>
      <w:r>
        <w:rPr>
          <w:snapToGrid w:val="0"/>
        </w:rPr>
        <w:t>.</w:t>
      </w:r>
      <w:r>
        <w:rPr>
          <w:snapToGrid w:val="0"/>
        </w:rPr>
        <w:tab/>
        <w:t>Disposal permits</w:t>
      </w:r>
      <w:bookmarkEnd w:id="182"/>
      <w:bookmarkEnd w:id="183"/>
      <w:bookmarkEnd w:id="184"/>
      <w:bookmarkEnd w:id="185"/>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86" w:name="_Toc421612343"/>
      <w:bookmarkStart w:id="187" w:name="_Toc37750221"/>
      <w:bookmarkStart w:id="188" w:name="_Toc137975612"/>
      <w:bookmarkStart w:id="189" w:name="_Toc120001962"/>
      <w:r>
        <w:rPr>
          <w:rStyle w:val="CharSectno"/>
        </w:rPr>
        <w:t>35</w:t>
      </w:r>
      <w:r>
        <w:rPr>
          <w:snapToGrid w:val="0"/>
        </w:rPr>
        <w:t>.</w:t>
      </w:r>
      <w:r>
        <w:rPr>
          <w:snapToGrid w:val="0"/>
        </w:rPr>
        <w:tab/>
        <w:t>Temporary permits</w:t>
      </w:r>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90" w:name="_Toc421612344"/>
      <w:bookmarkStart w:id="191" w:name="_Toc37750222"/>
      <w:bookmarkStart w:id="192" w:name="_Toc137975613"/>
      <w:bookmarkStart w:id="193" w:name="_Toc120001963"/>
      <w:r>
        <w:rPr>
          <w:rStyle w:val="CharSectno"/>
        </w:rPr>
        <w:t>36</w:t>
      </w:r>
      <w:r>
        <w:rPr>
          <w:snapToGrid w:val="0"/>
        </w:rPr>
        <w:t>.</w:t>
      </w:r>
      <w:r>
        <w:rPr>
          <w:snapToGrid w:val="0"/>
        </w:rPr>
        <w:tab/>
        <w:t>Conditions, restrictions and limitations on, and revocation or suspension of, licences, exemptions, and registrations</w:t>
      </w:r>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94" w:name="_Toc421612345"/>
      <w:bookmarkStart w:id="195" w:name="_Toc37750223"/>
      <w:r>
        <w:tab/>
        <w:t>[Section 36: Correction to Reprint in Gazette 28 Oct 2003 p. 4527.]</w:t>
      </w:r>
    </w:p>
    <w:p>
      <w:pPr>
        <w:pStyle w:val="Heading5"/>
        <w:rPr>
          <w:snapToGrid w:val="0"/>
        </w:rPr>
      </w:pPr>
      <w:bookmarkStart w:id="196" w:name="_Toc137975614"/>
      <w:bookmarkStart w:id="197" w:name="_Toc120001964"/>
      <w:r>
        <w:rPr>
          <w:rStyle w:val="CharSectno"/>
        </w:rPr>
        <w:t>37</w:t>
      </w:r>
      <w:r>
        <w:rPr>
          <w:snapToGrid w:val="0"/>
        </w:rPr>
        <w:t>.</w:t>
      </w:r>
      <w:r>
        <w:rPr>
          <w:snapToGrid w:val="0"/>
        </w:rPr>
        <w:tab/>
        <w:t>Duration of licences, exemptions and registrations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98" w:name="_Toc421612346"/>
      <w:bookmarkStart w:id="199" w:name="_Toc37750224"/>
      <w:bookmarkStart w:id="200" w:name="_Toc137975615"/>
      <w:bookmarkStart w:id="201" w:name="_Toc120001965"/>
      <w:r>
        <w:rPr>
          <w:rStyle w:val="CharSectno"/>
        </w:rPr>
        <w:t>38</w:t>
      </w:r>
      <w:r>
        <w:rPr>
          <w:snapToGrid w:val="0"/>
        </w:rPr>
        <w:t>.</w:t>
      </w:r>
      <w:r>
        <w:rPr>
          <w:snapToGrid w:val="0"/>
        </w:rPr>
        <w:tab/>
        <w:t>Change of circumstances</w:t>
      </w:r>
      <w:bookmarkEnd w:id="198"/>
      <w:bookmarkEnd w:id="199"/>
      <w:bookmarkEnd w:id="200"/>
      <w:bookmarkEnd w:id="20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202" w:name="_Toc421612347"/>
      <w:bookmarkStart w:id="203" w:name="_Toc37750225"/>
      <w:bookmarkStart w:id="204" w:name="_Toc137975616"/>
      <w:bookmarkStart w:id="205" w:name="_Toc120001966"/>
      <w:r>
        <w:rPr>
          <w:rStyle w:val="CharSectno"/>
        </w:rPr>
        <w:t>39</w:t>
      </w:r>
      <w:r>
        <w:rPr>
          <w:snapToGrid w:val="0"/>
        </w:rPr>
        <w:t>.</w:t>
      </w:r>
      <w:r>
        <w:rPr>
          <w:snapToGrid w:val="0"/>
        </w:rPr>
        <w:tab/>
        <w:t>Power to obtain information</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206" w:name="_Toc421612348"/>
      <w:bookmarkStart w:id="207" w:name="_Toc37750226"/>
      <w:bookmarkStart w:id="208" w:name="_Toc137975617"/>
      <w:bookmarkStart w:id="209" w:name="_Toc120001967"/>
      <w:r>
        <w:rPr>
          <w:rStyle w:val="CharSectno"/>
        </w:rPr>
        <w:t>40</w:t>
      </w:r>
      <w:r>
        <w:rPr>
          <w:snapToGrid w:val="0"/>
        </w:rPr>
        <w:t>.</w:t>
      </w:r>
      <w:r>
        <w:rPr>
          <w:snapToGrid w:val="0"/>
        </w:rPr>
        <w:tab/>
        <w:t>Surrender of documents</w:t>
      </w:r>
      <w:bookmarkEnd w:id="206"/>
      <w:bookmarkEnd w:id="207"/>
      <w:bookmarkEnd w:id="208"/>
      <w:bookmarkEnd w:id="209"/>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10" w:name="_Toc421612349"/>
      <w:bookmarkStart w:id="211" w:name="_Toc37750227"/>
      <w:bookmarkStart w:id="212" w:name="_Toc137975618"/>
      <w:bookmarkStart w:id="213" w:name="_Toc120001968"/>
      <w:r>
        <w:rPr>
          <w:rStyle w:val="CharSectno"/>
        </w:rPr>
        <w:t>41</w:t>
      </w:r>
      <w:r>
        <w:rPr>
          <w:snapToGrid w:val="0"/>
        </w:rPr>
        <w:t>.</w:t>
      </w:r>
      <w:r>
        <w:rPr>
          <w:snapToGrid w:val="0"/>
        </w:rPr>
        <w:tab/>
        <w:t>Registers</w:t>
      </w:r>
      <w:bookmarkEnd w:id="210"/>
      <w:bookmarkEnd w:id="211"/>
      <w:bookmarkEnd w:id="212"/>
      <w:bookmarkEnd w:id="213"/>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14" w:name="_Toc37750228"/>
      <w:bookmarkStart w:id="215" w:name="_Toc137975619"/>
      <w:bookmarkStart w:id="216" w:name="_Toc120001969"/>
      <w:r>
        <w:rPr>
          <w:rStyle w:val="CharSectno"/>
        </w:rPr>
        <w:t>41A</w:t>
      </w:r>
      <w:r>
        <w:t>.</w:t>
      </w:r>
      <w:r>
        <w:tab/>
        <w:t>Restriction on authorisation of storage, transportation or disposal of nuclear waste</w:t>
      </w:r>
      <w:bookmarkEnd w:id="214"/>
      <w:bookmarkEnd w:id="215"/>
      <w:bookmarkEnd w:id="216"/>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17" w:name="_Toc89506059"/>
      <w:bookmarkStart w:id="218" w:name="_Toc89585355"/>
      <w:bookmarkStart w:id="219" w:name="_Toc92700038"/>
      <w:bookmarkStart w:id="220" w:name="_Toc96924410"/>
      <w:bookmarkStart w:id="221" w:name="_Toc102535194"/>
      <w:bookmarkStart w:id="222" w:name="_Toc102726350"/>
      <w:bookmarkStart w:id="223" w:name="_Toc102726417"/>
      <w:bookmarkStart w:id="224" w:name="_Toc112555272"/>
      <w:bookmarkStart w:id="225" w:name="_Toc112556619"/>
      <w:bookmarkStart w:id="226" w:name="_Toc115076956"/>
      <w:bookmarkStart w:id="227" w:name="_Toc118524968"/>
      <w:bookmarkStart w:id="228" w:name="_Toc118525349"/>
      <w:bookmarkStart w:id="229" w:name="_Toc120001970"/>
      <w:bookmarkStart w:id="230" w:name="_Toc137975620"/>
      <w:r>
        <w:rPr>
          <w:rStyle w:val="CharPartNo"/>
        </w:rPr>
        <w:t>Part IV</w:t>
      </w:r>
      <w:r>
        <w:rPr>
          <w:rStyle w:val="CharDivNo"/>
        </w:rPr>
        <w:t> </w:t>
      </w:r>
      <w:r>
        <w:t>—</w:t>
      </w:r>
      <w:r>
        <w:rPr>
          <w:rStyle w:val="CharDivText"/>
        </w:rPr>
        <w:t> </w:t>
      </w:r>
      <w:r>
        <w:rPr>
          <w:rStyle w:val="CharPartText"/>
        </w:rPr>
        <w:t>Enforcement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421612350"/>
      <w:bookmarkStart w:id="232" w:name="_Toc37750229"/>
      <w:bookmarkStart w:id="233" w:name="_Toc137975621"/>
      <w:bookmarkStart w:id="234" w:name="_Toc120001971"/>
      <w:r>
        <w:rPr>
          <w:rStyle w:val="CharSectno"/>
        </w:rPr>
        <w:t>42</w:t>
      </w:r>
      <w:r>
        <w:rPr>
          <w:snapToGrid w:val="0"/>
        </w:rPr>
        <w:t>.</w:t>
      </w:r>
      <w:r>
        <w:rPr>
          <w:snapToGrid w:val="0"/>
        </w:rPr>
        <w:tab/>
        <w:t>Power of entry and inspection</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35" w:name="_Toc421612351"/>
      <w:r>
        <w:rPr>
          <w:spacing w:val="-2"/>
        </w:rPr>
        <w:tab/>
        <w:t>[Section 42 amended by No. 63 of 1981 s. 4; No. 28 of 1984 s. 97.]</w:t>
      </w:r>
    </w:p>
    <w:p>
      <w:pPr>
        <w:pStyle w:val="Heading5"/>
        <w:rPr>
          <w:snapToGrid w:val="0"/>
        </w:rPr>
      </w:pPr>
      <w:bookmarkStart w:id="236" w:name="_Toc37750230"/>
      <w:bookmarkStart w:id="237" w:name="_Toc137975622"/>
      <w:bookmarkStart w:id="238" w:name="_Toc120001972"/>
      <w:r>
        <w:rPr>
          <w:rStyle w:val="CharSectno"/>
        </w:rPr>
        <w:t>43</w:t>
      </w:r>
      <w:r>
        <w:rPr>
          <w:snapToGrid w:val="0"/>
        </w:rPr>
        <w:t>.</w:t>
      </w:r>
      <w:r>
        <w:rPr>
          <w:snapToGrid w:val="0"/>
        </w:rPr>
        <w:tab/>
        <w:t>Warrants</w:t>
      </w:r>
      <w:bookmarkEnd w:id="235"/>
      <w:bookmarkEnd w:id="236"/>
      <w:bookmarkEnd w:id="237"/>
      <w:bookmarkEnd w:id="238"/>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39" w:name="_Toc421612352"/>
      <w:bookmarkStart w:id="240" w:name="_Toc37750231"/>
      <w:bookmarkStart w:id="241" w:name="_Toc137975623"/>
      <w:bookmarkStart w:id="242" w:name="_Toc120001973"/>
      <w:r>
        <w:rPr>
          <w:rStyle w:val="CharSectno"/>
        </w:rPr>
        <w:t>44</w:t>
      </w:r>
      <w:r>
        <w:rPr>
          <w:snapToGrid w:val="0"/>
        </w:rPr>
        <w:t>.</w:t>
      </w:r>
      <w:r>
        <w:rPr>
          <w:snapToGrid w:val="0"/>
        </w:rPr>
        <w:tab/>
        <w:t>Inspection procedure</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43" w:name="_Toc421612353"/>
      <w:bookmarkStart w:id="244" w:name="_Toc37750232"/>
      <w:bookmarkStart w:id="245" w:name="_Toc137975624"/>
      <w:bookmarkStart w:id="246" w:name="_Toc120001974"/>
      <w:r>
        <w:rPr>
          <w:rStyle w:val="CharSectno"/>
        </w:rPr>
        <w:t>45</w:t>
      </w:r>
      <w:r>
        <w:rPr>
          <w:snapToGrid w:val="0"/>
        </w:rPr>
        <w:t>.</w:t>
      </w:r>
      <w:r>
        <w:rPr>
          <w:snapToGrid w:val="0"/>
        </w:rPr>
        <w:tab/>
        <w:t>Owner to assist authorised officer</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47" w:name="_Toc421612354"/>
      <w:bookmarkStart w:id="248" w:name="_Toc37750233"/>
      <w:bookmarkStart w:id="249" w:name="_Toc137975625"/>
      <w:bookmarkStart w:id="250" w:name="_Toc120001975"/>
      <w:r>
        <w:rPr>
          <w:rStyle w:val="CharSectno"/>
        </w:rPr>
        <w:t>46</w:t>
      </w:r>
      <w:r>
        <w:rPr>
          <w:snapToGrid w:val="0"/>
        </w:rPr>
        <w:t>.</w:t>
      </w:r>
      <w:r>
        <w:rPr>
          <w:snapToGrid w:val="0"/>
        </w:rPr>
        <w:tab/>
        <w:t>Power to give directions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51" w:name="_Toc421612355"/>
      <w:bookmarkStart w:id="252" w:name="_Toc37750234"/>
      <w:bookmarkStart w:id="253" w:name="_Toc137975626"/>
      <w:bookmarkStart w:id="254" w:name="_Toc120001976"/>
      <w:r>
        <w:rPr>
          <w:rStyle w:val="CharSectno"/>
        </w:rPr>
        <w:t>47</w:t>
      </w:r>
      <w:r>
        <w:rPr>
          <w:snapToGrid w:val="0"/>
        </w:rPr>
        <w:t>.</w:t>
      </w:r>
      <w:r>
        <w:rPr>
          <w:snapToGrid w:val="0"/>
        </w:rPr>
        <w:tab/>
        <w:t>Power to vary directions, etc.</w:t>
      </w:r>
      <w:bookmarkEnd w:id="251"/>
      <w:bookmarkEnd w:id="252"/>
      <w:bookmarkEnd w:id="253"/>
      <w:bookmarkEnd w:id="254"/>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55" w:name="_Toc421612356"/>
      <w:bookmarkStart w:id="256" w:name="_Toc37750235"/>
      <w:bookmarkStart w:id="257" w:name="_Toc137975627"/>
      <w:bookmarkStart w:id="258" w:name="_Toc120001977"/>
      <w:r>
        <w:rPr>
          <w:rStyle w:val="CharSectno"/>
        </w:rPr>
        <w:t>48</w:t>
      </w:r>
      <w:r>
        <w:rPr>
          <w:snapToGrid w:val="0"/>
        </w:rPr>
        <w:t>.</w:t>
      </w:r>
      <w:r>
        <w:rPr>
          <w:snapToGrid w:val="0"/>
        </w:rPr>
        <w:tab/>
        <w:t>Offences as to inspections, etc.</w:t>
      </w:r>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59" w:name="_Toc421612357"/>
      <w:bookmarkStart w:id="260" w:name="_Toc37750236"/>
      <w:bookmarkStart w:id="261" w:name="_Toc137975628"/>
      <w:bookmarkStart w:id="262" w:name="_Toc120001978"/>
      <w:r>
        <w:rPr>
          <w:rStyle w:val="CharSectno"/>
        </w:rPr>
        <w:t>49</w:t>
      </w:r>
      <w:r>
        <w:rPr>
          <w:snapToGrid w:val="0"/>
        </w:rPr>
        <w:t>.</w:t>
      </w:r>
      <w:r>
        <w:rPr>
          <w:snapToGrid w:val="0"/>
        </w:rPr>
        <w:tab/>
        <w:t>Secrecy</w:t>
      </w:r>
      <w:bookmarkEnd w:id="259"/>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Heading5"/>
        <w:spacing w:before="200"/>
        <w:rPr>
          <w:snapToGrid w:val="0"/>
        </w:rPr>
      </w:pPr>
      <w:bookmarkStart w:id="263" w:name="_Toc421612358"/>
      <w:bookmarkStart w:id="264" w:name="_Toc37750237"/>
      <w:bookmarkStart w:id="265" w:name="_Toc137975629"/>
      <w:bookmarkStart w:id="266" w:name="_Toc120001979"/>
      <w:r>
        <w:rPr>
          <w:rStyle w:val="CharSectno"/>
        </w:rPr>
        <w:t>50</w:t>
      </w:r>
      <w:r>
        <w:rPr>
          <w:snapToGrid w:val="0"/>
        </w:rPr>
        <w:t>.</w:t>
      </w:r>
      <w:r>
        <w:rPr>
          <w:snapToGrid w:val="0"/>
        </w:rPr>
        <w:tab/>
        <w:t>Availability of records</w:t>
      </w:r>
      <w:bookmarkEnd w:id="263"/>
      <w:bookmarkEnd w:id="264"/>
      <w:bookmarkEnd w:id="265"/>
      <w:bookmarkEnd w:id="266"/>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67" w:name="_Toc137975630"/>
      <w:bookmarkStart w:id="268" w:name="_Toc120001980"/>
      <w:r>
        <w:rPr>
          <w:rStyle w:val="CharSectno"/>
        </w:rPr>
        <w:t>51</w:t>
      </w:r>
      <w:r>
        <w:t>.</w:t>
      </w:r>
      <w:r>
        <w:rPr>
          <w:rStyle w:val="CharSectno"/>
        </w:rPr>
        <w:tab/>
      </w:r>
      <w:r>
        <w:t>Offences to be dealt with by magistrate</w:t>
      </w:r>
      <w:bookmarkEnd w:id="267"/>
      <w:bookmarkEnd w:id="268"/>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69" w:name="_Toc421612360"/>
      <w:bookmarkStart w:id="270" w:name="_Toc37750239"/>
      <w:bookmarkStart w:id="271" w:name="_Toc137975631"/>
      <w:bookmarkStart w:id="272" w:name="_Toc120001981"/>
      <w:r>
        <w:rPr>
          <w:rStyle w:val="CharSectno"/>
        </w:rPr>
        <w:t>52</w:t>
      </w:r>
      <w:r>
        <w:rPr>
          <w:snapToGrid w:val="0"/>
        </w:rPr>
        <w:t>.</w:t>
      </w:r>
      <w:r>
        <w:rPr>
          <w:snapToGrid w:val="0"/>
        </w:rPr>
        <w:tab/>
        <w:t>Offences</w:t>
      </w:r>
      <w:bookmarkEnd w:id="269"/>
      <w:bookmarkEnd w:id="270"/>
      <w:bookmarkEnd w:id="271"/>
      <w:bookmarkEnd w:id="272"/>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73" w:name="_Toc421612361"/>
      <w:bookmarkStart w:id="274" w:name="_Toc37750240"/>
      <w:bookmarkStart w:id="275" w:name="_Toc137975632"/>
      <w:bookmarkStart w:id="276" w:name="_Toc120001982"/>
      <w:r>
        <w:rPr>
          <w:rStyle w:val="CharSectno"/>
        </w:rPr>
        <w:t>53</w:t>
      </w:r>
      <w:r>
        <w:rPr>
          <w:snapToGrid w:val="0"/>
        </w:rPr>
        <w:t>.</w:t>
      </w:r>
      <w:r>
        <w:rPr>
          <w:snapToGrid w:val="0"/>
        </w:rPr>
        <w:tab/>
        <w:t>Forfeiture</w:t>
      </w:r>
      <w:bookmarkEnd w:id="273"/>
      <w:bookmarkEnd w:id="274"/>
      <w:bookmarkEnd w:id="275"/>
      <w:bookmarkEnd w:id="276"/>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77" w:name="_Toc421612362"/>
      <w:bookmarkStart w:id="278" w:name="_Toc37750241"/>
      <w:bookmarkStart w:id="279" w:name="_Toc137975633"/>
      <w:bookmarkStart w:id="280" w:name="_Toc120001983"/>
      <w:r>
        <w:rPr>
          <w:rStyle w:val="CharSectno"/>
        </w:rPr>
        <w:t>54</w:t>
      </w:r>
      <w:r>
        <w:rPr>
          <w:snapToGrid w:val="0"/>
        </w:rPr>
        <w:t>.</w:t>
      </w:r>
      <w:r>
        <w:rPr>
          <w:snapToGrid w:val="0"/>
        </w:rPr>
        <w:tab/>
        <w:t>Power to seize and detain</w:t>
      </w:r>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81" w:name="_Toc421612363"/>
      <w:bookmarkStart w:id="282" w:name="_Toc37750242"/>
      <w:bookmarkStart w:id="283" w:name="_Toc137975634"/>
      <w:bookmarkStart w:id="284" w:name="_Toc120001984"/>
      <w:r>
        <w:rPr>
          <w:rStyle w:val="CharSectno"/>
        </w:rPr>
        <w:t>55</w:t>
      </w:r>
      <w:r>
        <w:rPr>
          <w:snapToGrid w:val="0"/>
        </w:rPr>
        <w:t>.</w:t>
      </w:r>
      <w:r>
        <w:rPr>
          <w:snapToGrid w:val="0"/>
        </w:rPr>
        <w:tab/>
        <w:t>Emergency action</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85" w:name="_Toc421612364"/>
      <w:bookmarkStart w:id="286" w:name="_Toc37750243"/>
      <w:bookmarkStart w:id="287" w:name="_Toc137975635"/>
      <w:bookmarkStart w:id="288" w:name="_Toc120001985"/>
      <w:r>
        <w:rPr>
          <w:rStyle w:val="CharSectno"/>
        </w:rPr>
        <w:t>56</w:t>
      </w:r>
      <w:r>
        <w:rPr>
          <w:snapToGrid w:val="0"/>
        </w:rPr>
        <w:t>.</w:t>
      </w:r>
      <w:r>
        <w:rPr>
          <w:snapToGrid w:val="0"/>
        </w:rPr>
        <w:tab/>
        <w:t>Liability for the acts of others, etc.</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89" w:name="_Toc421612365"/>
      <w:bookmarkStart w:id="290" w:name="_Toc37750244"/>
      <w:bookmarkStart w:id="291" w:name="_Toc137975636"/>
      <w:bookmarkStart w:id="292" w:name="_Toc120001986"/>
      <w:r>
        <w:rPr>
          <w:rStyle w:val="CharSectno"/>
        </w:rPr>
        <w:t>57</w:t>
      </w:r>
      <w:r>
        <w:rPr>
          <w:snapToGrid w:val="0"/>
        </w:rPr>
        <w:t>.</w:t>
      </w:r>
      <w:r>
        <w:rPr>
          <w:snapToGrid w:val="0"/>
        </w:rPr>
        <w:tab/>
        <w:t>Facilitation of proof</w:t>
      </w:r>
      <w:bookmarkEnd w:id="289"/>
      <w:bookmarkEnd w:id="290"/>
      <w:bookmarkEnd w:id="291"/>
      <w:bookmarkEnd w:id="292"/>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293" w:name="_Toc89506076"/>
      <w:bookmarkStart w:id="294" w:name="_Toc89585372"/>
      <w:bookmarkStart w:id="295" w:name="_Toc92700055"/>
      <w:bookmarkStart w:id="296" w:name="_Toc96924427"/>
      <w:bookmarkStart w:id="297" w:name="_Toc102535211"/>
      <w:bookmarkStart w:id="298" w:name="_Toc102726367"/>
      <w:bookmarkStart w:id="299" w:name="_Toc102726434"/>
      <w:bookmarkStart w:id="300" w:name="_Toc112555289"/>
      <w:bookmarkStart w:id="301" w:name="_Toc112556636"/>
      <w:bookmarkStart w:id="302" w:name="_Toc115076973"/>
      <w:bookmarkStart w:id="303" w:name="_Toc118524985"/>
      <w:bookmarkStart w:id="304" w:name="_Toc118525366"/>
      <w:bookmarkStart w:id="305" w:name="_Toc120001987"/>
      <w:bookmarkStart w:id="306" w:name="_Toc137975637"/>
      <w:r>
        <w:rPr>
          <w:rStyle w:val="CharPartNo"/>
        </w:rPr>
        <w:t>Part V</w:t>
      </w:r>
      <w:r>
        <w:rPr>
          <w:rStyle w:val="CharDivNo"/>
        </w:rPr>
        <w:t> </w:t>
      </w:r>
      <w:r>
        <w:t>—</w:t>
      </w:r>
      <w:r>
        <w:rPr>
          <w:rStyle w:val="CharDivText"/>
        </w:rPr>
        <w:t> </w:t>
      </w:r>
      <w:r>
        <w:rPr>
          <w:rStyle w:val="CharPartText"/>
        </w:rPr>
        <w:t>Regulations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421612366"/>
      <w:bookmarkStart w:id="308" w:name="_Toc37750245"/>
      <w:bookmarkStart w:id="309" w:name="_Toc137975638"/>
      <w:bookmarkStart w:id="310" w:name="_Toc120001988"/>
      <w:r>
        <w:rPr>
          <w:rStyle w:val="CharSectno"/>
        </w:rPr>
        <w:t>58</w:t>
      </w:r>
      <w:r>
        <w:rPr>
          <w:snapToGrid w:val="0"/>
        </w:rPr>
        <w:t>.</w:t>
      </w:r>
      <w:r>
        <w:rPr>
          <w:snapToGrid w:val="0"/>
        </w:rPr>
        <w:tab/>
        <w:t>General power</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11" w:name="_Toc421612367"/>
      <w:bookmarkStart w:id="312" w:name="_Toc37750246"/>
      <w:bookmarkStart w:id="313" w:name="_Toc137975639"/>
      <w:bookmarkStart w:id="314" w:name="_Toc120001989"/>
      <w:r>
        <w:rPr>
          <w:rStyle w:val="CharSectno"/>
        </w:rPr>
        <w:t>59</w:t>
      </w:r>
      <w:r>
        <w:rPr>
          <w:snapToGrid w:val="0"/>
        </w:rPr>
        <w:t>.</w:t>
      </w:r>
      <w:r>
        <w:rPr>
          <w:snapToGrid w:val="0"/>
        </w:rPr>
        <w:tab/>
        <w:t>Specific powers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15" w:name="_Toc89506079"/>
      <w:bookmarkStart w:id="316" w:name="_Toc89585375"/>
      <w:bookmarkStart w:id="317" w:name="_Toc92700058"/>
      <w:bookmarkStart w:id="318" w:name="_Toc96924430"/>
      <w:bookmarkStart w:id="319" w:name="_Toc102535214"/>
      <w:bookmarkStart w:id="320" w:name="_Toc102726370"/>
      <w:bookmarkStart w:id="321" w:name="_Toc102726437"/>
      <w:bookmarkStart w:id="322" w:name="_Toc112555292"/>
      <w:bookmarkStart w:id="323" w:name="_Toc112556639"/>
      <w:bookmarkStart w:id="324" w:name="_Toc115076976"/>
      <w:bookmarkStart w:id="325" w:name="_Toc118524988"/>
      <w:bookmarkStart w:id="326" w:name="_Toc118525369"/>
      <w:bookmarkStart w:id="327" w:name="_Toc120001990"/>
      <w:bookmarkStart w:id="328" w:name="_Toc137975640"/>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w:t>
      </w:r>
      <w:del w:id="329" w:author="svcMRProcess" w:date="2015-11-05T21:35:00Z">
        <w:r>
          <w:rPr>
            <w:snapToGrid w:val="0"/>
          </w:rPr>
          <w:delText xml:space="preserve">reprint </w:delText>
        </w:r>
      </w:del>
      <w:r>
        <w:rPr>
          <w:snapToGrid w:val="0"/>
        </w:rPr>
        <w:t>is a compilation</w:t>
      </w:r>
      <w:del w:id="330" w:author="svcMRProcess" w:date="2015-11-05T21:35:00Z">
        <w:r>
          <w:rPr>
            <w:snapToGrid w:val="0"/>
          </w:rPr>
          <w:delText xml:space="preserve"> as at 4 November 2005</w:delText>
        </w:r>
      </w:del>
      <w:r>
        <w:rPr>
          <w:snapToGrid w:val="0"/>
        </w:rPr>
        <w:t xml:space="preserve">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1" w:name="_Toc137975641"/>
      <w:bookmarkStart w:id="332" w:name="_Toc120001991"/>
      <w:r>
        <w:rPr>
          <w:snapToGrid w:val="0"/>
        </w:rPr>
        <w:t>Compilation table</w:t>
      </w:r>
      <w:bookmarkEnd w:id="331"/>
      <w:bookmarkEnd w:id="33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8"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8"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8"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33" w:name="_Hlt507390729"/>
      <w:bookmarkEnd w:id="333"/>
      <w:r>
        <w:t xml:space="preserve">s </w:t>
      </w:r>
      <w:del w:id="334" w:author="svcMRProcess" w:date="2015-11-05T21:35:00Z">
        <w:r>
          <w:delText>reprint</w:delText>
        </w:r>
      </w:del>
      <w:ins w:id="335" w:author="svcMRProcess" w:date="2015-11-05T21:35:00Z">
        <w:r>
          <w:t>compilation</w:t>
        </w:r>
      </w:ins>
      <w:r>
        <w:t xml:space="preserve"> was prepared, provisions referred to in the following table had not come into operation and were therefore not included in </w:t>
      </w:r>
      <w:del w:id="336" w:author="svcMRProcess" w:date="2015-11-05T21:35:00Z">
        <w:r>
          <w:delText>compiling the reprint.</w:delText>
        </w:r>
      </w:del>
      <w:ins w:id="337" w:author="svcMRProcess" w:date="2015-11-05T21:35:00Z">
        <w:r>
          <w:t>this compilation.</w:t>
        </w:r>
      </w:ins>
      <w:r>
        <w:t xml:space="preserve">  For the text of the provisions see the endnote referred to in the table.</w:t>
      </w:r>
    </w:p>
    <w:p>
      <w:pPr>
        <w:pStyle w:val="nHeading3"/>
        <w:rPr>
          <w:snapToGrid w:val="0"/>
        </w:rPr>
      </w:pPr>
      <w:bookmarkStart w:id="338" w:name="_Toc534778309"/>
      <w:bookmarkStart w:id="339" w:name="_Toc7405063"/>
      <w:bookmarkStart w:id="340" w:name="_Toc87418939"/>
      <w:bookmarkStart w:id="341" w:name="_Toc87419906"/>
      <w:bookmarkStart w:id="342" w:name="_Toc137975642"/>
      <w:bookmarkStart w:id="343" w:name="_Toc120001992"/>
      <w:r>
        <w:rPr>
          <w:snapToGrid w:val="0"/>
        </w:rPr>
        <w:t>Provisions that have not come into operation</w:t>
      </w:r>
      <w:bookmarkEnd w:id="338"/>
      <w:bookmarkEnd w:id="339"/>
      <w:bookmarkEnd w:id="340"/>
      <w:bookmarkEnd w:id="341"/>
      <w:bookmarkEnd w:id="342"/>
      <w:bookmarkEnd w:id="34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6"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6" w:space="0" w:color="auto"/>
            </w:tcBorders>
          </w:tcPr>
          <w:p>
            <w:pPr>
              <w:pStyle w:val="nTable"/>
              <w:spacing w:after="40"/>
              <w:rPr>
                <w:b/>
                <w:snapToGrid w:val="0"/>
                <w:sz w:val="19"/>
                <w:lang w:val="en-US"/>
              </w:rPr>
            </w:pPr>
            <w:r>
              <w:rPr>
                <w:b/>
                <w:snapToGrid w:val="0"/>
                <w:sz w:val="19"/>
                <w:lang w:val="en-US"/>
              </w:rPr>
              <w:t>Number and year</w:t>
            </w:r>
          </w:p>
        </w:tc>
        <w:tc>
          <w:tcPr>
            <w:tcW w:w="1276" w:type="dxa"/>
            <w:tcBorders>
              <w:bottom w:val="single" w:sz="6"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6"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6" w:space="0" w:color="auto"/>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6" w:space="0" w:color="auto"/>
              <w:bottom w:val="nil"/>
            </w:tcBorders>
          </w:tcPr>
          <w:p>
            <w:pPr>
              <w:pStyle w:val="nTable"/>
              <w:spacing w:after="40"/>
              <w:rPr>
                <w:snapToGrid w:val="0"/>
                <w:sz w:val="19"/>
                <w:lang w:val="en-US"/>
              </w:rPr>
            </w:pPr>
            <w:r>
              <w:rPr>
                <w:snapToGrid w:val="0"/>
                <w:sz w:val="19"/>
                <w:lang w:val="en-US"/>
              </w:rPr>
              <w:t>59 of 2004</w:t>
            </w:r>
          </w:p>
        </w:tc>
        <w:tc>
          <w:tcPr>
            <w:tcW w:w="1276" w:type="dxa"/>
            <w:tcBorders>
              <w:top w:val="single" w:sz="6" w:space="0" w:color="auto"/>
              <w:bottom w:val="nil"/>
            </w:tcBorders>
          </w:tcPr>
          <w:p>
            <w:pPr>
              <w:pStyle w:val="nTable"/>
              <w:spacing w:after="40"/>
            </w:pPr>
            <w:r>
              <w:rPr>
                <w:sz w:val="19"/>
              </w:rPr>
              <w:t>23 Nov 2004</w:t>
            </w:r>
          </w:p>
        </w:tc>
        <w:tc>
          <w:tcPr>
            <w:tcW w:w="2410" w:type="dxa"/>
            <w:tcBorders>
              <w:top w:val="single" w:sz="6" w:space="0" w:color="auto"/>
              <w:bottom w:val="nil"/>
            </w:tcBorders>
          </w:tcPr>
          <w:p>
            <w:pPr>
              <w:pStyle w:val="nTable"/>
              <w:spacing w:after="40"/>
              <w:rPr>
                <w:snapToGrid w:val="0"/>
                <w:sz w:val="19"/>
                <w:lang w:val="en-US"/>
              </w:rPr>
            </w:pPr>
            <w:r>
              <w:rPr>
                <w:snapToGrid w:val="0"/>
                <w:sz w:val="19"/>
                <w:lang w:val="en-US"/>
              </w:rPr>
              <w:t>To be proclaimed (see s. 2)</w:t>
            </w:r>
          </w:p>
        </w:tc>
      </w:tr>
      <w:tr>
        <w:trPr>
          <w:ins w:id="344" w:author="svcMRProcess" w:date="2015-11-05T21:35:00Z"/>
        </w:trPr>
        <w:tc>
          <w:tcPr>
            <w:tcW w:w="2268" w:type="dxa"/>
            <w:tcBorders>
              <w:top w:val="nil"/>
              <w:bottom w:val="single" w:sz="6" w:space="0" w:color="auto"/>
            </w:tcBorders>
          </w:tcPr>
          <w:p>
            <w:pPr>
              <w:pStyle w:val="nTable"/>
              <w:spacing w:after="40"/>
              <w:rPr>
                <w:ins w:id="345" w:author="svcMRProcess" w:date="2015-11-05T21:35:00Z"/>
                <w:i/>
                <w:snapToGrid w:val="0"/>
                <w:sz w:val="19"/>
                <w:lang w:val="en-US"/>
              </w:rPr>
            </w:pPr>
            <w:ins w:id="346" w:author="svcMRProcess" w:date="2015-11-05T21:35:00Z">
              <w:r>
                <w:rPr>
                  <w:i/>
                  <w:noProof/>
                  <w:snapToGrid w:val="0"/>
                  <w:sz w:val="19"/>
                  <w:lang w:val="en-US"/>
                </w:rPr>
                <w:t>Medical Radiation Technologists Act 2006</w:t>
              </w:r>
              <w:r>
                <w:rPr>
                  <w:i/>
                  <w:iCs/>
                  <w:noProof/>
                  <w:snapToGrid w:val="0"/>
                  <w:sz w:val="19"/>
                  <w:lang w:val="en-US"/>
                </w:rPr>
                <w:t xml:space="preserve"> </w:t>
              </w:r>
              <w:r>
                <w:rPr>
                  <w:noProof/>
                  <w:snapToGrid w:val="0"/>
                  <w:sz w:val="19"/>
                  <w:lang w:val="en-US"/>
                </w:rPr>
                <w:t xml:space="preserve">s. 105 </w:t>
              </w:r>
              <w:r>
                <w:rPr>
                  <w:noProof/>
                  <w:snapToGrid w:val="0"/>
                  <w:sz w:val="19"/>
                  <w:vertAlign w:val="superscript"/>
                  <w:lang w:val="en-US"/>
                </w:rPr>
                <w:t>7</w:t>
              </w:r>
            </w:ins>
          </w:p>
        </w:tc>
        <w:tc>
          <w:tcPr>
            <w:tcW w:w="1134" w:type="dxa"/>
            <w:tcBorders>
              <w:top w:val="nil"/>
              <w:bottom w:val="single" w:sz="6" w:space="0" w:color="auto"/>
            </w:tcBorders>
          </w:tcPr>
          <w:p>
            <w:pPr>
              <w:pStyle w:val="nTable"/>
              <w:spacing w:after="40"/>
              <w:rPr>
                <w:ins w:id="347" w:author="svcMRProcess" w:date="2015-11-05T21:35:00Z"/>
                <w:snapToGrid w:val="0"/>
                <w:sz w:val="19"/>
                <w:lang w:val="en-US"/>
              </w:rPr>
            </w:pPr>
            <w:ins w:id="348" w:author="svcMRProcess" w:date="2015-11-05T21:35:00Z">
              <w:r>
                <w:rPr>
                  <w:snapToGrid w:val="0"/>
                  <w:sz w:val="19"/>
                  <w:lang w:val="en-US"/>
                </w:rPr>
                <w:t>21 of 2006</w:t>
              </w:r>
            </w:ins>
          </w:p>
        </w:tc>
        <w:tc>
          <w:tcPr>
            <w:tcW w:w="1276" w:type="dxa"/>
            <w:tcBorders>
              <w:top w:val="nil"/>
              <w:bottom w:val="single" w:sz="6" w:space="0" w:color="auto"/>
            </w:tcBorders>
          </w:tcPr>
          <w:p>
            <w:pPr>
              <w:pStyle w:val="nTable"/>
              <w:spacing w:after="40"/>
              <w:rPr>
                <w:ins w:id="349" w:author="svcMRProcess" w:date="2015-11-05T21:35:00Z"/>
                <w:sz w:val="19"/>
              </w:rPr>
            </w:pPr>
            <w:ins w:id="350" w:author="svcMRProcess" w:date="2015-11-05T21:35:00Z">
              <w:r>
                <w:rPr>
                  <w:sz w:val="19"/>
                </w:rPr>
                <w:t>9 Jun 2006</w:t>
              </w:r>
            </w:ins>
          </w:p>
        </w:tc>
        <w:tc>
          <w:tcPr>
            <w:tcW w:w="2410" w:type="dxa"/>
            <w:tcBorders>
              <w:top w:val="nil"/>
              <w:bottom w:val="single" w:sz="6" w:space="0" w:color="auto"/>
            </w:tcBorders>
          </w:tcPr>
          <w:p>
            <w:pPr>
              <w:pStyle w:val="nTable"/>
              <w:spacing w:after="40"/>
              <w:rPr>
                <w:ins w:id="351" w:author="svcMRProcess" w:date="2015-11-05T21:35:00Z"/>
                <w:snapToGrid w:val="0"/>
                <w:sz w:val="19"/>
                <w:lang w:val="en-US"/>
              </w:rPr>
            </w:pPr>
            <w:ins w:id="352" w:author="svcMRProcess" w:date="2015-11-05T21:35:00Z">
              <w:r>
                <w:rPr>
                  <w:snapToGrid w:val="0"/>
                  <w:sz w:val="19"/>
                  <w:lang w:val="en-US"/>
                </w:rPr>
                <w:t>To be proclaimed (see s. 2)</w:t>
              </w:r>
            </w:ins>
          </w:p>
        </w:tc>
      </w:tr>
    </w:tbl>
    <w:p>
      <w:pPr>
        <w:pStyle w:val="nSubsection"/>
        <w:rPr>
          <w:i/>
          <w:iCs/>
        </w:rPr>
      </w:pPr>
      <w:bookmarkStart w:id="353" w:name="_Toc491766737"/>
      <w:bookmarkStart w:id="354" w:name="_Toc88630644"/>
      <w:bookmarkStart w:id="355" w:name="_Toc497185860"/>
      <w:bookmarkStart w:id="356" w:name="_Toc88630750"/>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del w:id="357" w:author="svcMRProcess" w:date="2015-11-05T21:35:00Z">
        <w:r>
          <w:rPr>
            <w:snapToGrid w:val="0"/>
          </w:rPr>
          <w:delText>reprint</w:delText>
        </w:r>
      </w:del>
      <w:ins w:id="358" w:author="svcMRProcess" w:date="2015-11-05T21:35:00Z">
        <w:r>
          <w:t>compilation</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59" w:name="_Toc448803174"/>
      <w:bookmarkStart w:id="360" w:name="_Toc491766624"/>
      <w:bookmarkStart w:id="361" w:name="_Toc88630544"/>
      <w:bookmarkEnd w:id="353"/>
      <w:bookmarkEnd w:id="354"/>
      <w:r>
        <w:rPr>
          <w:rStyle w:val="CharSectno"/>
        </w:rPr>
        <w:t>142</w:t>
      </w:r>
      <w:r>
        <w:t>.</w:t>
      </w:r>
      <w:r>
        <w:tab/>
        <w:t xml:space="preserve">Other amendments to various Acts </w:t>
      </w:r>
      <w:bookmarkEnd w:id="359"/>
      <w:bookmarkEnd w:id="360"/>
      <w:bookmarkEnd w:id="36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362" w:name="_Toc497185912"/>
      <w:bookmarkStart w:id="363" w:name="_Toc88630766"/>
      <w:r>
        <w:t>44.</w:t>
      </w:r>
      <w:r>
        <w:tab/>
      </w:r>
      <w:r>
        <w:rPr>
          <w:i/>
        </w:rPr>
        <w:t>Radiation Safety Act 1975</w:t>
      </w:r>
      <w:bookmarkEnd w:id="362"/>
      <w:bookmarkEnd w:id="36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355"/>
    <w:bookmarkEnd w:id="356"/>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Pr>
        <w:pStyle w:val="nSubsection"/>
        <w:rPr>
          <w:ins w:id="364" w:author="svcMRProcess" w:date="2015-11-05T21:35:00Z"/>
          <w:snapToGrid w:val="0"/>
        </w:rPr>
      </w:pPr>
      <w:ins w:id="365" w:author="svcMRProcess" w:date="2015-11-05T21:35:00Z">
        <w:r>
          <w:rPr>
            <w:vertAlign w:val="superscript"/>
          </w:rPr>
          <w:t>7</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ins>
    </w:p>
    <w:p>
      <w:pPr>
        <w:pStyle w:val="MiscOpen"/>
        <w:rPr>
          <w:ins w:id="366" w:author="svcMRProcess" w:date="2015-11-05T21:35:00Z"/>
          <w:snapToGrid w:val="0"/>
        </w:rPr>
      </w:pPr>
      <w:ins w:id="367" w:author="svcMRProcess" w:date="2015-11-05T21:35:00Z">
        <w:r>
          <w:rPr>
            <w:snapToGrid w:val="0"/>
          </w:rPr>
          <w:t>“</w:t>
        </w:r>
      </w:ins>
    </w:p>
    <w:p>
      <w:pPr>
        <w:pStyle w:val="nzHeading5"/>
        <w:spacing w:before="0"/>
        <w:rPr>
          <w:ins w:id="368" w:author="svcMRProcess" w:date="2015-11-05T21:35:00Z"/>
          <w:snapToGrid w:val="0"/>
        </w:rPr>
      </w:pPr>
      <w:ins w:id="369" w:author="svcMRProcess" w:date="2015-11-05T21:35:00Z">
        <w:r>
          <w:rPr>
            <w:rStyle w:val="CharSectno"/>
          </w:rPr>
          <w:t>105</w:t>
        </w:r>
        <w:r>
          <w:t>.</w:t>
        </w:r>
        <w:r>
          <w:tab/>
        </w:r>
        <w:r>
          <w:rPr>
            <w:snapToGrid w:val="0"/>
          </w:rPr>
          <w:t xml:space="preserve">Consequential amendments </w:t>
        </w:r>
      </w:ins>
    </w:p>
    <w:p>
      <w:pPr>
        <w:pStyle w:val="nzSubsection"/>
        <w:rPr>
          <w:ins w:id="370" w:author="svcMRProcess" w:date="2015-11-05T21:35:00Z"/>
          <w:snapToGrid w:val="0"/>
        </w:rPr>
      </w:pPr>
      <w:ins w:id="371" w:author="svcMRProcess" w:date="2015-11-05T21:35:00Z">
        <w:r>
          <w:rPr>
            <w:snapToGrid w:val="0"/>
          </w:rPr>
          <w:tab/>
        </w:r>
        <w:r>
          <w:rPr>
            <w:snapToGrid w:val="0"/>
          </w:rPr>
          <w:tab/>
          <w:t>Schedule 3 sets out consequential amendments.</w:t>
        </w:r>
      </w:ins>
    </w:p>
    <w:p>
      <w:pPr>
        <w:pStyle w:val="MiscClose"/>
        <w:rPr>
          <w:ins w:id="372" w:author="svcMRProcess" w:date="2015-11-05T21:35:00Z"/>
          <w:snapToGrid w:val="0"/>
        </w:rPr>
      </w:pPr>
      <w:ins w:id="373" w:author="svcMRProcess" w:date="2015-11-05T21:35:00Z">
        <w:r>
          <w:rPr>
            <w:snapToGrid w:val="0"/>
          </w:rPr>
          <w:t>”.</w:t>
        </w:r>
      </w:ins>
    </w:p>
    <w:p>
      <w:pPr>
        <w:pStyle w:val="nSubsection"/>
        <w:rPr>
          <w:ins w:id="374" w:author="svcMRProcess" w:date="2015-11-05T21:35:00Z"/>
        </w:rPr>
      </w:pPr>
      <w:ins w:id="375" w:author="svcMRProcess" w:date="2015-11-05T21:35:00Z">
        <w:r>
          <w:tab/>
          <w:t>Schedule 3 cl. 5 reads as follows:</w:t>
        </w:r>
      </w:ins>
    </w:p>
    <w:p>
      <w:pPr>
        <w:pStyle w:val="MiscOpen"/>
        <w:rPr>
          <w:ins w:id="376" w:author="svcMRProcess" w:date="2015-11-05T21:35:00Z"/>
        </w:rPr>
      </w:pPr>
      <w:ins w:id="377" w:author="svcMRProcess" w:date="2015-11-05T21:35:00Z">
        <w:r>
          <w:t>“</w:t>
        </w:r>
      </w:ins>
    </w:p>
    <w:p>
      <w:pPr>
        <w:pStyle w:val="nzHeading2"/>
        <w:rPr>
          <w:ins w:id="378" w:author="svcMRProcess" w:date="2015-11-05T21:35:00Z"/>
        </w:rPr>
      </w:pPr>
      <w:ins w:id="379" w:author="svcMRProcess" w:date="2015-11-05T21:35:00Z">
        <w:r>
          <w:rPr>
            <w:rStyle w:val="CharSchNo"/>
          </w:rPr>
          <w:t>Schedule 3</w:t>
        </w:r>
        <w:r>
          <w:rPr>
            <w:rStyle w:val="CharSDivNo"/>
          </w:rPr>
          <w:t> </w:t>
        </w:r>
        <w:r>
          <w:t>—</w:t>
        </w:r>
        <w:r>
          <w:rPr>
            <w:rStyle w:val="CharSDivText"/>
          </w:rPr>
          <w:t> </w:t>
        </w:r>
        <w:r>
          <w:rPr>
            <w:rStyle w:val="CharSchText"/>
          </w:rPr>
          <w:t>Consequential amendments</w:t>
        </w:r>
      </w:ins>
    </w:p>
    <w:p>
      <w:pPr>
        <w:pStyle w:val="nzMiscellaneousBody"/>
        <w:jc w:val="right"/>
        <w:rPr>
          <w:ins w:id="380" w:author="svcMRProcess" w:date="2015-11-05T21:35:00Z"/>
        </w:rPr>
      </w:pPr>
      <w:ins w:id="381" w:author="svcMRProcess" w:date="2015-11-05T21:35:00Z">
        <w:r>
          <w:t>[s. 105]</w:t>
        </w:r>
      </w:ins>
    </w:p>
    <w:p>
      <w:pPr>
        <w:pStyle w:val="nzHeading5"/>
        <w:rPr>
          <w:ins w:id="382" w:author="svcMRProcess" w:date="2015-11-05T21:35:00Z"/>
        </w:rPr>
      </w:pPr>
      <w:bookmarkStart w:id="383" w:name="_Toc111524439"/>
      <w:bookmarkStart w:id="384" w:name="_Toc136942077"/>
      <w:bookmarkStart w:id="385" w:name="_Toc137969383"/>
      <w:ins w:id="386" w:author="svcMRProcess" w:date="2015-11-05T21:35:00Z">
        <w:r>
          <w:rPr>
            <w:rStyle w:val="CharSClsNo"/>
          </w:rPr>
          <w:t>5</w:t>
        </w:r>
        <w:r>
          <w:t>.</w:t>
        </w:r>
        <w:r>
          <w:tab/>
        </w:r>
        <w:r>
          <w:rPr>
            <w:i/>
            <w:iCs/>
          </w:rPr>
          <w:t>Radiation Safety Act 1975</w:t>
        </w:r>
        <w:r>
          <w:t xml:space="preserve"> amended</w:t>
        </w:r>
        <w:bookmarkEnd w:id="383"/>
        <w:bookmarkEnd w:id="384"/>
        <w:bookmarkEnd w:id="385"/>
      </w:ins>
    </w:p>
    <w:p>
      <w:pPr>
        <w:pStyle w:val="nzSubsection"/>
        <w:rPr>
          <w:ins w:id="387" w:author="svcMRProcess" w:date="2015-11-05T21:35:00Z"/>
        </w:rPr>
      </w:pPr>
      <w:ins w:id="388" w:author="svcMRProcess" w:date="2015-11-05T21:35:00Z">
        <w:r>
          <w:tab/>
          <w:t>(1)</w:t>
        </w:r>
        <w:r>
          <w:tab/>
          <w:t xml:space="preserve">The amendments in this clause are to the </w:t>
        </w:r>
        <w:r>
          <w:rPr>
            <w:i/>
            <w:iCs/>
          </w:rPr>
          <w:t>Radiation Safety Act 1975</w:t>
        </w:r>
        <w:r>
          <w:t>.</w:t>
        </w:r>
      </w:ins>
    </w:p>
    <w:p>
      <w:pPr>
        <w:pStyle w:val="nzSubsection"/>
        <w:rPr>
          <w:ins w:id="389" w:author="svcMRProcess" w:date="2015-11-05T21:35:00Z"/>
        </w:rPr>
      </w:pPr>
      <w:ins w:id="390" w:author="svcMRProcess" w:date="2015-11-05T21:35:00Z">
        <w:r>
          <w:tab/>
          <w:t>(2)</w:t>
        </w:r>
        <w:r>
          <w:tab/>
          <w:t>Section 4(1) is amended as follows:</w:t>
        </w:r>
      </w:ins>
    </w:p>
    <w:p>
      <w:pPr>
        <w:pStyle w:val="nzIndenta"/>
        <w:rPr>
          <w:ins w:id="391" w:author="svcMRProcess" w:date="2015-11-05T21:35:00Z"/>
        </w:rPr>
      </w:pPr>
      <w:ins w:id="392" w:author="svcMRProcess" w:date="2015-11-05T21:35:00Z">
        <w:r>
          <w:tab/>
          <w:t>(a)</w:t>
        </w:r>
        <w:r>
          <w:tab/>
          <w:t xml:space="preserve">by inserting the following definition in the appropriate alphabetical position — </w:t>
        </w:r>
      </w:ins>
    </w:p>
    <w:p>
      <w:pPr>
        <w:pStyle w:val="MiscOpen"/>
        <w:tabs>
          <w:tab w:val="clear" w:pos="893"/>
        </w:tabs>
        <w:ind w:left="879" w:firstLine="255"/>
        <w:rPr>
          <w:ins w:id="393" w:author="svcMRProcess" w:date="2015-11-05T21:35:00Z"/>
        </w:rPr>
      </w:pPr>
      <w:ins w:id="394" w:author="svcMRProcess" w:date="2015-11-05T21:35:00Z">
        <w:r>
          <w:t xml:space="preserve">“    </w:t>
        </w:r>
      </w:ins>
    </w:p>
    <w:p>
      <w:pPr>
        <w:pStyle w:val="nzDefstart"/>
        <w:rPr>
          <w:ins w:id="395" w:author="svcMRProcess" w:date="2015-11-05T21:35:00Z"/>
        </w:rPr>
      </w:pPr>
      <w:ins w:id="396" w:author="svcMRProcess" w:date="2015-11-05T21:35:00Z">
        <w:r>
          <w:tab/>
        </w:r>
        <w:r>
          <w:rPr>
            <w:b/>
          </w:rPr>
          <w:t>“</w:t>
        </w:r>
        <w:r>
          <w:rPr>
            <w:rStyle w:val="CharDefText"/>
          </w:rPr>
          <w:t>medical radiation technologist</w:t>
        </w:r>
        <w:r>
          <w:rPr>
            <w:b/>
          </w:rPr>
          <w:t>”</w:t>
        </w:r>
        <w:r>
          <w:t xml:space="preserve"> has the meaning given to that term in section 3 of the </w:t>
        </w:r>
        <w:r>
          <w:rPr>
            <w:i/>
          </w:rPr>
          <w:t>Medical Radiation Technologists Act 2006</w:t>
        </w:r>
        <w:r>
          <w:t>;</w:t>
        </w:r>
      </w:ins>
    </w:p>
    <w:p>
      <w:pPr>
        <w:pStyle w:val="MiscClose"/>
        <w:ind w:right="138"/>
        <w:rPr>
          <w:ins w:id="397" w:author="svcMRProcess" w:date="2015-11-05T21:35:00Z"/>
        </w:rPr>
      </w:pPr>
      <w:ins w:id="398" w:author="svcMRProcess" w:date="2015-11-05T21:35:00Z">
        <w:r>
          <w:t xml:space="preserve">    ”;</w:t>
        </w:r>
      </w:ins>
    </w:p>
    <w:p>
      <w:pPr>
        <w:pStyle w:val="nzIndenta"/>
        <w:rPr>
          <w:ins w:id="399" w:author="svcMRProcess" w:date="2015-11-05T21:35:00Z"/>
        </w:rPr>
      </w:pPr>
      <w:ins w:id="400" w:author="svcMRProcess" w:date="2015-11-05T21:35:00Z">
        <w:r>
          <w:tab/>
          <w:t>(b)</w:t>
        </w:r>
        <w:r>
          <w:tab/>
          <w:t>by deleting the definition of “section”.</w:t>
        </w:r>
      </w:ins>
    </w:p>
    <w:p>
      <w:pPr>
        <w:pStyle w:val="nzSubsection"/>
        <w:rPr>
          <w:ins w:id="401" w:author="svcMRProcess" w:date="2015-11-05T21:35:00Z"/>
        </w:rPr>
      </w:pPr>
      <w:ins w:id="402" w:author="svcMRProcess" w:date="2015-11-05T21:35:00Z">
        <w:r>
          <w:tab/>
          <w:t>(3)</w:t>
        </w:r>
        <w:r>
          <w:tab/>
          <w:t>Section 4(2) is repealed.</w:t>
        </w:r>
      </w:ins>
    </w:p>
    <w:p>
      <w:pPr>
        <w:pStyle w:val="nzSubsection"/>
        <w:rPr>
          <w:ins w:id="403" w:author="svcMRProcess" w:date="2015-11-05T21:35:00Z"/>
        </w:rPr>
      </w:pPr>
      <w:ins w:id="404" w:author="svcMRProcess" w:date="2015-11-05T21:35:00Z">
        <w:r>
          <w:tab/>
          <w:t>(4)</w:t>
        </w:r>
        <w:r>
          <w:tab/>
          <w:t>Section 4 is amended by deleting the subsection designation “(1)”.</w:t>
        </w:r>
      </w:ins>
    </w:p>
    <w:p>
      <w:pPr>
        <w:pStyle w:val="nzSubsection"/>
        <w:rPr>
          <w:ins w:id="405" w:author="svcMRProcess" w:date="2015-11-05T21:35:00Z"/>
        </w:rPr>
      </w:pPr>
      <w:ins w:id="406" w:author="svcMRProcess" w:date="2015-11-05T21:35:00Z">
        <w:r>
          <w:tab/>
          <w:t>(5)</w:t>
        </w:r>
        <w:r>
          <w:tab/>
          <w:t>Section 5 is repealed.</w:t>
        </w:r>
      </w:ins>
    </w:p>
    <w:p>
      <w:pPr>
        <w:pStyle w:val="nzSubsection"/>
        <w:rPr>
          <w:ins w:id="407" w:author="svcMRProcess" w:date="2015-11-05T21:35:00Z"/>
        </w:rPr>
      </w:pPr>
      <w:ins w:id="408" w:author="svcMRProcess" w:date="2015-11-05T21:35:00Z">
        <w:r>
          <w:tab/>
          <w:t>(6)</w:t>
        </w:r>
        <w:r>
          <w:tab/>
          <w:t>Section 13(2) is amended as follows:</w:t>
        </w:r>
      </w:ins>
    </w:p>
    <w:p>
      <w:pPr>
        <w:pStyle w:val="nzIndenta"/>
        <w:rPr>
          <w:ins w:id="409" w:author="svcMRProcess" w:date="2015-11-05T21:35:00Z"/>
        </w:rPr>
      </w:pPr>
      <w:ins w:id="410" w:author="svcMRProcess" w:date="2015-11-05T21:35:00Z">
        <w:r>
          <w:tab/>
          <w:t>(a)</w:t>
        </w:r>
        <w:r>
          <w:tab/>
          <w:t>in paragraph (b) by deleting “5” and inserting instead —</w:t>
        </w:r>
      </w:ins>
    </w:p>
    <w:p>
      <w:pPr>
        <w:pStyle w:val="nzIndenta"/>
        <w:rPr>
          <w:ins w:id="411" w:author="svcMRProcess" w:date="2015-11-05T21:35:00Z"/>
        </w:rPr>
      </w:pPr>
      <w:ins w:id="412" w:author="svcMRProcess" w:date="2015-11-05T21:35:00Z">
        <w:r>
          <w:tab/>
        </w:r>
        <w:r>
          <w:tab/>
          <w:t xml:space="preserve">“    </w:t>
        </w:r>
        <w:r>
          <w:rPr>
            <w:sz w:val="24"/>
          </w:rPr>
          <w:t>6</w:t>
        </w:r>
        <w:r>
          <w:t xml:space="preserve">    ”;</w:t>
        </w:r>
      </w:ins>
    </w:p>
    <w:p>
      <w:pPr>
        <w:pStyle w:val="nzIndenta"/>
        <w:rPr>
          <w:ins w:id="413" w:author="svcMRProcess" w:date="2015-11-05T21:35:00Z"/>
        </w:rPr>
      </w:pPr>
      <w:ins w:id="414" w:author="svcMRProcess" w:date="2015-11-05T21:35:00Z">
        <w:r>
          <w:tab/>
          <w:t>(b)</w:t>
        </w:r>
        <w:r>
          <w:tab/>
          <w:t>in paragraph (b) by deleting “7” and inserting instead —</w:t>
        </w:r>
      </w:ins>
    </w:p>
    <w:p>
      <w:pPr>
        <w:pStyle w:val="nzIndenta"/>
        <w:rPr>
          <w:ins w:id="415" w:author="svcMRProcess" w:date="2015-11-05T21:35:00Z"/>
        </w:rPr>
      </w:pPr>
      <w:ins w:id="416" w:author="svcMRProcess" w:date="2015-11-05T21:35:00Z">
        <w:r>
          <w:tab/>
        </w:r>
        <w:r>
          <w:tab/>
          <w:t xml:space="preserve">“    </w:t>
        </w:r>
        <w:r>
          <w:rPr>
            <w:sz w:val="24"/>
          </w:rPr>
          <w:t>8</w:t>
        </w:r>
        <w:r>
          <w:t xml:space="preserve">    ”;</w:t>
        </w:r>
      </w:ins>
    </w:p>
    <w:p>
      <w:pPr>
        <w:pStyle w:val="nzIndenta"/>
        <w:rPr>
          <w:ins w:id="417" w:author="svcMRProcess" w:date="2015-11-05T21:35:00Z"/>
        </w:rPr>
      </w:pPr>
      <w:ins w:id="418" w:author="svcMRProcess" w:date="2015-11-05T21:35:00Z">
        <w:r>
          <w:tab/>
          <w:t>(c)</w:t>
        </w:r>
        <w:r>
          <w:tab/>
          <w:t>after paragraph (b)(v) by deleting “and”;</w:t>
        </w:r>
      </w:ins>
    </w:p>
    <w:p>
      <w:pPr>
        <w:pStyle w:val="nzIndenta"/>
        <w:rPr>
          <w:ins w:id="419" w:author="svcMRProcess" w:date="2015-11-05T21:35:00Z"/>
        </w:rPr>
      </w:pPr>
      <w:ins w:id="420" w:author="svcMRProcess" w:date="2015-11-05T21:35:00Z">
        <w:r>
          <w:tab/>
          <w:t>(d)</w:t>
        </w:r>
        <w:r>
          <w:tab/>
          <w:t>after paragraph (b)(vi) by deleting the full stop and inserting instead —</w:t>
        </w:r>
      </w:ins>
    </w:p>
    <w:p>
      <w:pPr>
        <w:pStyle w:val="MiscOpen"/>
        <w:tabs>
          <w:tab w:val="clear" w:pos="893"/>
        </w:tabs>
        <w:ind w:left="879" w:firstLine="1106"/>
        <w:rPr>
          <w:ins w:id="421" w:author="svcMRProcess" w:date="2015-11-05T21:35:00Z"/>
        </w:rPr>
      </w:pPr>
      <w:ins w:id="422" w:author="svcMRProcess" w:date="2015-11-05T21:35:00Z">
        <w:r>
          <w:t xml:space="preserve">“    </w:t>
        </w:r>
      </w:ins>
    </w:p>
    <w:p>
      <w:pPr>
        <w:pStyle w:val="nzIndenti"/>
        <w:rPr>
          <w:ins w:id="423" w:author="svcMRProcess" w:date="2015-11-05T21:35:00Z"/>
        </w:rPr>
      </w:pPr>
      <w:ins w:id="424" w:author="svcMRProcess" w:date="2015-11-05T21:35:00Z">
        <w:r>
          <w:tab/>
        </w:r>
        <w:r>
          <w:tab/>
          <w:t>; and</w:t>
        </w:r>
      </w:ins>
    </w:p>
    <w:p>
      <w:pPr>
        <w:pStyle w:val="nzIndenti"/>
        <w:rPr>
          <w:ins w:id="425" w:author="svcMRProcess" w:date="2015-11-05T21:35:00Z"/>
        </w:rPr>
      </w:pPr>
      <w:ins w:id="426" w:author="svcMRProcess" w:date="2015-11-05T21:35:00Z">
        <w:r>
          <w:tab/>
          <w:t>(vii)</w:t>
        </w:r>
        <w:r>
          <w:tab/>
          <w:t>one shall be a medical radiation technologist.</w:t>
        </w:r>
      </w:ins>
    </w:p>
    <w:p>
      <w:pPr>
        <w:pStyle w:val="MiscClose"/>
        <w:ind w:right="138"/>
        <w:rPr>
          <w:ins w:id="427" w:author="svcMRProcess" w:date="2015-11-05T21:35:00Z"/>
        </w:rPr>
      </w:pPr>
      <w:ins w:id="428" w:author="svcMRProcess" w:date="2015-11-05T21:35:00Z">
        <w:r>
          <w:t xml:space="preserve">    ”.</w:t>
        </w:r>
      </w:ins>
    </w:p>
    <w:p>
      <w:pPr>
        <w:pStyle w:val="nzSubsection"/>
        <w:rPr>
          <w:ins w:id="429" w:author="svcMRProcess" w:date="2015-11-05T21:35:00Z"/>
        </w:rPr>
      </w:pPr>
      <w:ins w:id="430" w:author="svcMRProcess" w:date="2015-11-05T21:35:00Z">
        <w:r>
          <w:tab/>
          <w:t>(7)</w:t>
        </w:r>
        <w:r>
          <w:tab/>
          <w:t xml:space="preserve">After section 24 the following section is inserted in Part II — </w:t>
        </w:r>
      </w:ins>
    </w:p>
    <w:p>
      <w:pPr>
        <w:pStyle w:val="MiscOpen"/>
        <w:tabs>
          <w:tab w:val="clear" w:pos="893"/>
        </w:tabs>
        <w:ind w:left="142"/>
        <w:rPr>
          <w:ins w:id="431" w:author="svcMRProcess" w:date="2015-11-05T21:35:00Z"/>
        </w:rPr>
      </w:pPr>
      <w:ins w:id="432" w:author="svcMRProcess" w:date="2015-11-05T21:35:00Z">
        <w:r>
          <w:t xml:space="preserve">“    </w:t>
        </w:r>
      </w:ins>
    </w:p>
    <w:p>
      <w:pPr>
        <w:pStyle w:val="nzHeading5"/>
        <w:rPr>
          <w:ins w:id="433" w:author="svcMRProcess" w:date="2015-11-05T21:35:00Z"/>
        </w:rPr>
      </w:pPr>
      <w:bookmarkStart w:id="434" w:name="_Toc136942078"/>
      <w:bookmarkStart w:id="435" w:name="_Toc137969384"/>
      <w:ins w:id="436" w:author="svcMRProcess" w:date="2015-11-05T21:35:00Z">
        <w:r>
          <w:t>24A.</w:t>
        </w:r>
        <w:r>
          <w:tab/>
          <w:t>Disclosure of information to the Medical Radiation Technologists Board of Western Australia</w:t>
        </w:r>
        <w:bookmarkEnd w:id="434"/>
        <w:bookmarkEnd w:id="435"/>
      </w:ins>
    </w:p>
    <w:p>
      <w:pPr>
        <w:pStyle w:val="nzSubsection"/>
        <w:rPr>
          <w:ins w:id="437" w:author="svcMRProcess" w:date="2015-11-05T21:35:00Z"/>
        </w:rPr>
      </w:pPr>
      <w:ins w:id="438" w:author="svcMRProcess" w:date="2015-11-05T21:35:00Z">
        <w:r>
          <w:tab/>
          <w:t>(1)</w:t>
        </w:r>
        <w:r>
          <w:tab/>
          <w:t xml:space="preserve">The Council shall furnish to the Board as defined in section 3 of the </w:t>
        </w:r>
        <w:r>
          <w:rPr>
            <w:i/>
          </w:rPr>
          <w:t>Medical Radiation Technologists Act 2006</w:t>
        </w:r>
        <w:r>
          <w:t xml:space="preserve"> written advice if — </w:t>
        </w:r>
      </w:ins>
    </w:p>
    <w:p>
      <w:pPr>
        <w:pStyle w:val="nzIndenta"/>
        <w:rPr>
          <w:ins w:id="439" w:author="svcMRProcess" w:date="2015-11-05T21:35:00Z"/>
        </w:rPr>
      </w:pPr>
      <w:ins w:id="440" w:author="svcMRProcess" w:date="2015-11-05T21:35:00Z">
        <w:r>
          <w:tab/>
          <w:t>(a)</w:t>
        </w:r>
        <w:r>
          <w:tab/>
          <w:t xml:space="preserve">a licence held by a medical radiation technologist under the </w:t>
        </w:r>
        <w:r>
          <w:rPr>
            <w:i/>
          </w:rPr>
          <w:t>Radiation Safety Act 1975</w:t>
        </w:r>
        <w:r>
          <w:t xml:space="preserve"> is revoked, surrendered, not renewed or its operation is suspended;</w:t>
        </w:r>
      </w:ins>
    </w:p>
    <w:p>
      <w:pPr>
        <w:pStyle w:val="nzIndenta"/>
        <w:rPr>
          <w:ins w:id="441" w:author="svcMRProcess" w:date="2015-11-05T21:35:00Z"/>
        </w:rPr>
      </w:pPr>
      <w:ins w:id="442" w:author="svcMRProcess" w:date="2015-11-05T21:35:00Z">
        <w:r>
          <w:tab/>
          <w:t>(b)</w:t>
        </w:r>
        <w:r>
          <w:tab/>
          <w:t>a condition, restriction or limitation in relation to such a licence is imposed or varied; or</w:t>
        </w:r>
      </w:ins>
    </w:p>
    <w:p>
      <w:pPr>
        <w:pStyle w:val="nzIndenta"/>
        <w:rPr>
          <w:ins w:id="443" w:author="svcMRProcess" w:date="2015-11-05T21:35:00Z"/>
        </w:rPr>
      </w:pPr>
      <w:ins w:id="444" w:author="svcMRProcess" w:date="2015-11-05T21:35:00Z">
        <w:r>
          <w:tab/>
          <w:t>(c)</w:t>
        </w:r>
        <w:r>
          <w:tab/>
          <w:t>proceedings are commenced against a medical radiation technologist for an offence under section 52.</w:t>
        </w:r>
      </w:ins>
    </w:p>
    <w:p>
      <w:pPr>
        <w:pStyle w:val="nzSubsection"/>
        <w:rPr>
          <w:ins w:id="445" w:author="svcMRProcess" w:date="2015-11-05T21:35:00Z"/>
        </w:rPr>
      </w:pPr>
      <w:ins w:id="446" w:author="svcMRProcess" w:date="2015-11-05T21:35:00Z">
        <w:r>
          <w:tab/>
          <w:t>(2)</w:t>
        </w:r>
        <w:r>
          <w:tab/>
          <w:t>The advice referred to in subsection (1) must be given no later than 30 days after the revocation, surrender, refusal to renew, suspension, imposition, variation or commencement of proceedings.</w:t>
        </w:r>
      </w:ins>
    </w:p>
    <w:p>
      <w:pPr>
        <w:pStyle w:val="MiscClose"/>
        <w:ind w:right="138"/>
        <w:rPr>
          <w:ins w:id="447" w:author="svcMRProcess" w:date="2015-11-05T21:35:00Z"/>
        </w:rPr>
      </w:pPr>
      <w:ins w:id="448" w:author="svcMRProcess" w:date="2015-11-05T21:35:00Z">
        <w:r>
          <w:t xml:space="preserve">    ”.</w:t>
        </w:r>
      </w:ins>
    </w:p>
    <w:p>
      <w:pPr>
        <w:pStyle w:val="nzSubsection"/>
        <w:rPr>
          <w:ins w:id="449" w:author="svcMRProcess" w:date="2015-11-05T21:35:00Z"/>
        </w:rPr>
      </w:pPr>
      <w:ins w:id="450" w:author="svcMRProcess" w:date="2015-11-05T21:35:00Z">
        <w:r>
          <w:tab/>
          <w:t>(8)</w:t>
        </w:r>
        <w:r>
          <w:tab/>
          <w:t>Section 27(2) is amended as follows:</w:t>
        </w:r>
      </w:ins>
    </w:p>
    <w:p>
      <w:pPr>
        <w:pStyle w:val="nzIndenta"/>
        <w:rPr>
          <w:ins w:id="451" w:author="svcMRProcess" w:date="2015-11-05T21:35:00Z"/>
        </w:rPr>
      </w:pPr>
      <w:ins w:id="452" w:author="svcMRProcess" w:date="2015-11-05T21:35:00Z">
        <w:r>
          <w:tab/>
          <w:t>(a)</w:t>
        </w:r>
        <w:r>
          <w:tab/>
          <w:t xml:space="preserve">in paragraph (b) by inserting before “he was lawfully” — </w:t>
        </w:r>
      </w:ins>
    </w:p>
    <w:p>
      <w:pPr>
        <w:pStyle w:val="MiscOpen"/>
        <w:tabs>
          <w:tab w:val="clear" w:pos="893"/>
        </w:tabs>
        <w:ind w:left="879" w:firstLine="964"/>
        <w:rPr>
          <w:ins w:id="453" w:author="svcMRProcess" w:date="2015-11-05T21:35:00Z"/>
        </w:rPr>
      </w:pPr>
      <w:ins w:id="454" w:author="svcMRProcess" w:date="2015-11-05T21:35:00Z">
        <w:r>
          <w:t xml:space="preserve">“    </w:t>
        </w:r>
      </w:ins>
    </w:p>
    <w:p>
      <w:pPr>
        <w:pStyle w:val="nzIndenta"/>
        <w:rPr>
          <w:ins w:id="455" w:author="svcMRProcess" w:date="2015-11-05T21:35:00Z"/>
        </w:rPr>
      </w:pPr>
      <w:ins w:id="456" w:author="svcMRProcess" w:date="2015-11-05T21:35:00Z">
        <w:r>
          <w:tab/>
        </w:r>
        <w:r>
          <w:tab/>
          <w:t xml:space="preserve">if the person is not practising in an area of medical radiation technology as defined in section 3 of the </w:t>
        </w:r>
        <w:r>
          <w:rPr>
            <w:i/>
          </w:rPr>
          <w:t>Medical Radiation Technologists Act 2006</w:t>
        </w:r>
        <w:r>
          <w:t>,</w:t>
        </w:r>
      </w:ins>
    </w:p>
    <w:p>
      <w:pPr>
        <w:pStyle w:val="MiscClose"/>
        <w:ind w:right="138"/>
        <w:rPr>
          <w:ins w:id="457" w:author="svcMRProcess" w:date="2015-11-05T21:35:00Z"/>
        </w:rPr>
      </w:pPr>
      <w:ins w:id="458" w:author="svcMRProcess" w:date="2015-11-05T21:35:00Z">
        <w:r>
          <w:t xml:space="preserve">    ”;</w:t>
        </w:r>
      </w:ins>
    </w:p>
    <w:p>
      <w:pPr>
        <w:pStyle w:val="nzIndenta"/>
        <w:rPr>
          <w:ins w:id="459" w:author="svcMRProcess" w:date="2015-11-05T21:35:00Z"/>
        </w:rPr>
      </w:pPr>
      <w:ins w:id="460" w:author="svcMRProcess" w:date="2015-11-05T21:35:00Z">
        <w:r>
          <w:tab/>
          <w:t>(b)</w:t>
        </w:r>
        <w:r>
          <w:tab/>
          <w:t>after paragraph (b) by deleting “or” and inserting —</w:t>
        </w:r>
      </w:ins>
    </w:p>
    <w:p>
      <w:pPr>
        <w:pStyle w:val="MiscOpen"/>
        <w:tabs>
          <w:tab w:val="clear" w:pos="893"/>
        </w:tabs>
        <w:ind w:left="879" w:firstLine="255"/>
        <w:rPr>
          <w:ins w:id="461" w:author="svcMRProcess" w:date="2015-11-05T21:35:00Z"/>
        </w:rPr>
      </w:pPr>
      <w:ins w:id="462" w:author="svcMRProcess" w:date="2015-11-05T21:35:00Z">
        <w:r>
          <w:t xml:space="preserve">“    </w:t>
        </w:r>
      </w:ins>
    </w:p>
    <w:p>
      <w:pPr>
        <w:pStyle w:val="nzIndenta"/>
        <w:rPr>
          <w:ins w:id="463" w:author="svcMRProcess" w:date="2015-11-05T21:35:00Z"/>
        </w:rPr>
      </w:pPr>
      <w:ins w:id="464" w:author="svcMRProcess" w:date="2015-11-05T21:35:00Z">
        <w:r>
          <w:tab/>
          <w:t>(ba)</w:t>
        </w:r>
        <w:r>
          <w:tab/>
          <w:t>he was —</w:t>
        </w:r>
      </w:ins>
    </w:p>
    <w:p>
      <w:pPr>
        <w:pStyle w:val="nzIndenti"/>
        <w:rPr>
          <w:ins w:id="465" w:author="svcMRProcess" w:date="2015-11-05T21:35:00Z"/>
        </w:rPr>
      </w:pPr>
      <w:ins w:id="466" w:author="svcMRProcess" w:date="2015-11-05T21:35:00Z">
        <w:r>
          <w:tab/>
          <w:t>(i)</w:t>
        </w:r>
        <w:r>
          <w:tab/>
          <w:t xml:space="preserve">a </w:t>
        </w:r>
        <w:r>
          <w:rPr>
            <w:snapToGrid w:val="0"/>
          </w:rPr>
          <w:t>medical radiation technologist</w:t>
        </w:r>
        <w:r>
          <w:t xml:space="preserve"> engaged in professional practice;</w:t>
        </w:r>
      </w:ins>
    </w:p>
    <w:p>
      <w:pPr>
        <w:pStyle w:val="nzIndenti"/>
        <w:rPr>
          <w:ins w:id="467" w:author="svcMRProcess" w:date="2015-11-05T21:35:00Z"/>
        </w:rPr>
      </w:pPr>
      <w:ins w:id="468" w:author="svcMRProcess" w:date="2015-11-05T21:35:00Z">
        <w:r>
          <w:tab/>
          <w:t>(ii)</w:t>
        </w:r>
        <w:r>
          <w:tab/>
          <w:t>the holder of a relevant licence under this Act authorising him so to do; and</w:t>
        </w:r>
      </w:ins>
    </w:p>
    <w:p>
      <w:pPr>
        <w:pStyle w:val="nzIndenti"/>
        <w:rPr>
          <w:ins w:id="469" w:author="svcMRProcess" w:date="2015-11-05T21:35:00Z"/>
        </w:rPr>
      </w:pPr>
      <w:ins w:id="470" w:author="svcMRProcess" w:date="2015-11-05T21:35:00Z">
        <w:r>
          <w:tab/>
          <w:t>(iii)</w:t>
        </w:r>
        <w:r>
          <w:tab/>
          <w:t>acting in accordance with a written request referred to in section 26(2) or (2a);</w:t>
        </w:r>
      </w:ins>
    </w:p>
    <w:p>
      <w:pPr>
        <w:pStyle w:val="nzIndenta"/>
        <w:rPr>
          <w:ins w:id="471" w:author="svcMRProcess" w:date="2015-11-05T21:35:00Z"/>
        </w:rPr>
      </w:pPr>
      <w:ins w:id="472" w:author="svcMRProcess" w:date="2015-11-05T21:35:00Z">
        <w:r>
          <w:tab/>
          <w:t>(bb)</w:t>
        </w:r>
        <w:r>
          <w:tab/>
          <w:t>he was —</w:t>
        </w:r>
      </w:ins>
    </w:p>
    <w:p>
      <w:pPr>
        <w:pStyle w:val="nzIndenti"/>
        <w:rPr>
          <w:ins w:id="473" w:author="svcMRProcess" w:date="2015-11-05T21:35:00Z"/>
        </w:rPr>
      </w:pPr>
      <w:ins w:id="474" w:author="svcMRProcess" w:date="2015-11-05T21:35:00Z">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ins>
    </w:p>
    <w:p>
      <w:pPr>
        <w:pStyle w:val="nzIndenti"/>
        <w:rPr>
          <w:ins w:id="475" w:author="svcMRProcess" w:date="2015-11-05T21:35:00Z"/>
        </w:rPr>
      </w:pPr>
      <w:ins w:id="476" w:author="svcMRProcess" w:date="2015-11-05T21:35:00Z">
        <w:r>
          <w:tab/>
          <w:t>(ii)</w:t>
        </w:r>
        <w:r>
          <w:tab/>
          <w:t>lawfully acting under the direction and supervision of a supervisor;</w:t>
        </w:r>
      </w:ins>
    </w:p>
    <w:p>
      <w:pPr>
        <w:pStyle w:val="nzIndenta"/>
        <w:rPr>
          <w:ins w:id="477" w:author="svcMRProcess" w:date="2015-11-05T21:35:00Z"/>
        </w:rPr>
      </w:pPr>
      <w:ins w:id="478" w:author="svcMRProcess" w:date="2015-11-05T21:35:00Z">
        <w:r>
          <w:tab/>
        </w:r>
        <w:r>
          <w:tab/>
          <w:t>or</w:t>
        </w:r>
      </w:ins>
    </w:p>
    <w:p>
      <w:pPr>
        <w:pStyle w:val="MiscClose"/>
        <w:ind w:right="138"/>
        <w:rPr>
          <w:ins w:id="479" w:author="svcMRProcess" w:date="2015-11-05T21:35:00Z"/>
        </w:rPr>
      </w:pPr>
      <w:ins w:id="480" w:author="svcMRProcess" w:date="2015-11-05T21:35:00Z">
        <w:r>
          <w:t xml:space="preserve">    ”.</w:t>
        </w:r>
      </w:ins>
    </w:p>
    <w:p>
      <w:pPr>
        <w:pStyle w:val="nzSubsection"/>
        <w:rPr>
          <w:ins w:id="481" w:author="svcMRProcess" w:date="2015-11-05T21:35:00Z"/>
        </w:rPr>
      </w:pPr>
      <w:ins w:id="482" w:author="svcMRProcess" w:date="2015-11-05T21:35:00Z">
        <w:r>
          <w:tab/>
          <w:t>(9)</w:t>
        </w:r>
        <w:r>
          <w:tab/>
          <w:t>Section 49 is amended as follows:</w:t>
        </w:r>
      </w:ins>
    </w:p>
    <w:p>
      <w:pPr>
        <w:pStyle w:val="nzIndenta"/>
        <w:rPr>
          <w:ins w:id="483" w:author="svcMRProcess" w:date="2015-11-05T21:35:00Z"/>
        </w:rPr>
      </w:pPr>
      <w:ins w:id="484" w:author="svcMRProcess" w:date="2015-11-05T21:35:00Z">
        <w:r>
          <w:tab/>
          <w:t>(a)</w:t>
        </w:r>
        <w:r>
          <w:tab/>
          <w:t>after paragraph (a) by deleting “or”;</w:t>
        </w:r>
      </w:ins>
    </w:p>
    <w:p>
      <w:pPr>
        <w:pStyle w:val="nzIndenta"/>
        <w:rPr>
          <w:ins w:id="485" w:author="svcMRProcess" w:date="2015-11-05T21:35:00Z"/>
        </w:rPr>
      </w:pPr>
      <w:ins w:id="486" w:author="svcMRProcess" w:date="2015-11-05T21:35:00Z">
        <w:r>
          <w:tab/>
          <w:t>(b)</w:t>
        </w:r>
        <w:r>
          <w:tab/>
          <w:t xml:space="preserve">after paragraph (a) by inserting the following paragraph — </w:t>
        </w:r>
      </w:ins>
    </w:p>
    <w:p>
      <w:pPr>
        <w:pStyle w:val="MiscOpen"/>
        <w:tabs>
          <w:tab w:val="clear" w:pos="893"/>
        </w:tabs>
        <w:ind w:left="879" w:firstLine="255"/>
        <w:rPr>
          <w:ins w:id="487" w:author="svcMRProcess" w:date="2015-11-05T21:35:00Z"/>
        </w:rPr>
      </w:pPr>
      <w:ins w:id="488" w:author="svcMRProcess" w:date="2015-11-05T21:35:00Z">
        <w:r>
          <w:t xml:space="preserve">“    </w:t>
        </w:r>
      </w:ins>
    </w:p>
    <w:p>
      <w:pPr>
        <w:pStyle w:val="nzIndenta"/>
        <w:rPr>
          <w:ins w:id="489" w:author="svcMRProcess" w:date="2015-11-05T21:35:00Z"/>
        </w:rPr>
      </w:pPr>
      <w:ins w:id="490" w:author="svcMRProcess" w:date="2015-11-05T21:35:00Z">
        <w:r>
          <w:tab/>
          <w:t>(aa)</w:t>
        </w:r>
        <w:r>
          <w:tab/>
          <w:t>under section 24A; or</w:t>
        </w:r>
      </w:ins>
    </w:p>
    <w:p>
      <w:pPr>
        <w:pStyle w:val="MiscClose"/>
        <w:ind w:right="138"/>
        <w:rPr>
          <w:ins w:id="491" w:author="svcMRProcess" w:date="2015-11-05T21:35:00Z"/>
        </w:rPr>
      </w:pPr>
      <w:ins w:id="492" w:author="svcMRProcess" w:date="2015-11-05T21:35:00Z">
        <w:r>
          <w:t xml:space="preserve">    ”.</w:t>
        </w:r>
      </w:ins>
    </w:p>
    <w:p>
      <w:pPr>
        <w:pStyle w:val="MiscClose"/>
        <w:rPr>
          <w:ins w:id="493" w:author="svcMRProcess" w:date="2015-11-05T21:35:00Z"/>
        </w:rPr>
      </w:pPr>
      <w:ins w:id="494" w:author="svcMRProcess" w:date="2015-11-05T21:35:00Z">
        <w:r>
          <w:t>”.</w:t>
        </w:r>
      </w:ins>
    </w:p>
    <w:p/>
    <w:p>
      <w:pPr>
        <w:sectPr>
          <w:headerReference w:type="even" r:id="rId22"/>
          <w:headerReference w:type="default" r:id="rId23"/>
          <w:pgSz w:w="11906" w:h="16838" w:code="9"/>
          <w:pgMar w:top="2376" w:right="2404" w:bottom="3544" w:left="2404" w:header="720" w:footer="3380" w:gutter="0"/>
          <w:cols w:space="720"/>
          <w:noEndnote/>
          <w:docGrid w:linePitch="326"/>
        </w:sectPr>
      </w:pPr>
      <w:bookmarkStart w:id="495" w:name="_Hlt63842594"/>
      <w:bookmarkEnd w:id="495"/>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13683</Words>
  <Characters>67050</Characters>
  <Application>Microsoft Office Word</Application>
  <DocSecurity>0</DocSecurity>
  <Lines>1719</Lines>
  <Paragraphs>791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02-a0-03 - 02-b0-02</dc:title>
  <dc:subject/>
  <dc:creator/>
  <cp:keywords/>
  <dc:description/>
  <cp:lastModifiedBy>svcMRProcess</cp:lastModifiedBy>
  <cp:revision>2</cp:revision>
  <cp:lastPrinted>2005-11-07T08:15:00Z</cp:lastPrinted>
  <dcterms:created xsi:type="dcterms:W3CDTF">2015-11-05T13:35:00Z</dcterms:created>
  <dcterms:modified xsi:type="dcterms:W3CDTF">2015-11-05T13:35:00Z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04 Nov 2005</vt:lpwstr>
  </property>
  <property fmtid="{D5CDD505-2E9C-101B-9397-08002B2CF9AE}" pid="9" name="ToSuffix">
    <vt:lpwstr>02-b0-02</vt:lpwstr>
  </property>
  <property fmtid="{D5CDD505-2E9C-101B-9397-08002B2CF9AE}" pid="10" name="ToAsAtDate">
    <vt:lpwstr>09 Jun 2006</vt:lpwstr>
  </property>
</Properties>
</file>