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Petroleum and Geothermal Energy Resources Regulations 1987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10 Feb 2010</w:t>
      </w:r>
      <w:r>
        <w:fldChar w:fldCharType="end"/>
      </w:r>
      <w:r>
        <w:t xml:space="preserve">, </w:t>
      </w:r>
      <w:r>
        <w:fldChar w:fldCharType="begin"/>
      </w:r>
      <w:r>
        <w:instrText xml:space="preserve"> DocProperty FromSuffix </w:instrText>
      </w:r>
      <w:r>
        <w:fldChar w:fldCharType="separate"/>
      </w:r>
      <w:r>
        <w:t>02-b0-02</w:t>
      </w:r>
      <w:r>
        <w:fldChar w:fldCharType="end"/>
      </w:r>
      <w:r>
        <w:t>] and [</w:t>
      </w:r>
      <w:r>
        <w:fldChar w:fldCharType="begin"/>
      </w:r>
      <w:r>
        <w:instrText xml:space="preserve"> DocProperty ToAsAtDate</w:instrText>
      </w:r>
      <w:r>
        <w:fldChar w:fldCharType="separate"/>
      </w:r>
      <w:r>
        <w:t>12 May 2010</w:t>
      </w:r>
      <w:r>
        <w:fldChar w:fldCharType="end"/>
      </w:r>
      <w:r>
        <w:t xml:space="preserve">, </w:t>
      </w:r>
      <w:r>
        <w:fldChar w:fldCharType="begin"/>
      </w:r>
      <w:r>
        <w:instrText xml:space="preserve"> DocProperty ToSuffix</w:instrText>
      </w:r>
      <w:r>
        <w:fldChar w:fldCharType="separate"/>
      </w:r>
      <w:r>
        <w:t>02-c0-03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spacing w:before="120" w:after="600"/>
        <w:rPr>
          <w:snapToGrid w:val="0"/>
        </w:rPr>
      </w:pPr>
      <w:r>
        <w:t>Petroleum and Geothermal Energy Resources Act 1967</w:t>
      </w:r>
    </w:p>
    <w:p>
      <w:pPr>
        <w:pStyle w:val="NameofActReg"/>
        <w:spacing w:before="600" w:after="840"/>
      </w:pPr>
      <w:r>
        <w:t>Petroleum</w:t>
      </w:r>
      <w:r>
        <w:rPr>
          <w:i/>
          <w:iCs/>
        </w:rPr>
        <w:t xml:space="preserve"> </w:t>
      </w:r>
      <w:r>
        <w:t>and Geothermal Energy Resources Regulations 1987</w:t>
      </w:r>
    </w:p>
    <w:p>
      <w:pPr>
        <w:pStyle w:val="Heading5"/>
        <w:rPr>
          <w:snapToGrid w:val="0"/>
        </w:rPr>
      </w:pPr>
      <w:bookmarkStart w:id="0" w:name="_Toc501858338"/>
      <w:bookmarkStart w:id="1" w:name="_Toc510946880"/>
      <w:bookmarkStart w:id="2" w:name="_Toc512934863"/>
      <w:bookmarkStart w:id="3" w:name="_Toc34197677"/>
      <w:bookmarkStart w:id="4" w:name="_Toc261269936"/>
      <w:bookmarkStart w:id="5" w:name="_Toc253405111"/>
      <w:r>
        <w:rPr>
          <w:rStyle w:val="CharSectno"/>
        </w:rPr>
        <w:t>1</w:t>
      </w:r>
      <w:bookmarkStart w:id="6" w:name="_GoBack"/>
      <w:bookmarkEnd w:id="6"/>
      <w:r>
        <w:rPr>
          <w:snapToGrid w:val="0"/>
        </w:rPr>
        <w:t>.</w:t>
      </w:r>
      <w:r>
        <w:rPr>
          <w:snapToGrid w:val="0"/>
        </w:rPr>
        <w:tab/>
        <w:t>Citation</w:t>
      </w:r>
      <w:bookmarkEnd w:id="0"/>
      <w:bookmarkEnd w:id="1"/>
      <w:bookmarkEnd w:id="2"/>
      <w:bookmarkEnd w:id="3"/>
      <w:bookmarkEnd w:id="4"/>
      <w:bookmarkEnd w:id="5"/>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 xml:space="preserve">Petroleum </w:t>
      </w:r>
      <w:r>
        <w:rPr>
          <w:i/>
          <w:iCs/>
        </w:rPr>
        <w:t>and Geothermal Energy Resources</w:t>
      </w:r>
      <w:r>
        <w:rPr>
          <w:i/>
          <w:snapToGrid w:val="0"/>
        </w:rPr>
        <w:t xml:space="preserve"> Regulations 1987 </w:t>
      </w:r>
      <w:r>
        <w:rPr>
          <w:snapToGrid w:val="0"/>
          <w:vertAlign w:val="superscript"/>
        </w:rPr>
        <w:t>1</w:t>
      </w:r>
      <w:r>
        <w:rPr>
          <w:snapToGrid w:val="0"/>
        </w:rPr>
        <w:t>.</w:t>
      </w:r>
    </w:p>
    <w:p>
      <w:pPr>
        <w:pStyle w:val="Footnotesection"/>
        <w:rPr>
          <w:i w:val="0"/>
        </w:rPr>
      </w:pPr>
      <w:r>
        <w:tab/>
        <w:t>[Regulation 1 amended in Gazette 23 Jun 2009 p. 2471.]</w:t>
      </w:r>
    </w:p>
    <w:p>
      <w:pPr>
        <w:pStyle w:val="Heading5"/>
      </w:pPr>
      <w:bookmarkStart w:id="7" w:name="_Toc501858339"/>
      <w:bookmarkStart w:id="8" w:name="_Toc510946881"/>
      <w:bookmarkStart w:id="9" w:name="_Toc512934864"/>
      <w:bookmarkStart w:id="10" w:name="_Toc34197678"/>
      <w:bookmarkStart w:id="11" w:name="_Toc261269937"/>
      <w:bookmarkStart w:id="12" w:name="_Toc253405112"/>
      <w:r>
        <w:rPr>
          <w:rStyle w:val="CharSectno"/>
        </w:rPr>
        <w:t>1A</w:t>
      </w:r>
      <w:r>
        <w:t>.</w:t>
      </w:r>
      <w:r>
        <w:tab/>
      </w:r>
      <w:bookmarkEnd w:id="7"/>
      <w:bookmarkEnd w:id="8"/>
      <w:bookmarkEnd w:id="9"/>
      <w:bookmarkEnd w:id="10"/>
      <w:r>
        <w:t>Terms used</w:t>
      </w:r>
      <w:bookmarkEnd w:id="11"/>
      <w:bookmarkEnd w:id="12"/>
    </w:p>
    <w:p>
      <w:pPr>
        <w:pStyle w:val="Subsection"/>
      </w:pPr>
      <w:r>
        <w:tab/>
      </w:r>
      <w:r>
        <w:tab/>
        <w:t xml:space="preserve">In these regulations — </w:t>
      </w:r>
    </w:p>
    <w:p>
      <w:pPr>
        <w:pStyle w:val="Defstart"/>
      </w:pPr>
      <w:r>
        <w:tab/>
      </w:r>
      <w:r>
        <w:rPr>
          <w:rStyle w:val="CharDefText"/>
        </w:rPr>
        <w:t>the AGD</w:t>
      </w:r>
      <w:r>
        <w:t xml:space="preserve"> means the Australian Geodetic Datum referred to in regulation 11;</w:t>
      </w:r>
    </w:p>
    <w:p>
      <w:pPr>
        <w:pStyle w:val="Defstart"/>
      </w:pPr>
      <w:r>
        <w:tab/>
      </w:r>
      <w:r>
        <w:rPr>
          <w:rStyle w:val="CharDefText"/>
        </w:rPr>
        <w:t>the GDA</w:t>
      </w:r>
      <w:r>
        <w:t xml:space="preserve"> means the Geocentric Datum of Australia referred to in regulation 9.</w:t>
      </w:r>
    </w:p>
    <w:p>
      <w:pPr>
        <w:pStyle w:val="Footnotesection"/>
      </w:pPr>
      <w:r>
        <w:tab/>
        <w:t>[Regulation 1A inserted in Gazette 15 Dec 2000 p. 7213.]</w:t>
      </w:r>
    </w:p>
    <w:p>
      <w:pPr>
        <w:pStyle w:val="Heading5"/>
        <w:rPr>
          <w:snapToGrid w:val="0"/>
        </w:rPr>
      </w:pPr>
      <w:bookmarkStart w:id="13" w:name="_Toc501858340"/>
      <w:bookmarkStart w:id="14" w:name="_Toc510946882"/>
      <w:bookmarkStart w:id="15" w:name="_Toc512934865"/>
      <w:bookmarkStart w:id="16" w:name="_Toc34197679"/>
      <w:bookmarkStart w:id="17" w:name="_Toc261269938"/>
      <w:bookmarkStart w:id="18" w:name="_Toc253405113"/>
      <w:r>
        <w:rPr>
          <w:rStyle w:val="CharSectno"/>
        </w:rPr>
        <w:t>2</w:t>
      </w:r>
      <w:r>
        <w:rPr>
          <w:snapToGrid w:val="0"/>
        </w:rPr>
        <w:t>.</w:t>
      </w:r>
      <w:r>
        <w:rPr>
          <w:snapToGrid w:val="0"/>
        </w:rPr>
        <w:tab/>
        <w:t>Compensation may be determined by Magistrates Court</w:t>
      </w:r>
      <w:bookmarkEnd w:id="13"/>
      <w:bookmarkEnd w:id="14"/>
      <w:bookmarkEnd w:id="15"/>
      <w:bookmarkEnd w:id="16"/>
      <w:bookmarkEnd w:id="17"/>
      <w:bookmarkEnd w:id="18"/>
    </w:p>
    <w:p>
      <w:pPr>
        <w:pStyle w:val="Subsection"/>
        <w:rPr>
          <w:snapToGrid w:val="0"/>
        </w:rPr>
      </w:pPr>
      <w:r>
        <w:rPr>
          <w:snapToGrid w:val="0"/>
        </w:rPr>
        <w:tab/>
      </w:r>
      <w:r>
        <w:rPr>
          <w:snapToGrid w:val="0"/>
        </w:rPr>
        <w:tab/>
        <w:t>The prescribed time for the purposes of section 17(4) of the Act is — </w:t>
      </w:r>
    </w:p>
    <w:p>
      <w:pPr>
        <w:pStyle w:val="Indenta"/>
        <w:rPr>
          <w:snapToGrid w:val="0"/>
        </w:rPr>
      </w:pPr>
      <w:r>
        <w:rPr>
          <w:snapToGrid w:val="0"/>
        </w:rPr>
        <w:tab/>
        <w:t>(a)</w:t>
      </w:r>
      <w:r>
        <w:rPr>
          <w:snapToGrid w:val="0"/>
        </w:rPr>
        <w:tab/>
        <w:t>under section 17, 3 months from the day that the permittee,</w:t>
      </w:r>
      <w:r>
        <w:t xml:space="preserve"> holder of the drilling reservation,</w:t>
      </w:r>
      <w:r>
        <w:rPr>
          <w:snapToGrid w:val="0"/>
        </w:rPr>
        <w:t xml:space="preserve"> lessee or licensee gives notice to the owner or occupier that the permittee,</w:t>
      </w:r>
      <w:r>
        <w:t xml:space="preserve"> holder of the drilling reservation,</w:t>
      </w:r>
      <w:r>
        <w:rPr>
          <w:snapToGrid w:val="0"/>
        </w:rPr>
        <w:t xml:space="preserve"> lessee or licensee intends to commence operations on the private land; and</w:t>
      </w:r>
    </w:p>
    <w:p>
      <w:pPr>
        <w:pStyle w:val="Indenta"/>
        <w:rPr>
          <w:snapToGrid w:val="0"/>
        </w:rPr>
      </w:pPr>
      <w:r>
        <w:rPr>
          <w:snapToGrid w:val="0"/>
        </w:rPr>
        <w:tab/>
        <w:t>(b)</w:t>
      </w:r>
      <w:r>
        <w:rPr>
          <w:snapToGrid w:val="0"/>
        </w:rPr>
        <w:tab/>
        <w:t>under section 18, 3 months from the day that the owner or occupier of the private land adjoining or in the vicinity of the land comprised in any permit,</w:t>
      </w:r>
      <w:r>
        <w:t xml:space="preserve"> drilling reservation,</w:t>
      </w:r>
      <w:r>
        <w:rPr>
          <w:snapToGrid w:val="0"/>
        </w:rPr>
        <w:t xml:space="preserve"> lease or licence affected by the operations gives notice to the permittee,</w:t>
      </w:r>
      <w:r>
        <w:t xml:space="preserve"> holder of the drilling reservation,</w:t>
      </w:r>
      <w:r>
        <w:rPr>
          <w:snapToGrid w:val="0"/>
        </w:rPr>
        <w:t xml:space="preserve"> lessee or licensee that the private land or improvements thereon has or have been injured or depreciated in value by the operations; and</w:t>
      </w:r>
    </w:p>
    <w:p>
      <w:pPr>
        <w:pStyle w:val="Indenta"/>
        <w:rPr>
          <w:snapToGrid w:val="0"/>
        </w:rPr>
      </w:pPr>
      <w:r>
        <w:rPr>
          <w:snapToGrid w:val="0"/>
        </w:rPr>
        <w:tab/>
        <w:t>(c)</w:t>
      </w:r>
      <w:r>
        <w:rPr>
          <w:snapToGrid w:val="0"/>
        </w:rPr>
        <w:tab/>
        <w:t>under section 19, 3 months from the day that the owner or occupier of the private land gives notice to the permittee,</w:t>
      </w:r>
      <w:r>
        <w:t xml:space="preserve"> holder of the drilling reservation,</w:t>
      </w:r>
      <w:r>
        <w:rPr>
          <w:snapToGrid w:val="0"/>
        </w:rPr>
        <w:t xml:space="preserve"> lessee or licensee that operations have caused further damage to the surface or to any improvements on the private land.</w:t>
      </w:r>
    </w:p>
    <w:p>
      <w:pPr>
        <w:pStyle w:val="Footnotesection"/>
      </w:pPr>
      <w:r>
        <w:tab/>
        <w:t>[Regulation 2 amended in Gazette 28 Sep 1990 p. 5100; 23 Jun 2009 p. 2471</w:t>
      </w:r>
      <w:r>
        <w:noBreakHyphen/>
        <w:t xml:space="preserve">2.] </w:t>
      </w:r>
    </w:p>
    <w:p>
      <w:pPr>
        <w:pStyle w:val="Heading5"/>
        <w:rPr>
          <w:snapToGrid w:val="0"/>
        </w:rPr>
      </w:pPr>
      <w:bookmarkStart w:id="19" w:name="_Toc501858341"/>
      <w:bookmarkStart w:id="20" w:name="_Toc510946883"/>
      <w:bookmarkStart w:id="21" w:name="_Toc512934866"/>
      <w:bookmarkStart w:id="22" w:name="_Toc34197680"/>
      <w:bookmarkStart w:id="23" w:name="_Toc261269939"/>
      <w:bookmarkStart w:id="24" w:name="_Toc253405114"/>
      <w:r>
        <w:rPr>
          <w:rStyle w:val="CharSectno"/>
        </w:rPr>
        <w:t>3</w:t>
      </w:r>
      <w:r>
        <w:rPr>
          <w:snapToGrid w:val="0"/>
        </w:rPr>
        <w:t>.</w:t>
      </w:r>
      <w:r>
        <w:rPr>
          <w:snapToGrid w:val="0"/>
        </w:rPr>
        <w:tab/>
        <w:t>Prescribed fees, rates and sums</w:t>
      </w:r>
      <w:bookmarkEnd w:id="19"/>
      <w:bookmarkEnd w:id="20"/>
      <w:bookmarkEnd w:id="21"/>
      <w:bookmarkEnd w:id="22"/>
      <w:bookmarkEnd w:id="23"/>
      <w:bookmarkEnd w:id="24"/>
      <w:r>
        <w:rPr>
          <w:snapToGrid w:val="0"/>
        </w:rPr>
        <w:t xml:space="preserve"> </w:t>
      </w:r>
    </w:p>
    <w:p>
      <w:pPr>
        <w:pStyle w:val="Subsection"/>
        <w:rPr>
          <w:snapToGrid w:val="0"/>
        </w:rPr>
      </w:pPr>
      <w:r>
        <w:rPr>
          <w:snapToGrid w:val="0"/>
        </w:rPr>
        <w:tab/>
        <w:t>(1)</w:t>
      </w:r>
      <w:r>
        <w:rPr>
          <w:snapToGrid w:val="0"/>
        </w:rPr>
        <w:tab/>
        <w:t>For the purposes of a provision of the Act specified in Column 2 of Schedule 1, the prescribed fee is the amount specified in Column 3 of that Schedule opposite to that provision.</w:t>
      </w:r>
    </w:p>
    <w:p>
      <w:pPr>
        <w:pStyle w:val="Subsection"/>
        <w:rPr>
          <w:snapToGrid w:val="0"/>
        </w:rPr>
      </w:pPr>
      <w:r>
        <w:rPr>
          <w:snapToGrid w:val="0"/>
        </w:rPr>
        <w:tab/>
        <w:t>(2)</w:t>
      </w:r>
      <w:r>
        <w:rPr>
          <w:snapToGrid w:val="0"/>
        </w:rPr>
        <w:tab/>
        <w:t>For the purposes of section 81(2) of the Act, the prescribed rate is a rate of $3.</w:t>
      </w:r>
      <w:del w:id="25" w:author="Master Repository Process" w:date="2021-09-11T16:43:00Z">
        <w:r>
          <w:rPr>
            <w:snapToGrid w:val="0"/>
          </w:rPr>
          <w:delText>00</w:delText>
        </w:r>
      </w:del>
      <w:ins w:id="26" w:author="Master Repository Process" w:date="2021-09-11T16:43:00Z">
        <w:r>
          <w:rPr>
            <w:snapToGrid w:val="0"/>
          </w:rPr>
          <w:t>50</w:t>
        </w:r>
      </w:ins>
      <w:r>
        <w:rPr>
          <w:snapToGrid w:val="0"/>
        </w:rPr>
        <w:t xml:space="preserve"> per page.</w:t>
      </w:r>
    </w:p>
    <w:p>
      <w:pPr>
        <w:pStyle w:val="Ednotesubsection"/>
      </w:pPr>
      <w:r>
        <w:tab/>
        <w:t>[(3)</w:t>
      </w:r>
      <w:r>
        <w:tab/>
        <w:t>deleted]</w:t>
      </w:r>
    </w:p>
    <w:p>
      <w:pPr>
        <w:pStyle w:val="Subsection"/>
        <w:rPr>
          <w:snapToGrid w:val="0"/>
        </w:rPr>
      </w:pPr>
      <w:r>
        <w:rPr>
          <w:snapToGrid w:val="0"/>
        </w:rPr>
        <w:tab/>
        <w:t>(4)</w:t>
      </w:r>
      <w:r>
        <w:rPr>
          <w:snapToGrid w:val="0"/>
        </w:rPr>
        <w:tab/>
        <w:t>For the purposes of section 112(1a)(b), (2)(b), (5)(c) and (5a)(b) of the Act, the prescribed fee is an amount equal to the sum of the following amounts — </w:t>
      </w:r>
    </w:p>
    <w:p>
      <w:pPr>
        <w:pStyle w:val="Indenta"/>
        <w:rPr>
          <w:snapToGrid w:val="0"/>
        </w:rPr>
      </w:pPr>
      <w:r>
        <w:rPr>
          <w:snapToGrid w:val="0"/>
        </w:rPr>
        <w:tab/>
        <w:t>(a)</w:t>
      </w:r>
      <w:r>
        <w:rPr>
          <w:snapToGrid w:val="0"/>
        </w:rPr>
        <w:tab/>
        <w:t>if the information requested is contained in a document and the document is lent to the person who made that request, an amount calculated at the rate of $</w:t>
      </w:r>
      <w:del w:id="27" w:author="Master Repository Process" w:date="2021-09-11T16:43:00Z">
        <w:r>
          <w:rPr>
            <w:snapToGrid w:val="0"/>
          </w:rPr>
          <w:delText>34</w:delText>
        </w:r>
      </w:del>
      <w:ins w:id="28" w:author="Master Repository Process" w:date="2021-09-11T16:43:00Z">
        <w:r>
          <w:rPr>
            <w:snapToGrid w:val="0"/>
          </w:rPr>
          <w:t>39</w:t>
        </w:r>
      </w:ins>
      <w:r>
        <w:rPr>
          <w:snapToGrid w:val="0"/>
        </w:rPr>
        <w:t>.00 per day or part of a day during which the document containing that information is on loan to that person;</w:t>
      </w:r>
    </w:p>
    <w:p>
      <w:pPr>
        <w:pStyle w:val="Indenta"/>
        <w:rPr>
          <w:snapToGrid w:val="0"/>
        </w:rPr>
      </w:pPr>
      <w:r>
        <w:rPr>
          <w:snapToGrid w:val="0"/>
        </w:rPr>
        <w:tab/>
        <w:t>(b)</w:t>
      </w:r>
      <w:r>
        <w:rPr>
          <w:snapToGrid w:val="0"/>
        </w:rPr>
        <w:tab/>
        <w:t>if the information requested is contained in a document and the document is not readily available and a search is necessary to locate that information, an amount calculated at the rate of $</w:t>
      </w:r>
      <w:del w:id="29" w:author="Master Repository Process" w:date="2021-09-11T16:43:00Z">
        <w:r>
          <w:rPr>
            <w:snapToGrid w:val="0"/>
          </w:rPr>
          <w:delText>34</w:delText>
        </w:r>
      </w:del>
      <w:ins w:id="30" w:author="Master Repository Process" w:date="2021-09-11T16:43:00Z">
        <w:r>
          <w:rPr>
            <w:snapToGrid w:val="0"/>
          </w:rPr>
          <w:t>39</w:t>
        </w:r>
      </w:ins>
      <w:r>
        <w:rPr>
          <w:snapToGrid w:val="0"/>
        </w:rPr>
        <w:t>.00 per hour or part of an hour after the first half hour for the time taken to locate that information;</w:t>
      </w:r>
    </w:p>
    <w:p>
      <w:pPr>
        <w:pStyle w:val="Indenta"/>
        <w:rPr>
          <w:snapToGrid w:val="0"/>
        </w:rPr>
      </w:pPr>
      <w:r>
        <w:rPr>
          <w:snapToGrid w:val="0"/>
        </w:rPr>
        <w:tab/>
        <w:t>(c)</w:t>
      </w:r>
      <w:r>
        <w:rPr>
          <w:snapToGrid w:val="0"/>
        </w:rPr>
        <w:tab/>
        <w:t>if any information referred to in paragraph (a) or (b) is, on the application of the person making the request concerned — </w:t>
      </w:r>
    </w:p>
    <w:p>
      <w:pPr>
        <w:pStyle w:val="Indenti"/>
        <w:rPr>
          <w:snapToGrid w:val="0"/>
        </w:rPr>
      </w:pPr>
      <w:r>
        <w:rPr>
          <w:snapToGrid w:val="0"/>
        </w:rPr>
        <w:tab/>
        <w:t>(i)</w:t>
      </w:r>
      <w:r>
        <w:rPr>
          <w:snapToGrid w:val="0"/>
        </w:rPr>
        <w:tab/>
        <w:t>copied or reproduced; or</w:t>
      </w:r>
    </w:p>
    <w:p>
      <w:pPr>
        <w:pStyle w:val="Indenti"/>
        <w:rPr>
          <w:snapToGrid w:val="0"/>
        </w:rPr>
      </w:pPr>
      <w:r>
        <w:rPr>
          <w:snapToGrid w:val="0"/>
        </w:rPr>
        <w:tab/>
        <w:t>(ii)</w:t>
      </w:r>
      <w:r>
        <w:rPr>
          <w:snapToGrid w:val="0"/>
        </w:rPr>
        <w:tab/>
        <w:t>forwarded or consigned to that person,</w:t>
      </w:r>
    </w:p>
    <w:p>
      <w:pPr>
        <w:pStyle w:val="Indenta"/>
        <w:rPr>
          <w:snapToGrid w:val="0"/>
        </w:rPr>
      </w:pPr>
      <w:r>
        <w:rPr>
          <w:snapToGrid w:val="0"/>
        </w:rPr>
        <w:tab/>
      </w:r>
      <w:r>
        <w:rPr>
          <w:snapToGrid w:val="0"/>
        </w:rPr>
        <w:tab/>
        <w:t>an amount equal to all costs incurred in that copying or reproduction or forwarding or consignment, including the costs of packaging when applicable.</w:t>
      </w:r>
    </w:p>
    <w:p>
      <w:pPr>
        <w:pStyle w:val="Subsection"/>
        <w:rPr>
          <w:snapToGrid w:val="0"/>
        </w:rPr>
      </w:pPr>
      <w:r>
        <w:rPr>
          <w:snapToGrid w:val="0"/>
        </w:rPr>
        <w:tab/>
        <w:t>(5)</w:t>
      </w:r>
      <w:r>
        <w:rPr>
          <w:snapToGrid w:val="0"/>
        </w:rPr>
        <w:tab/>
        <w:t>For the purposes of section 112(3)(b) and (5)(d) of the Act, the prescribed fee is an amount equal to the sum of the following amounts — </w:t>
      </w:r>
    </w:p>
    <w:p>
      <w:pPr>
        <w:pStyle w:val="Indenta"/>
        <w:rPr>
          <w:snapToGrid w:val="0"/>
        </w:rPr>
      </w:pPr>
      <w:r>
        <w:rPr>
          <w:snapToGrid w:val="0"/>
        </w:rPr>
        <w:tab/>
        <w:t>(a)</w:t>
      </w:r>
      <w:r>
        <w:rPr>
          <w:snapToGrid w:val="0"/>
        </w:rPr>
        <w:tab/>
        <w:t>if the relevant core, cutting or sample is lent to the person who made the request concerned, an amount calculated at the rate of $</w:t>
      </w:r>
      <w:del w:id="31" w:author="Master Repository Process" w:date="2021-09-11T16:43:00Z">
        <w:r>
          <w:rPr>
            <w:snapToGrid w:val="0"/>
          </w:rPr>
          <w:delText>34</w:delText>
        </w:r>
      </w:del>
      <w:ins w:id="32" w:author="Master Repository Process" w:date="2021-09-11T16:43:00Z">
        <w:r>
          <w:rPr>
            <w:snapToGrid w:val="0"/>
          </w:rPr>
          <w:t>39</w:t>
        </w:r>
      </w:ins>
      <w:r>
        <w:rPr>
          <w:snapToGrid w:val="0"/>
        </w:rPr>
        <w:t>.00 per day or part of a day during which that core, cutting or sample is on loan to that person;</w:t>
      </w:r>
    </w:p>
    <w:p>
      <w:pPr>
        <w:pStyle w:val="Indenta"/>
        <w:rPr>
          <w:snapToGrid w:val="0"/>
        </w:rPr>
      </w:pPr>
      <w:r>
        <w:rPr>
          <w:snapToGrid w:val="0"/>
        </w:rPr>
        <w:tab/>
        <w:t>(b)</w:t>
      </w:r>
      <w:r>
        <w:rPr>
          <w:snapToGrid w:val="0"/>
        </w:rPr>
        <w:tab/>
        <w:t>if the relevant core, cutting or sample is not readily available and a search is necessary to locate that core, cutting or sample, an amount calculated at the rate of $</w:t>
      </w:r>
      <w:del w:id="33" w:author="Master Repository Process" w:date="2021-09-11T16:43:00Z">
        <w:r>
          <w:rPr>
            <w:snapToGrid w:val="0"/>
          </w:rPr>
          <w:delText>34</w:delText>
        </w:r>
      </w:del>
      <w:ins w:id="34" w:author="Master Repository Process" w:date="2021-09-11T16:43:00Z">
        <w:r>
          <w:rPr>
            <w:snapToGrid w:val="0"/>
          </w:rPr>
          <w:t>39</w:t>
        </w:r>
      </w:ins>
      <w:r>
        <w:rPr>
          <w:snapToGrid w:val="0"/>
        </w:rPr>
        <w:t>.00 per hour or part of an hour after the first half hour for the time taken to locate that core, cutting or sample;</w:t>
      </w:r>
    </w:p>
    <w:p>
      <w:pPr>
        <w:pStyle w:val="Indenta"/>
        <w:rPr>
          <w:snapToGrid w:val="0"/>
        </w:rPr>
      </w:pPr>
      <w:r>
        <w:rPr>
          <w:snapToGrid w:val="0"/>
        </w:rPr>
        <w:tab/>
        <w:t>(c)</w:t>
      </w:r>
      <w:r>
        <w:rPr>
          <w:snapToGrid w:val="0"/>
        </w:rPr>
        <w:tab/>
        <w:t>if the relevant core, cutting or sample is, on the application of the person making the request concerned, forwarded or consigned to that person, an amount equal to all costs incurred in that forwarding or consignment, including the costs of packaging when applicable.</w:t>
      </w:r>
    </w:p>
    <w:p>
      <w:pPr>
        <w:pStyle w:val="Subsection"/>
        <w:rPr>
          <w:snapToGrid w:val="0"/>
        </w:rPr>
      </w:pPr>
      <w:r>
        <w:rPr>
          <w:snapToGrid w:val="0"/>
        </w:rPr>
        <w:tab/>
        <w:t>(6)</w:t>
      </w:r>
      <w:r>
        <w:rPr>
          <w:snapToGrid w:val="0"/>
        </w:rPr>
        <w:tab/>
        <w:t>For the purposes of section 137(b) of the Act, the prescribed rate is a rate of $</w:t>
      </w:r>
      <w:del w:id="35" w:author="Master Repository Process" w:date="2021-09-11T16:43:00Z">
        <w:r>
          <w:rPr>
            <w:snapToGrid w:val="0"/>
          </w:rPr>
          <w:delText>75</w:delText>
        </w:r>
      </w:del>
      <w:ins w:id="36" w:author="Master Repository Process" w:date="2021-09-11T16:43:00Z">
        <w:r>
          <w:rPr>
            <w:snapToGrid w:val="0"/>
          </w:rPr>
          <w:t>78</w:t>
        </w:r>
      </w:ins>
      <w:r>
        <w:rPr>
          <w:snapToGrid w:val="0"/>
        </w:rPr>
        <w:t>.00.</w:t>
      </w:r>
    </w:p>
    <w:p>
      <w:pPr>
        <w:pStyle w:val="Subsection"/>
        <w:rPr>
          <w:snapToGrid w:val="0"/>
        </w:rPr>
      </w:pPr>
      <w:r>
        <w:rPr>
          <w:snapToGrid w:val="0"/>
        </w:rPr>
        <w:tab/>
        <w:t>(7)</w:t>
      </w:r>
      <w:r>
        <w:rPr>
          <w:snapToGrid w:val="0"/>
        </w:rPr>
        <w:tab/>
        <w:t>For the purposes of section 137A of the Act, the prescribed rate is a rate of $</w:t>
      </w:r>
      <w:del w:id="37" w:author="Master Repository Process" w:date="2021-09-11T16:43:00Z">
        <w:r>
          <w:delText>8 961</w:delText>
        </w:r>
      </w:del>
      <w:ins w:id="38" w:author="Master Repository Process" w:date="2021-09-11T16:43:00Z">
        <w:r>
          <w:t>9 401</w:t>
        </w:r>
      </w:ins>
      <w:r>
        <w:t>.00.</w:t>
      </w:r>
    </w:p>
    <w:p>
      <w:pPr>
        <w:pStyle w:val="Subsection"/>
        <w:keepNext/>
        <w:keepLines/>
        <w:rPr>
          <w:snapToGrid w:val="0"/>
        </w:rPr>
      </w:pPr>
      <w:r>
        <w:rPr>
          <w:snapToGrid w:val="0"/>
        </w:rPr>
        <w:tab/>
        <w:t>(8)</w:t>
      </w:r>
      <w:r>
        <w:rPr>
          <w:snapToGrid w:val="0"/>
        </w:rPr>
        <w:tab/>
        <w:t>For the purposes of section 138 of the Act, the prescribed rate is a rate of</w:t>
      </w:r>
      <w:r>
        <w:t xml:space="preserve"> $</w:t>
      </w:r>
      <w:del w:id="39" w:author="Master Repository Process" w:date="2021-09-11T16:43:00Z">
        <w:r>
          <w:delText>25 800</w:delText>
        </w:r>
      </w:del>
      <w:ins w:id="40" w:author="Master Repository Process" w:date="2021-09-11T16:43:00Z">
        <w:r>
          <w:t>23 455</w:t>
        </w:r>
      </w:ins>
      <w:r>
        <w:t>.00.</w:t>
      </w:r>
    </w:p>
    <w:p>
      <w:pPr>
        <w:pStyle w:val="Footnotesection"/>
        <w:keepLines w:val="0"/>
      </w:pPr>
      <w:r>
        <w:tab/>
        <w:t>[Regulation 3 inserted in Gazette 28 Sep 1990 p. 5100</w:t>
      </w:r>
      <w:r>
        <w:noBreakHyphen/>
        <w:t>1; amended in Gazette 22 Jul 1994 p. 3780; 27 Jun 2000 p. 3252; 28 Jun 2002 p.  3090-1; 28 Feb 2003 p. 669-70; 23 Jun 2009 p. 2472; 9 Feb 2010 p. 271</w:t>
      </w:r>
      <w:ins w:id="41" w:author="Master Repository Process" w:date="2021-09-11T16:43:00Z">
        <w:r>
          <w:t>; 11 May 2010 p. 1817</w:t>
        </w:r>
      </w:ins>
      <w:r>
        <w:t xml:space="preserve">.] </w:t>
      </w:r>
    </w:p>
    <w:p>
      <w:pPr>
        <w:pStyle w:val="Ednotesection"/>
      </w:pPr>
      <w:r>
        <w:t>[</w:t>
      </w:r>
      <w:r>
        <w:rPr>
          <w:b/>
          <w:bCs/>
        </w:rPr>
        <w:t>3A.</w:t>
      </w:r>
      <w:r>
        <w:tab/>
        <w:t>Deleted in Gazette 23 Jun 2009 p. 2472.]</w:t>
      </w:r>
    </w:p>
    <w:p>
      <w:pPr>
        <w:pStyle w:val="Heading5"/>
        <w:rPr>
          <w:snapToGrid w:val="0"/>
        </w:rPr>
      </w:pPr>
      <w:bookmarkStart w:id="42" w:name="_Toc501858343"/>
      <w:bookmarkStart w:id="43" w:name="_Toc510946885"/>
      <w:bookmarkStart w:id="44" w:name="_Toc512934868"/>
      <w:bookmarkStart w:id="45" w:name="_Toc34197682"/>
      <w:bookmarkStart w:id="46" w:name="_Toc261269940"/>
      <w:bookmarkStart w:id="47" w:name="_Toc253405115"/>
      <w:r>
        <w:rPr>
          <w:rStyle w:val="CharSectno"/>
        </w:rPr>
        <w:t>4</w:t>
      </w:r>
      <w:r>
        <w:rPr>
          <w:snapToGrid w:val="0"/>
        </w:rPr>
        <w:t>.</w:t>
      </w:r>
      <w:r>
        <w:rPr>
          <w:snapToGrid w:val="0"/>
        </w:rPr>
        <w:tab/>
        <w:t>Form of instrument of transfer</w:t>
      </w:r>
      <w:bookmarkEnd w:id="42"/>
      <w:bookmarkEnd w:id="43"/>
      <w:bookmarkEnd w:id="44"/>
      <w:bookmarkEnd w:id="45"/>
      <w:bookmarkEnd w:id="46"/>
      <w:bookmarkEnd w:id="47"/>
      <w:r>
        <w:rPr>
          <w:snapToGrid w:val="0"/>
        </w:rPr>
        <w:t xml:space="preserve"> </w:t>
      </w:r>
    </w:p>
    <w:p>
      <w:pPr>
        <w:pStyle w:val="Subsection"/>
        <w:rPr>
          <w:snapToGrid w:val="0"/>
          <w:spacing w:val="-4"/>
        </w:rPr>
      </w:pPr>
      <w:r>
        <w:rPr>
          <w:snapToGrid w:val="0"/>
        </w:rPr>
        <w:tab/>
      </w:r>
      <w:r>
        <w:rPr>
          <w:snapToGrid w:val="0"/>
        </w:rPr>
        <w:tab/>
      </w:r>
      <w:r>
        <w:rPr>
          <w:snapToGrid w:val="0"/>
          <w:spacing w:val="-4"/>
        </w:rPr>
        <w:t>For the purposes of section 72(3)(a) of the Act, the prescribed form of an instrument of transfer is the form set out in Schedule 2.</w:t>
      </w:r>
    </w:p>
    <w:p>
      <w:pPr>
        <w:pStyle w:val="Footnotesection"/>
      </w:pPr>
      <w:r>
        <w:tab/>
        <w:t xml:space="preserve">[Regulation 4 inserted in Gazette 28 Sep 1990 p. 5101.] </w:t>
      </w:r>
    </w:p>
    <w:p>
      <w:pPr>
        <w:pStyle w:val="Heading5"/>
        <w:rPr>
          <w:snapToGrid w:val="0"/>
        </w:rPr>
      </w:pPr>
      <w:bookmarkStart w:id="48" w:name="_Toc501858344"/>
      <w:bookmarkStart w:id="49" w:name="_Toc510946886"/>
      <w:bookmarkStart w:id="50" w:name="_Toc512934869"/>
      <w:bookmarkStart w:id="51" w:name="_Toc34197683"/>
      <w:bookmarkStart w:id="52" w:name="_Toc261269941"/>
      <w:bookmarkStart w:id="53" w:name="_Toc253405116"/>
      <w:r>
        <w:rPr>
          <w:rStyle w:val="CharSectno"/>
        </w:rPr>
        <w:t>5</w:t>
      </w:r>
      <w:r>
        <w:rPr>
          <w:snapToGrid w:val="0"/>
        </w:rPr>
        <w:t>.</w:t>
      </w:r>
      <w:r>
        <w:rPr>
          <w:snapToGrid w:val="0"/>
        </w:rPr>
        <w:tab/>
        <w:t>Instrument under section 75(4)(b) of Act</w:t>
      </w:r>
      <w:bookmarkEnd w:id="48"/>
      <w:bookmarkEnd w:id="49"/>
      <w:bookmarkEnd w:id="50"/>
      <w:bookmarkEnd w:id="51"/>
      <w:bookmarkEnd w:id="52"/>
      <w:bookmarkEnd w:id="53"/>
      <w:r>
        <w:rPr>
          <w:snapToGrid w:val="0"/>
        </w:rPr>
        <w:t xml:space="preserve"> </w:t>
      </w:r>
    </w:p>
    <w:p>
      <w:pPr>
        <w:pStyle w:val="Subsection"/>
        <w:rPr>
          <w:snapToGrid w:val="0"/>
        </w:rPr>
      </w:pPr>
      <w:r>
        <w:rPr>
          <w:snapToGrid w:val="0"/>
        </w:rPr>
        <w:tab/>
        <w:t>(1)</w:t>
      </w:r>
      <w:r>
        <w:rPr>
          <w:snapToGrid w:val="0"/>
        </w:rPr>
        <w:tab/>
        <w:t>For the purposes of section 75(4)(b) of the Act, the following particulars are prescribed — </w:t>
      </w:r>
    </w:p>
    <w:p>
      <w:pPr>
        <w:pStyle w:val="Indenta"/>
        <w:rPr>
          <w:snapToGrid w:val="0"/>
        </w:rPr>
      </w:pPr>
      <w:r>
        <w:rPr>
          <w:snapToGrid w:val="0"/>
        </w:rPr>
        <w:tab/>
        <w:t>(a)</w:t>
      </w:r>
      <w:r>
        <w:rPr>
          <w:snapToGrid w:val="0"/>
          <w:spacing w:val="-4"/>
        </w:rPr>
        <w:tab/>
        <w:t xml:space="preserve">description and date of execution of the instrument evidencing the dealing referred to in section 75(4)(a) of the Act (in this subregulation referred to as </w:t>
      </w:r>
      <w:r>
        <w:rPr>
          <w:rStyle w:val="CharDefText"/>
        </w:rPr>
        <w:t>the dealing</w:t>
      </w:r>
      <w:r>
        <w:rPr>
          <w:snapToGrid w:val="0"/>
          <w:spacing w:val="-4"/>
        </w:rPr>
        <w:t>);</w:t>
      </w:r>
    </w:p>
    <w:p>
      <w:pPr>
        <w:pStyle w:val="Indenta"/>
        <w:rPr>
          <w:snapToGrid w:val="0"/>
        </w:rPr>
      </w:pPr>
      <w:r>
        <w:rPr>
          <w:snapToGrid w:val="0"/>
        </w:rPr>
        <w:tab/>
        <w:t>(b)</w:t>
      </w:r>
      <w:r>
        <w:rPr>
          <w:snapToGrid w:val="0"/>
        </w:rPr>
        <w:tab/>
        <w:t>details of the title (including the type and number of the title) to which the dealing relates;</w:t>
      </w:r>
    </w:p>
    <w:p>
      <w:pPr>
        <w:pStyle w:val="Indenta"/>
        <w:rPr>
          <w:snapToGrid w:val="0"/>
        </w:rPr>
      </w:pPr>
      <w:r>
        <w:rPr>
          <w:snapToGrid w:val="0"/>
        </w:rPr>
        <w:tab/>
        <w:t>(c)</w:t>
      </w:r>
      <w:r>
        <w:rPr>
          <w:snapToGrid w:val="0"/>
        </w:rPr>
        <w:tab/>
        <w:t>full name and business address of each party to the dealing;</w:t>
      </w:r>
    </w:p>
    <w:p>
      <w:pPr>
        <w:pStyle w:val="Indenta"/>
        <w:rPr>
          <w:snapToGrid w:val="0"/>
        </w:rPr>
      </w:pPr>
      <w:r>
        <w:rPr>
          <w:snapToGrid w:val="0"/>
        </w:rPr>
        <w:tab/>
        <w:t>(d)</w:t>
      </w:r>
      <w:r>
        <w:rPr>
          <w:snapToGrid w:val="0"/>
        </w:rPr>
        <w:tab/>
        <w:t>details of the effect or effects, on registration, of the dealing specified in the relevant paragraph or paragraphs of section 75(1) of the Act;</w:t>
      </w:r>
    </w:p>
    <w:p>
      <w:pPr>
        <w:pStyle w:val="Indenta"/>
        <w:rPr>
          <w:snapToGrid w:val="0"/>
        </w:rPr>
      </w:pPr>
      <w:r>
        <w:rPr>
          <w:snapToGrid w:val="0"/>
        </w:rPr>
        <w:tab/>
        <w:t>(e)</w:t>
      </w:r>
      <w:r>
        <w:rPr>
          <w:snapToGrid w:val="0"/>
        </w:rPr>
        <w:tab/>
        <w:t>details of the interest or interests in the title of all parties to the dealing — </w:t>
      </w:r>
    </w:p>
    <w:p>
      <w:pPr>
        <w:pStyle w:val="Indenti"/>
        <w:rPr>
          <w:snapToGrid w:val="0"/>
        </w:rPr>
      </w:pPr>
      <w:r>
        <w:rPr>
          <w:snapToGrid w:val="0"/>
        </w:rPr>
        <w:tab/>
        <w:t>(i)</w:t>
      </w:r>
      <w:r>
        <w:rPr>
          <w:snapToGrid w:val="0"/>
        </w:rPr>
        <w:tab/>
        <w:t>before the registration of the dealing; and</w:t>
      </w:r>
    </w:p>
    <w:p>
      <w:pPr>
        <w:pStyle w:val="Indenti"/>
        <w:rPr>
          <w:snapToGrid w:val="0"/>
        </w:rPr>
      </w:pPr>
      <w:r>
        <w:rPr>
          <w:snapToGrid w:val="0"/>
        </w:rPr>
        <w:tab/>
        <w:t>(ii)</w:t>
      </w:r>
      <w:r>
        <w:rPr>
          <w:snapToGrid w:val="0"/>
        </w:rPr>
        <w:tab/>
        <w:t>in the event of approval of the dealing, after the registration of the dealing;</w:t>
      </w:r>
    </w:p>
    <w:p>
      <w:pPr>
        <w:pStyle w:val="Indenta"/>
        <w:rPr>
          <w:snapToGrid w:val="0"/>
        </w:rPr>
      </w:pPr>
      <w:r>
        <w:rPr>
          <w:snapToGrid w:val="0"/>
        </w:rPr>
        <w:tab/>
        <w:t>(f)</w:t>
      </w:r>
      <w:r>
        <w:rPr>
          <w:snapToGrid w:val="0"/>
        </w:rPr>
        <w:tab/>
        <w:t xml:space="preserve">in the case of a dealing to which section 4(5)(a) of the </w:t>
      </w:r>
      <w:r>
        <w:rPr>
          <w:i/>
          <w:snapToGrid w:val="0"/>
        </w:rPr>
        <w:t>Petroleum</w:t>
      </w:r>
      <w:r>
        <w:rPr>
          <w:i/>
          <w:iCs/>
        </w:rPr>
        <w:t xml:space="preserve"> and Geothermal Energy Resources</w:t>
      </w:r>
      <w:r>
        <w:rPr>
          <w:i/>
          <w:snapToGrid w:val="0"/>
        </w:rPr>
        <w:t xml:space="preserve"> (Registration Fees) Act 1967</w:t>
      </w:r>
      <w:r>
        <w:rPr>
          <w:snapToGrid w:val="0"/>
        </w:rPr>
        <w:t xml:space="preserve"> applies, the value of the consideration;</w:t>
      </w:r>
    </w:p>
    <w:p>
      <w:pPr>
        <w:pStyle w:val="Indenta"/>
        <w:rPr>
          <w:snapToGrid w:val="0"/>
        </w:rPr>
      </w:pPr>
      <w:r>
        <w:rPr>
          <w:snapToGrid w:val="0"/>
        </w:rPr>
        <w:tab/>
        <w:t>(g)</w:t>
      </w:r>
      <w:r>
        <w:rPr>
          <w:snapToGrid w:val="0"/>
        </w:rPr>
        <w:tab/>
        <w:t xml:space="preserve">in the case of a dealing relating to an interest in a licence to which section 4(5)(b) of the </w:t>
      </w:r>
      <w:r>
        <w:rPr>
          <w:i/>
          <w:snapToGrid w:val="0"/>
        </w:rPr>
        <w:t>Petroleum</w:t>
      </w:r>
      <w:r>
        <w:rPr>
          <w:i/>
          <w:iCs/>
        </w:rPr>
        <w:t xml:space="preserve"> and Geothermal Energy Resources</w:t>
      </w:r>
      <w:r>
        <w:rPr>
          <w:i/>
          <w:snapToGrid w:val="0"/>
        </w:rPr>
        <w:t xml:space="preserve"> (Registration Fees) Act 1967</w:t>
      </w:r>
      <w:r>
        <w:rPr>
          <w:snapToGrid w:val="0"/>
        </w:rPr>
        <w:t xml:space="preserve"> applies, the value of the interest;</w:t>
      </w:r>
    </w:p>
    <w:p>
      <w:pPr>
        <w:pStyle w:val="Indenta"/>
        <w:rPr>
          <w:snapToGrid w:val="0"/>
        </w:rPr>
      </w:pPr>
      <w:r>
        <w:rPr>
          <w:snapToGrid w:val="0"/>
        </w:rPr>
        <w:tab/>
        <w:t>(h)</w:t>
      </w:r>
      <w:r>
        <w:rPr>
          <w:snapToGrid w:val="0"/>
        </w:rPr>
        <w:tab/>
        <w:t xml:space="preserve">whether or not the parties to the dealing have made or propose to make an application for the purposes of section 4(7) of the </w:t>
      </w:r>
      <w:r>
        <w:rPr>
          <w:i/>
          <w:snapToGrid w:val="0"/>
        </w:rPr>
        <w:t xml:space="preserve">Petroleum </w:t>
      </w:r>
      <w:r>
        <w:rPr>
          <w:i/>
          <w:iCs/>
        </w:rPr>
        <w:t>and Geothermal Energy Resources</w:t>
      </w:r>
      <w:r>
        <w:rPr>
          <w:i/>
          <w:snapToGrid w:val="0"/>
        </w:rPr>
        <w:t xml:space="preserve"> (Registration Fees) Act 1967</w:t>
      </w:r>
      <w:r>
        <w:rPr>
          <w:snapToGrid w:val="0"/>
        </w:rPr>
        <w:t>;</w:t>
      </w:r>
    </w:p>
    <w:p>
      <w:pPr>
        <w:pStyle w:val="Indenta"/>
        <w:rPr>
          <w:snapToGrid w:val="0"/>
        </w:rPr>
      </w:pPr>
      <w:r>
        <w:rPr>
          <w:snapToGrid w:val="0"/>
        </w:rPr>
        <w:tab/>
        <w:t>(j)</w:t>
      </w:r>
      <w:r>
        <w:rPr>
          <w:snapToGrid w:val="0"/>
        </w:rPr>
        <w:tab/>
        <w:t xml:space="preserve">in respect of any related dealing in relation to which an entry has been made in the Register or an application in writing for approval by the Minister has been lodged (whether before or after the day fixed under section 2(1) of the </w:t>
      </w:r>
      <w:r>
        <w:rPr>
          <w:i/>
          <w:snapToGrid w:val="0"/>
        </w:rPr>
        <w:t>Acts Amendment (Petroleum) Act 1990</w:t>
      </w:r>
      <w:r>
        <w:rPr>
          <w:snapToGrid w:val="0"/>
          <w:vertAlign w:val="superscript"/>
        </w:rPr>
        <w:t> 2</w:t>
      </w:r>
      <w:r>
        <w:rPr>
          <w:snapToGrid w:val="0"/>
        </w:rPr>
        <w:t>) — </w:t>
      </w:r>
    </w:p>
    <w:p>
      <w:pPr>
        <w:pStyle w:val="Indenti"/>
        <w:rPr>
          <w:snapToGrid w:val="0"/>
        </w:rPr>
      </w:pPr>
      <w:r>
        <w:rPr>
          <w:snapToGrid w:val="0"/>
        </w:rPr>
        <w:tab/>
        <w:t>(i)</w:t>
      </w:r>
      <w:r>
        <w:rPr>
          <w:snapToGrid w:val="0"/>
        </w:rPr>
        <w:tab/>
        <w:t>description and date of execution of the instrument evidencing the dealing;</w:t>
      </w:r>
    </w:p>
    <w:p>
      <w:pPr>
        <w:pStyle w:val="Indenti"/>
        <w:rPr>
          <w:snapToGrid w:val="0"/>
        </w:rPr>
      </w:pPr>
      <w:r>
        <w:rPr>
          <w:snapToGrid w:val="0"/>
        </w:rPr>
        <w:tab/>
        <w:t>(ii)</w:t>
      </w:r>
      <w:r>
        <w:rPr>
          <w:snapToGrid w:val="0"/>
        </w:rPr>
        <w:tab/>
        <w:t>date of approval by the Minister (if appropriate); and</w:t>
      </w:r>
    </w:p>
    <w:p>
      <w:pPr>
        <w:pStyle w:val="Indenti"/>
        <w:rPr>
          <w:snapToGrid w:val="0"/>
        </w:rPr>
      </w:pPr>
      <w:r>
        <w:rPr>
          <w:snapToGrid w:val="0"/>
        </w:rPr>
        <w:tab/>
        <w:t>(iii)</w:t>
      </w:r>
      <w:r>
        <w:rPr>
          <w:snapToGrid w:val="0"/>
        </w:rPr>
        <w:tab/>
        <w:t>registration number (if any).</w:t>
      </w:r>
    </w:p>
    <w:p>
      <w:pPr>
        <w:pStyle w:val="Subsection"/>
        <w:keepNext/>
        <w:keepLines/>
        <w:spacing w:before="120"/>
        <w:rPr>
          <w:snapToGrid w:val="0"/>
        </w:rPr>
      </w:pPr>
      <w:r>
        <w:rPr>
          <w:snapToGrid w:val="0"/>
        </w:rPr>
        <w:tab/>
        <w:t>(2)</w:t>
      </w:r>
      <w:r>
        <w:rPr>
          <w:snapToGrid w:val="0"/>
        </w:rPr>
        <w:tab/>
        <w:t>In subregulation (1) — </w:t>
      </w:r>
    </w:p>
    <w:p>
      <w:pPr>
        <w:pStyle w:val="Defstart"/>
      </w:pPr>
      <w:r>
        <w:rPr>
          <w:b/>
        </w:rPr>
        <w:tab/>
      </w:r>
      <w:r>
        <w:rPr>
          <w:rStyle w:val="CharDefText"/>
        </w:rPr>
        <w:t>related dealing</w:t>
      </w:r>
      <w:r>
        <w:t xml:space="preserve"> means any dealing executed, before the execution of the instrument evidencing the dealing referred to in subregulation (1)(a), by some or all of the parties to that instrument — </w:t>
      </w:r>
    </w:p>
    <w:p>
      <w:pPr>
        <w:pStyle w:val="Defpara"/>
      </w:pPr>
      <w:r>
        <w:tab/>
        <w:t>(a)</w:t>
      </w:r>
      <w:r>
        <w:tab/>
        <w:t>that affects the title which is the subject of the dealing to which the instrument referred to in subregulation (1)(a) relates; and</w:t>
      </w:r>
    </w:p>
    <w:p>
      <w:pPr>
        <w:pStyle w:val="Defpara"/>
      </w:pPr>
      <w:r>
        <w:tab/>
        <w:t>(b)</w:t>
      </w:r>
      <w:r>
        <w:tab/>
        <w:t>that — </w:t>
      </w:r>
    </w:p>
    <w:p>
      <w:pPr>
        <w:pStyle w:val="Defsubpara"/>
        <w:rPr>
          <w:snapToGrid w:val="0"/>
        </w:rPr>
      </w:pPr>
      <w:r>
        <w:rPr>
          <w:snapToGrid w:val="0"/>
        </w:rPr>
        <w:tab/>
        <w:t>(i)</w:t>
      </w:r>
      <w:r>
        <w:rPr>
          <w:snapToGrid w:val="0"/>
        </w:rPr>
        <w:tab/>
        <w:t>creates or assigns an option to enter into the dealing referred to in subregulation (1)(a);</w:t>
      </w:r>
    </w:p>
    <w:p>
      <w:pPr>
        <w:pStyle w:val="Defsubpara"/>
        <w:rPr>
          <w:snapToGrid w:val="0"/>
        </w:rPr>
      </w:pPr>
      <w:r>
        <w:rPr>
          <w:snapToGrid w:val="0"/>
        </w:rPr>
        <w:tab/>
        <w:t>(ii)</w:t>
      </w:r>
      <w:r>
        <w:rPr>
          <w:snapToGrid w:val="0"/>
        </w:rPr>
        <w:tab/>
        <w:t xml:space="preserve">creates or assigns a right to enter into the dealing referred to in subregulation (1)(a); or </w:t>
      </w:r>
    </w:p>
    <w:p>
      <w:pPr>
        <w:pStyle w:val="Defsubpara"/>
        <w:rPr>
          <w:snapToGrid w:val="0"/>
        </w:rPr>
      </w:pPr>
      <w:r>
        <w:rPr>
          <w:snapToGrid w:val="0"/>
        </w:rPr>
        <w:tab/>
        <w:t>(iii)</w:t>
      </w:r>
      <w:r>
        <w:rPr>
          <w:snapToGrid w:val="0"/>
        </w:rPr>
        <w:tab/>
        <w:t>is altered or terminated by the dealing referred to in subregulation (1)(a),</w:t>
      </w:r>
    </w:p>
    <w:p>
      <w:pPr>
        <w:pStyle w:val="Defstart"/>
        <w:keepNext/>
      </w:pPr>
      <w:r>
        <w:tab/>
        <w:t xml:space="preserve">and includes any transaction in respect of which an instrument was registered under section 75 of the Act before the day fixed under section 2(1) of the </w:t>
      </w:r>
      <w:r>
        <w:rPr>
          <w:i/>
        </w:rPr>
        <w:t>Acts Amendment (Petroleum) Act 1990</w:t>
      </w:r>
      <w:r>
        <w:rPr>
          <w:vertAlign w:val="superscript"/>
        </w:rPr>
        <w:t> 2</w:t>
      </w:r>
      <w:r>
        <w:t>.</w:t>
      </w:r>
    </w:p>
    <w:p>
      <w:pPr>
        <w:pStyle w:val="Footnotesection"/>
      </w:pPr>
      <w:r>
        <w:tab/>
        <w:t>[Regulation 5 inserted in Gazette 28 Sep 1990 p. 5101</w:t>
      </w:r>
      <w:r>
        <w:noBreakHyphen/>
        <w:t xml:space="preserve">2; amended in Gazette 23 Jun 2009 p. 2472.] </w:t>
      </w:r>
    </w:p>
    <w:p>
      <w:pPr>
        <w:pStyle w:val="Ednotesection"/>
      </w:pPr>
      <w:bookmarkStart w:id="54" w:name="_Toc501858347"/>
      <w:bookmarkStart w:id="55" w:name="_Toc510946889"/>
      <w:bookmarkStart w:id="56" w:name="_Toc512934872"/>
      <w:bookmarkStart w:id="57" w:name="_Toc34197686"/>
      <w:r>
        <w:t>[</w:t>
      </w:r>
      <w:r>
        <w:rPr>
          <w:b/>
          <w:bCs/>
        </w:rPr>
        <w:t>6, 7.</w:t>
      </w:r>
      <w:r>
        <w:tab/>
        <w:t>Deleted in Gazette 23 Jun 2009 p. 2472.]</w:t>
      </w:r>
    </w:p>
    <w:p>
      <w:pPr>
        <w:pStyle w:val="Heading5"/>
        <w:spacing w:before="180"/>
        <w:rPr>
          <w:snapToGrid w:val="0"/>
        </w:rPr>
      </w:pPr>
      <w:bookmarkStart w:id="58" w:name="_Toc261269942"/>
      <w:bookmarkStart w:id="59" w:name="_Toc253405117"/>
      <w:r>
        <w:rPr>
          <w:rStyle w:val="CharSectno"/>
        </w:rPr>
        <w:t>8</w:t>
      </w:r>
      <w:r>
        <w:rPr>
          <w:snapToGrid w:val="0"/>
        </w:rPr>
        <w:t>.</w:t>
      </w:r>
      <w:r>
        <w:rPr>
          <w:snapToGrid w:val="0"/>
        </w:rPr>
        <w:tab/>
        <w:t>Royalty value — deductible imposts</w:t>
      </w:r>
      <w:bookmarkEnd w:id="54"/>
      <w:bookmarkEnd w:id="55"/>
      <w:bookmarkEnd w:id="56"/>
      <w:bookmarkEnd w:id="57"/>
      <w:bookmarkEnd w:id="58"/>
      <w:bookmarkEnd w:id="59"/>
      <w:r>
        <w:rPr>
          <w:snapToGrid w:val="0"/>
        </w:rPr>
        <w:t xml:space="preserve"> </w:t>
      </w:r>
    </w:p>
    <w:p>
      <w:pPr>
        <w:pStyle w:val="Subsection"/>
        <w:spacing w:before="120"/>
        <w:rPr>
          <w:snapToGrid w:val="0"/>
        </w:rPr>
      </w:pPr>
      <w:r>
        <w:rPr>
          <w:snapToGrid w:val="0"/>
        </w:rPr>
        <w:tab/>
      </w:r>
      <w:r>
        <w:rPr>
          <w:snapToGrid w:val="0"/>
        </w:rPr>
        <w:tab/>
        <w:t xml:space="preserve">The following imposts are excluded from the definition of </w:t>
      </w:r>
      <w:r>
        <w:rPr>
          <w:b/>
          <w:bCs/>
          <w:i/>
          <w:iCs/>
          <w:snapToGrid w:val="0"/>
        </w:rPr>
        <w:t>federal duty</w:t>
      </w:r>
      <w:r>
        <w:rPr>
          <w:snapToGrid w:val="0"/>
        </w:rPr>
        <w:t xml:space="preserve"> in section 144A(3) of the Act — </w:t>
      </w:r>
    </w:p>
    <w:p>
      <w:pPr>
        <w:pStyle w:val="Indenta"/>
        <w:spacing w:before="60"/>
        <w:rPr>
          <w:snapToGrid w:val="0"/>
        </w:rPr>
      </w:pPr>
      <w:r>
        <w:rPr>
          <w:snapToGrid w:val="0"/>
        </w:rPr>
        <w:tab/>
        <w:t>(a)</w:t>
      </w:r>
      <w:r>
        <w:rPr>
          <w:snapToGrid w:val="0"/>
        </w:rPr>
        <w:tab/>
        <w:t>all taxes, duties, fees, levies and charges already included in the purchase price of goods or services purchased by the permittee, holder of a drilling reservation, lessee or licensee;</w:t>
      </w:r>
    </w:p>
    <w:p>
      <w:pPr>
        <w:pStyle w:val="Indenta"/>
        <w:spacing w:before="60"/>
        <w:rPr>
          <w:snapToGrid w:val="0"/>
        </w:rPr>
      </w:pPr>
      <w:r>
        <w:rPr>
          <w:snapToGrid w:val="0"/>
        </w:rPr>
        <w:tab/>
        <w:t>(b)</w:t>
      </w:r>
      <w:r>
        <w:rPr>
          <w:snapToGrid w:val="0"/>
        </w:rPr>
        <w:tab/>
        <w:t>departure tax;</w:t>
      </w:r>
    </w:p>
    <w:p>
      <w:pPr>
        <w:pStyle w:val="Indenta"/>
        <w:rPr>
          <w:snapToGrid w:val="0"/>
        </w:rPr>
      </w:pPr>
      <w:r>
        <w:rPr>
          <w:snapToGrid w:val="0"/>
        </w:rPr>
        <w:tab/>
        <w:t>(c)</w:t>
      </w:r>
      <w:r>
        <w:rPr>
          <w:snapToGrid w:val="0"/>
        </w:rPr>
        <w:tab/>
        <w:t>fringe benefits tax;</w:t>
      </w:r>
    </w:p>
    <w:p>
      <w:pPr>
        <w:pStyle w:val="Indenta"/>
        <w:spacing w:before="60"/>
        <w:rPr>
          <w:snapToGrid w:val="0"/>
        </w:rPr>
      </w:pPr>
      <w:r>
        <w:rPr>
          <w:snapToGrid w:val="0"/>
        </w:rPr>
        <w:tab/>
        <w:t>(d)</w:t>
      </w:r>
      <w:r>
        <w:rPr>
          <w:snapToGrid w:val="0"/>
        </w:rPr>
        <w:tab/>
        <w:t xml:space="preserve">deduction from salary or wages as required under the </w:t>
      </w:r>
      <w:r>
        <w:rPr>
          <w:i/>
          <w:snapToGrid w:val="0"/>
        </w:rPr>
        <w:t>Income Tax Assessment Act 1936</w:t>
      </w:r>
      <w:r>
        <w:rPr>
          <w:snapToGrid w:val="0"/>
        </w:rPr>
        <w:t xml:space="preserve"> of the Commonwealth to enable income tax to be collected from employees by instalments;</w:t>
      </w:r>
    </w:p>
    <w:p>
      <w:pPr>
        <w:pStyle w:val="Indenta"/>
        <w:spacing w:before="60"/>
        <w:rPr>
          <w:snapToGrid w:val="0"/>
        </w:rPr>
      </w:pPr>
      <w:r>
        <w:rPr>
          <w:snapToGrid w:val="0"/>
        </w:rPr>
        <w:tab/>
        <w:t>(e)</w:t>
      </w:r>
      <w:r>
        <w:rPr>
          <w:snapToGrid w:val="0"/>
        </w:rPr>
        <w:tab/>
        <w:t xml:space="preserve">deduction from prescribed payments as required under the </w:t>
      </w:r>
      <w:r>
        <w:rPr>
          <w:i/>
          <w:snapToGrid w:val="0"/>
        </w:rPr>
        <w:t>Income Tax Assessment Act 1936</w:t>
      </w:r>
      <w:r>
        <w:rPr>
          <w:snapToGrid w:val="0"/>
        </w:rPr>
        <w:t xml:space="preserve"> of the Commonwealth to enable tax to be collected in respect of certain payments for work;</w:t>
      </w:r>
    </w:p>
    <w:p>
      <w:pPr>
        <w:pStyle w:val="Indenta"/>
        <w:spacing w:before="60"/>
        <w:rPr>
          <w:snapToGrid w:val="0"/>
        </w:rPr>
      </w:pPr>
      <w:r>
        <w:rPr>
          <w:snapToGrid w:val="0"/>
        </w:rPr>
        <w:tab/>
        <w:t>(f)</w:t>
      </w:r>
      <w:r>
        <w:rPr>
          <w:snapToGrid w:val="0"/>
        </w:rPr>
        <w:tab/>
        <w:t>customs import duty;</w:t>
      </w:r>
    </w:p>
    <w:p>
      <w:pPr>
        <w:pStyle w:val="Indenta"/>
        <w:rPr>
          <w:snapToGrid w:val="0"/>
        </w:rPr>
      </w:pPr>
      <w:r>
        <w:rPr>
          <w:snapToGrid w:val="0"/>
        </w:rPr>
        <w:tab/>
        <w:t>(g)</w:t>
      </w:r>
      <w:r>
        <w:rPr>
          <w:snapToGrid w:val="0"/>
        </w:rPr>
        <w:tab/>
        <w:t>aircraft landing charge;</w:t>
      </w:r>
    </w:p>
    <w:p>
      <w:pPr>
        <w:pStyle w:val="Indenta"/>
        <w:rPr>
          <w:snapToGrid w:val="0"/>
        </w:rPr>
      </w:pPr>
      <w:r>
        <w:rPr>
          <w:snapToGrid w:val="0"/>
        </w:rPr>
        <w:tab/>
        <w:t>(h)</w:t>
      </w:r>
      <w:r>
        <w:rPr>
          <w:snapToGrid w:val="0"/>
        </w:rPr>
        <w:tab/>
        <w:t>training guarantee charge;</w:t>
      </w:r>
    </w:p>
    <w:p>
      <w:pPr>
        <w:pStyle w:val="Indenta"/>
        <w:rPr>
          <w:snapToGrid w:val="0"/>
        </w:rPr>
      </w:pPr>
      <w:r>
        <w:rPr>
          <w:snapToGrid w:val="0"/>
        </w:rPr>
        <w:tab/>
        <w:t>(i)</w:t>
      </w:r>
      <w:r>
        <w:rPr>
          <w:snapToGrid w:val="0"/>
        </w:rPr>
        <w:tab/>
        <w:t>superannuation guarantee charge;</w:t>
      </w:r>
    </w:p>
    <w:p>
      <w:pPr>
        <w:pStyle w:val="Indenta"/>
        <w:rPr>
          <w:snapToGrid w:val="0"/>
        </w:rPr>
      </w:pPr>
      <w:r>
        <w:rPr>
          <w:snapToGrid w:val="0"/>
        </w:rPr>
        <w:tab/>
        <w:t>(j)</w:t>
      </w:r>
      <w:r>
        <w:rPr>
          <w:snapToGrid w:val="0"/>
        </w:rPr>
        <w:tab/>
        <w:t xml:space="preserve">contributions under Part 4.2 of the </w:t>
      </w:r>
      <w:r>
        <w:rPr>
          <w:i/>
          <w:snapToGrid w:val="0"/>
        </w:rPr>
        <w:t>Higher Education Funding Act 1988</w:t>
      </w:r>
      <w:r>
        <w:rPr>
          <w:snapToGrid w:val="0"/>
        </w:rPr>
        <w:t xml:space="preserve"> of the Commonwealth.</w:t>
      </w:r>
    </w:p>
    <w:p>
      <w:pPr>
        <w:pStyle w:val="Footnotesection"/>
        <w:ind w:left="890" w:hanging="890"/>
      </w:pPr>
      <w:r>
        <w:tab/>
        <w:t>[Regulation 8 inserted in Gazette 20 May 1994 p. 2124</w:t>
      </w:r>
      <w:r>
        <w:noBreakHyphen/>
        <w:t xml:space="preserve">5.] </w:t>
      </w:r>
    </w:p>
    <w:p>
      <w:pPr>
        <w:pStyle w:val="Heading5"/>
        <w:spacing w:before="180"/>
      </w:pPr>
      <w:bookmarkStart w:id="60" w:name="_Toc501858348"/>
      <w:bookmarkStart w:id="61" w:name="_Toc510946890"/>
      <w:bookmarkStart w:id="62" w:name="_Toc512934873"/>
      <w:bookmarkStart w:id="63" w:name="_Toc34197687"/>
      <w:bookmarkStart w:id="64" w:name="_Toc261269943"/>
      <w:bookmarkStart w:id="65" w:name="_Toc253405118"/>
      <w:r>
        <w:rPr>
          <w:rStyle w:val="CharSectno"/>
        </w:rPr>
        <w:t>9</w:t>
      </w:r>
      <w:r>
        <w:t>.</w:t>
      </w:r>
      <w:r>
        <w:tab/>
        <w:t>Application of Geocentric Datum of Australia</w:t>
      </w:r>
      <w:bookmarkEnd w:id="60"/>
      <w:bookmarkEnd w:id="61"/>
      <w:bookmarkEnd w:id="62"/>
      <w:bookmarkEnd w:id="63"/>
      <w:bookmarkEnd w:id="64"/>
      <w:bookmarkEnd w:id="65"/>
    </w:p>
    <w:p>
      <w:pPr>
        <w:pStyle w:val="Subsection"/>
      </w:pPr>
      <w:r>
        <w:tab/>
        <w:t>(1)</w:t>
      </w:r>
      <w:r>
        <w:tab/>
        <w:t>Subject to regulation 11, the GDA is the prescribed Australian datum for the purposes referred to in section 8(1) of the Act.</w:t>
      </w:r>
    </w:p>
    <w:p>
      <w:pPr>
        <w:pStyle w:val="Subsection"/>
      </w:pPr>
      <w:r>
        <w:tab/>
        <w:t>(2)</w:t>
      </w:r>
      <w:r>
        <w:tab/>
        <w:t>The reference ellipsoid for the GDA is the Geodetic Reference System 1980 (</w:t>
      </w:r>
      <w:r>
        <w:rPr>
          <w:rStyle w:val="CharDefText"/>
        </w:rPr>
        <w:t>GRS80</w:t>
      </w:r>
      <w:r>
        <w:t>) ellipsoid with a semi</w:t>
      </w:r>
      <w:r>
        <w:noBreakHyphen/>
        <w:t>major axis of 6 378 137 m exactly and an inverse flattening (l/f) of 298.257 222 101.</w:t>
      </w:r>
    </w:p>
    <w:p>
      <w:pPr>
        <w:pStyle w:val="Subsection"/>
        <w:spacing w:after="160"/>
      </w:pPr>
      <w:r>
        <w:tab/>
        <w:t>(3)</w:t>
      </w:r>
      <w:r>
        <w:tab/>
        <w:t xml:space="preserve">The reference frame for the GDA is realised by the coordinates of the following Australian Fiducial Network geodetic stations referred to the GRS80 ellipsoid determined within the International Earth Rotation Service Terrestrial Reference Frame 1992 (ITRF92) at the epoch of 1994.0 — </w:t>
      </w:r>
    </w:p>
    <w:tbl>
      <w:tblPr>
        <w:tblW w:w="0" w:type="auto"/>
        <w:jc w:val="center"/>
        <w:tblLayout w:type="fixed"/>
        <w:tblLook w:val="0000" w:firstRow="0" w:lastRow="0" w:firstColumn="0" w:lastColumn="0" w:noHBand="0" w:noVBand="0"/>
      </w:tblPr>
      <w:tblGrid>
        <w:gridCol w:w="876"/>
        <w:gridCol w:w="1134"/>
        <w:gridCol w:w="1701"/>
        <w:gridCol w:w="1843"/>
        <w:gridCol w:w="1134"/>
      </w:tblGrid>
      <w:tr>
        <w:trPr>
          <w:tblHeader/>
          <w:jc w:val="center"/>
        </w:trPr>
        <w:tc>
          <w:tcPr>
            <w:tcW w:w="876" w:type="dxa"/>
          </w:tcPr>
          <w:p>
            <w:pPr>
              <w:pStyle w:val="TableNAm"/>
              <w:rPr>
                <w:b/>
                <w:bCs/>
                <w:sz w:val="20"/>
              </w:rPr>
            </w:pPr>
            <w:r>
              <w:rPr>
                <w:b/>
                <w:bCs/>
                <w:sz w:val="20"/>
              </w:rPr>
              <w:t>No.</w:t>
            </w:r>
          </w:p>
        </w:tc>
        <w:tc>
          <w:tcPr>
            <w:tcW w:w="1134" w:type="dxa"/>
          </w:tcPr>
          <w:p>
            <w:pPr>
              <w:pStyle w:val="TableNAm"/>
              <w:rPr>
                <w:b/>
                <w:bCs/>
                <w:sz w:val="20"/>
              </w:rPr>
            </w:pPr>
            <w:r>
              <w:rPr>
                <w:b/>
                <w:bCs/>
                <w:sz w:val="20"/>
              </w:rPr>
              <w:t>Name</w:t>
            </w:r>
          </w:p>
        </w:tc>
        <w:tc>
          <w:tcPr>
            <w:tcW w:w="1701" w:type="dxa"/>
          </w:tcPr>
          <w:p>
            <w:pPr>
              <w:pStyle w:val="TableNAm"/>
              <w:rPr>
                <w:b/>
                <w:bCs/>
                <w:sz w:val="20"/>
              </w:rPr>
            </w:pPr>
            <w:r>
              <w:rPr>
                <w:b/>
                <w:bCs/>
                <w:sz w:val="20"/>
              </w:rPr>
              <w:t>South Latitude</w:t>
            </w:r>
          </w:p>
        </w:tc>
        <w:tc>
          <w:tcPr>
            <w:tcW w:w="1843" w:type="dxa"/>
          </w:tcPr>
          <w:p>
            <w:pPr>
              <w:pStyle w:val="TableNAm"/>
              <w:rPr>
                <w:b/>
                <w:bCs/>
                <w:sz w:val="20"/>
              </w:rPr>
            </w:pPr>
            <w:r>
              <w:rPr>
                <w:b/>
                <w:bCs/>
                <w:sz w:val="20"/>
              </w:rPr>
              <w:t>East Longitude</w:t>
            </w:r>
          </w:p>
        </w:tc>
        <w:tc>
          <w:tcPr>
            <w:tcW w:w="1134" w:type="dxa"/>
          </w:tcPr>
          <w:p>
            <w:pPr>
              <w:pStyle w:val="TableNAm"/>
              <w:rPr>
                <w:b/>
                <w:bCs/>
                <w:sz w:val="20"/>
              </w:rPr>
            </w:pPr>
            <w:r>
              <w:rPr>
                <w:b/>
                <w:bCs/>
                <w:sz w:val="20"/>
              </w:rPr>
              <w:t>Ellipsoidal Height</w:t>
            </w:r>
          </w:p>
        </w:tc>
      </w:tr>
      <w:tr>
        <w:trPr>
          <w:jc w:val="center"/>
        </w:trPr>
        <w:tc>
          <w:tcPr>
            <w:tcW w:w="876" w:type="dxa"/>
          </w:tcPr>
          <w:p>
            <w:pPr>
              <w:pStyle w:val="TableNAm"/>
              <w:rPr>
                <w:sz w:val="20"/>
              </w:rPr>
            </w:pPr>
            <w:r>
              <w:rPr>
                <w:sz w:val="20"/>
              </w:rPr>
              <w:t>AU 012</w:t>
            </w:r>
          </w:p>
        </w:tc>
        <w:tc>
          <w:tcPr>
            <w:tcW w:w="1134" w:type="dxa"/>
          </w:tcPr>
          <w:p>
            <w:pPr>
              <w:pStyle w:val="TableNAm"/>
              <w:rPr>
                <w:sz w:val="20"/>
              </w:rPr>
            </w:pPr>
            <w:r>
              <w:rPr>
                <w:sz w:val="20"/>
              </w:rPr>
              <w:t>Alice Springs</w:t>
            </w:r>
          </w:p>
        </w:tc>
        <w:tc>
          <w:tcPr>
            <w:tcW w:w="1701" w:type="dxa"/>
          </w:tcPr>
          <w:p>
            <w:pPr>
              <w:pStyle w:val="TableNAm"/>
              <w:rPr>
                <w:sz w:val="20"/>
              </w:rPr>
            </w:pPr>
            <w:r>
              <w:rPr>
                <w:snapToGrid w:val="0"/>
                <w:sz w:val="20"/>
              </w:rPr>
              <w:t>23° 40′ 12.44592″</w:t>
            </w:r>
          </w:p>
        </w:tc>
        <w:tc>
          <w:tcPr>
            <w:tcW w:w="1843" w:type="dxa"/>
          </w:tcPr>
          <w:p>
            <w:pPr>
              <w:pStyle w:val="TableNAm"/>
              <w:rPr>
                <w:sz w:val="20"/>
              </w:rPr>
            </w:pPr>
            <w:r>
              <w:rPr>
                <w:snapToGrid w:val="0"/>
                <w:sz w:val="20"/>
              </w:rPr>
              <w:t>133° 53′ 07.84757″</w:t>
            </w:r>
          </w:p>
        </w:tc>
        <w:tc>
          <w:tcPr>
            <w:tcW w:w="1134" w:type="dxa"/>
          </w:tcPr>
          <w:p>
            <w:pPr>
              <w:pStyle w:val="TableNAm"/>
              <w:rPr>
                <w:sz w:val="20"/>
              </w:rPr>
            </w:pPr>
            <w:r>
              <w:rPr>
                <w:sz w:val="20"/>
              </w:rPr>
              <w:t>603.358 m</w:t>
            </w:r>
          </w:p>
        </w:tc>
      </w:tr>
      <w:tr>
        <w:trPr>
          <w:jc w:val="center"/>
        </w:trPr>
        <w:tc>
          <w:tcPr>
            <w:tcW w:w="876" w:type="dxa"/>
          </w:tcPr>
          <w:p>
            <w:pPr>
              <w:pStyle w:val="TableNAm"/>
              <w:rPr>
                <w:sz w:val="20"/>
              </w:rPr>
            </w:pPr>
            <w:r>
              <w:rPr>
                <w:sz w:val="20"/>
              </w:rPr>
              <w:t>AU 013</w:t>
            </w:r>
          </w:p>
        </w:tc>
        <w:tc>
          <w:tcPr>
            <w:tcW w:w="1134" w:type="dxa"/>
          </w:tcPr>
          <w:p>
            <w:pPr>
              <w:pStyle w:val="TableNAm"/>
              <w:rPr>
                <w:sz w:val="20"/>
              </w:rPr>
            </w:pPr>
            <w:r>
              <w:rPr>
                <w:sz w:val="20"/>
              </w:rPr>
              <w:t>Karratha</w:t>
            </w:r>
          </w:p>
        </w:tc>
        <w:tc>
          <w:tcPr>
            <w:tcW w:w="1701" w:type="dxa"/>
          </w:tcPr>
          <w:p>
            <w:pPr>
              <w:pStyle w:val="TableNAm"/>
              <w:rPr>
                <w:sz w:val="20"/>
              </w:rPr>
            </w:pPr>
            <w:r>
              <w:rPr>
                <w:snapToGrid w:val="0"/>
                <w:sz w:val="20"/>
              </w:rPr>
              <w:t>20° 58′ 53.17004″</w:t>
            </w:r>
          </w:p>
        </w:tc>
        <w:tc>
          <w:tcPr>
            <w:tcW w:w="1843" w:type="dxa"/>
          </w:tcPr>
          <w:p>
            <w:pPr>
              <w:pStyle w:val="TableNAm"/>
              <w:rPr>
                <w:sz w:val="20"/>
              </w:rPr>
            </w:pPr>
            <w:r>
              <w:rPr>
                <w:snapToGrid w:val="0"/>
                <w:sz w:val="20"/>
              </w:rPr>
              <w:t>117° 05′ 49.87255″</w:t>
            </w:r>
          </w:p>
        </w:tc>
        <w:tc>
          <w:tcPr>
            <w:tcW w:w="1134" w:type="dxa"/>
          </w:tcPr>
          <w:p>
            <w:pPr>
              <w:pStyle w:val="TableNAm"/>
              <w:rPr>
                <w:sz w:val="20"/>
              </w:rPr>
            </w:pPr>
            <w:r>
              <w:rPr>
                <w:sz w:val="20"/>
              </w:rPr>
              <w:t>109.246 m</w:t>
            </w:r>
          </w:p>
        </w:tc>
      </w:tr>
      <w:tr>
        <w:trPr>
          <w:jc w:val="center"/>
        </w:trPr>
        <w:tc>
          <w:tcPr>
            <w:tcW w:w="876" w:type="dxa"/>
          </w:tcPr>
          <w:p>
            <w:pPr>
              <w:pStyle w:val="TableNAm"/>
              <w:rPr>
                <w:sz w:val="20"/>
              </w:rPr>
            </w:pPr>
            <w:r>
              <w:rPr>
                <w:sz w:val="20"/>
              </w:rPr>
              <w:t>AU 014</w:t>
            </w:r>
          </w:p>
        </w:tc>
        <w:tc>
          <w:tcPr>
            <w:tcW w:w="1134" w:type="dxa"/>
          </w:tcPr>
          <w:p>
            <w:pPr>
              <w:pStyle w:val="TableNAm"/>
              <w:rPr>
                <w:sz w:val="20"/>
              </w:rPr>
            </w:pPr>
            <w:r>
              <w:rPr>
                <w:sz w:val="20"/>
              </w:rPr>
              <w:t>Darwin</w:t>
            </w:r>
          </w:p>
        </w:tc>
        <w:tc>
          <w:tcPr>
            <w:tcW w:w="1701" w:type="dxa"/>
          </w:tcPr>
          <w:p>
            <w:pPr>
              <w:pStyle w:val="TableNAm"/>
              <w:rPr>
                <w:sz w:val="20"/>
              </w:rPr>
            </w:pPr>
            <w:r>
              <w:rPr>
                <w:snapToGrid w:val="0"/>
                <w:sz w:val="20"/>
              </w:rPr>
              <w:t>12° 50′ 37.35839″</w:t>
            </w:r>
          </w:p>
        </w:tc>
        <w:tc>
          <w:tcPr>
            <w:tcW w:w="1843" w:type="dxa"/>
          </w:tcPr>
          <w:p>
            <w:pPr>
              <w:pStyle w:val="TableNAm"/>
              <w:rPr>
                <w:sz w:val="20"/>
              </w:rPr>
            </w:pPr>
            <w:r>
              <w:rPr>
                <w:snapToGrid w:val="0"/>
                <w:sz w:val="20"/>
              </w:rPr>
              <w:t>131° 07′ 57.84838″</w:t>
            </w:r>
          </w:p>
        </w:tc>
        <w:tc>
          <w:tcPr>
            <w:tcW w:w="1134" w:type="dxa"/>
          </w:tcPr>
          <w:p>
            <w:pPr>
              <w:pStyle w:val="TableNAm"/>
              <w:rPr>
                <w:sz w:val="20"/>
              </w:rPr>
            </w:pPr>
            <w:r>
              <w:rPr>
                <w:sz w:val="20"/>
              </w:rPr>
              <w:t>125.197 m</w:t>
            </w:r>
          </w:p>
        </w:tc>
      </w:tr>
      <w:tr>
        <w:trPr>
          <w:jc w:val="center"/>
        </w:trPr>
        <w:tc>
          <w:tcPr>
            <w:tcW w:w="876" w:type="dxa"/>
          </w:tcPr>
          <w:p>
            <w:pPr>
              <w:pStyle w:val="TableNAm"/>
              <w:rPr>
                <w:sz w:val="20"/>
              </w:rPr>
            </w:pPr>
            <w:r>
              <w:rPr>
                <w:sz w:val="20"/>
              </w:rPr>
              <w:t>AU 015</w:t>
            </w:r>
          </w:p>
        </w:tc>
        <w:tc>
          <w:tcPr>
            <w:tcW w:w="1134" w:type="dxa"/>
          </w:tcPr>
          <w:p>
            <w:pPr>
              <w:pStyle w:val="TableNAm"/>
              <w:rPr>
                <w:sz w:val="20"/>
              </w:rPr>
            </w:pPr>
            <w:r>
              <w:rPr>
                <w:sz w:val="20"/>
              </w:rPr>
              <w:t>Townsville</w:t>
            </w:r>
          </w:p>
        </w:tc>
        <w:tc>
          <w:tcPr>
            <w:tcW w:w="1701" w:type="dxa"/>
          </w:tcPr>
          <w:p>
            <w:pPr>
              <w:pStyle w:val="TableNAm"/>
              <w:rPr>
                <w:sz w:val="20"/>
              </w:rPr>
            </w:pPr>
            <w:r>
              <w:rPr>
                <w:snapToGrid w:val="0"/>
                <w:sz w:val="20"/>
              </w:rPr>
              <w:t>19° 20′ 50.42839″</w:t>
            </w:r>
          </w:p>
        </w:tc>
        <w:tc>
          <w:tcPr>
            <w:tcW w:w="1843" w:type="dxa"/>
          </w:tcPr>
          <w:p>
            <w:pPr>
              <w:pStyle w:val="TableNAm"/>
              <w:rPr>
                <w:sz w:val="20"/>
              </w:rPr>
            </w:pPr>
            <w:r>
              <w:rPr>
                <w:snapToGrid w:val="0"/>
                <w:sz w:val="20"/>
              </w:rPr>
              <w:t>146° 46′ 30.79057″</w:t>
            </w:r>
          </w:p>
        </w:tc>
        <w:tc>
          <w:tcPr>
            <w:tcW w:w="1134" w:type="dxa"/>
          </w:tcPr>
          <w:p>
            <w:pPr>
              <w:pStyle w:val="TableNAm"/>
              <w:rPr>
                <w:sz w:val="20"/>
              </w:rPr>
            </w:pPr>
            <w:r>
              <w:rPr>
                <w:sz w:val="20"/>
              </w:rPr>
              <w:t>587.077 m</w:t>
            </w:r>
          </w:p>
        </w:tc>
      </w:tr>
      <w:tr>
        <w:trPr>
          <w:jc w:val="center"/>
        </w:trPr>
        <w:tc>
          <w:tcPr>
            <w:tcW w:w="876" w:type="dxa"/>
          </w:tcPr>
          <w:p>
            <w:pPr>
              <w:pStyle w:val="TableNAm"/>
              <w:rPr>
                <w:sz w:val="20"/>
              </w:rPr>
            </w:pPr>
            <w:r>
              <w:rPr>
                <w:sz w:val="20"/>
              </w:rPr>
              <w:t>AU 016</w:t>
            </w:r>
          </w:p>
        </w:tc>
        <w:tc>
          <w:tcPr>
            <w:tcW w:w="1134" w:type="dxa"/>
          </w:tcPr>
          <w:p>
            <w:pPr>
              <w:pStyle w:val="TableNAm"/>
              <w:rPr>
                <w:sz w:val="20"/>
              </w:rPr>
            </w:pPr>
            <w:r>
              <w:rPr>
                <w:sz w:val="20"/>
              </w:rPr>
              <w:t>Hobart</w:t>
            </w:r>
          </w:p>
        </w:tc>
        <w:tc>
          <w:tcPr>
            <w:tcW w:w="1701" w:type="dxa"/>
          </w:tcPr>
          <w:p>
            <w:pPr>
              <w:pStyle w:val="TableNAm"/>
              <w:rPr>
                <w:sz w:val="20"/>
              </w:rPr>
            </w:pPr>
            <w:r>
              <w:rPr>
                <w:snapToGrid w:val="0"/>
                <w:sz w:val="20"/>
              </w:rPr>
              <w:t>42° 48′ 16.98506″</w:t>
            </w:r>
          </w:p>
        </w:tc>
        <w:tc>
          <w:tcPr>
            <w:tcW w:w="1843" w:type="dxa"/>
          </w:tcPr>
          <w:p>
            <w:pPr>
              <w:pStyle w:val="TableNAm"/>
              <w:rPr>
                <w:sz w:val="20"/>
              </w:rPr>
            </w:pPr>
            <w:r>
              <w:rPr>
                <w:snapToGrid w:val="0"/>
                <w:sz w:val="20"/>
              </w:rPr>
              <w:t>147° 26′ 19.43548″</w:t>
            </w:r>
          </w:p>
        </w:tc>
        <w:tc>
          <w:tcPr>
            <w:tcW w:w="1134" w:type="dxa"/>
          </w:tcPr>
          <w:p>
            <w:pPr>
              <w:pStyle w:val="TableNAm"/>
              <w:rPr>
                <w:sz w:val="20"/>
              </w:rPr>
            </w:pPr>
            <w:r>
              <w:rPr>
                <w:sz w:val="20"/>
              </w:rPr>
              <w:t xml:space="preserve">  41.126 m</w:t>
            </w:r>
          </w:p>
        </w:tc>
      </w:tr>
      <w:tr>
        <w:trPr>
          <w:jc w:val="center"/>
        </w:trPr>
        <w:tc>
          <w:tcPr>
            <w:tcW w:w="876" w:type="dxa"/>
          </w:tcPr>
          <w:p>
            <w:pPr>
              <w:pStyle w:val="TableNAm"/>
              <w:keepNext/>
              <w:rPr>
                <w:sz w:val="20"/>
              </w:rPr>
            </w:pPr>
            <w:r>
              <w:rPr>
                <w:sz w:val="20"/>
              </w:rPr>
              <w:t>AU 017</w:t>
            </w:r>
          </w:p>
        </w:tc>
        <w:tc>
          <w:tcPr>
            <w:tcW w:w="1134" w:type="dxa"/>
          </w:tcPr>
          <w:p>
            <w:pPr>
              <w:pStyle w:val="TableNAm"/>
              <w:keepNext/>
              <w:rPr>
                <w:sz w:val="20"/>
              </w:rPr>
            </w:pPr>
            <w:r>
              <w:rPr>
                <w:sz w:val="20"/>
              </w:rPr>
              <w:t>Tidbinbilla</w:t>
            </w:r>
          </w:p>
        </w:tc>
        <w:tc>
          <w:tcPr>
            <w:tcW w:w="1701" w:type="dxa"/>
          </w:tcPr>
          <w:p>
            <w:pPr>
              <w:pStyle w:val="TableNAm"/>
              <w:keepNext/>
              <w:rPr>
                <w:sz w:val="20"/>
              </w:rPr>
            </w:pPr>
            <w:r>
              <w:rPr>
                <w:snapToGrid w:val="0"/>
                <w:sz w:val="20"/>
              </w:rPr>
              <w:t>35° 23′ 57.15627″</w:t>
            </w:r>
          </w:p>
        </w:tc>
        <w:tc>
          <w:tcPr>
            <w:tcW w:w="1843" w:type="dxa"/>
          </w:tcPr>
          <w:p>
            <w:pPr>
              <w:pStyle w:val="TableNAm"/>
              <w:keepNext/>
              <w:rPr>
                <w:sz w:val="20"/>
              </w:rPr>
            </w:pPr>
            <w:r>
              <w:rPr>
                <w:snapToGrid w:val="0"/>
                <w:sz w:val="20"/>
              </w:rPr>
              <w:t>148° 58′ 47.98425″</w:t>
            </w:r>
          </w:p>
        </w:tc>
        <w:tc>
          <w:tcPr>
            <w:tcW w:w="1134" w:type="dxa"/>
          </w:tcPr>
          <w:p>
            <w:pPr>
              <w:pStyle w:val="TableNAm"/>
              <w:keepNext/>
              <w:rPr>
                <w:sz w:val="20"/>
              </w:rPr>
            </w:pPr>
            <w:r>
              <w:rPr>
                <w:sz w:val="20"/>
              </w:rPr>
              <w:t>665.440 m</w:t>
            </w:r>
          </w:p>
        </w:tc>
      </w:tr>
      <w:tr>
        <w:trPr>
          <w:jc w:val="center"/>
        </w:trPr>
        <w:tc>
          <w:tcPr>
            <w:tcW w:w="876" w:type="dxa"/>
          </w:tcPr>
          <w:p>
            <w:pPr>
              <w:pStyle w:val="TableNAm"/>
              <w:rPr>
                <w:sz w:val="20"/>
              </w:rPr>
            </w:pPr>
            <w:r>
              <w:rPr>
                <w:sz w:val="20"/>
              </w:rPr>
              <w:t>AU 019</w:t>
            </w:r>
          </w:p>
        </w:tc>
        <w:tc>
          <w:tcPr>
            <w:tcW w:w="1134" w:type="dxa"/>
          </w:tcPr>
          <w:p>
            <w:pPr>
              <w:pStyle w:val="TableNAm"/>
              <w:rPr>
                <w:sz w:val="20"/>
              </w:rPr>
            </w:pPr>
            <w:r>
              <w:rPr>
                <w:sz w:val="20"/>
              </w:rPr>
              <w:t>Ceduna</w:t>
            </w:r>
          </w:p>
        </w:tc>
        <w:tc>
          <w:tcPr>
            <w:tcW w:w="1701" w:type="dxa"/>
          </w:tcPr>
          <w:p>
            <w:pPr>
              <w:pStyle w:val="TableNAm"/>
              <w:rPr>
                <w:sz w:val="20"/>
              </w:rPr>
            </w:pPr>
            <w:r>
              <w:rPr>
                <w:snapToGrid w:val="0"/>
                <w:sz w:val="20"/>
              </w:rPr>
              <w:t>31° 52′ 00.01664″</w:t>
            </w:r>
          </w:p>
        </w:tc>
        <w:tc>
          <w:tcPr>
            <w:tcW w:w="1843" w:type="dxa"/>
          </w:tcPr>
          <w:p>
            <w:pPr>
              <w:pStyle w:val="TableNAm"/>
              <w:rPr>
                <w:sz w:val="20"/>
              </w:rPr>
            </w:pPr>
            <w:r>
              <w:rPr>
                <w:snapToGrid w:val="0"/>
                <w:sz w:val="20"/>
              </w:rPr>
              <w:t>133° 48′ 35.37527″</w:t>
            </w:r>
          </w:p>
        </w:tc>
        <w:tc>
          <w:tcPr>
            <w:tcW w:w="1134" w:type="dxa"/>
          </w:tcPr>
          <w:p>
            <w:pPr>
              <w:pStyle w:val="TableNAm"/>
              <w:rPr>
                <w:sz w:val="20"/>
              </w:rPr>
            </w:pPr>
            <w:r>
              <w:rPr>
                <w:sz w:val="20"/>
              </w:rPr>
              <w:t>144.802 m</w:t>
            </w:r>
          </w:p>
        </w:tc>
      </w:tr>
      <w:tr>
        <w:trPr>
          <w:jc w:val="center"/>
        </w:trPr>
        <w:tc>
          <w:tcPr>
            <w:tcW w:w="876" w:type="dxa"/>
          </w:tcPr>
          <w:p>
            <w:pPr>
              <w:pStyle w:val="TableNAm"/>
              <w:rPr>
                <w:sz w:val="20"/>
              </w:rPr>
            </w:pPr>
            <w:r>
              <w:rPr>
                <w:sz w:val="20"/>
              </w:rPr>
              <w:t>AU 029</w:t>
            </w:r>
          </w:p>
        </w:tc>
        <w:tc>
          <w:tcPr>
            <w:tcW w:w="1134" w:type="dxa"/>
          </w:tcPr>
          <w:p>
            <w:pPr>
              <w:pStyle w:val="TableNAm"/>
              <w:rPr>
                <w:sz w:val="20"/>
              </w:rPr>
            </w:pPr>
            <w:r>
              <w:rPr>
                <w:sz w:val="20"/>
              </w:rPr>
              <w:t>Yaragadee</w:t>
            </w:r>
          </w:p>
        </w:tc>
        <w:tc>
          <w:tcPr>
            <w:tcW w:w="1701" w:type="dxa"/>
          </w:tcPr>
          <w:p>
            <w:pPr>
              <w:pStyle w:val="TableNAm"/>
              <w:rPr>
                <w:sz w:val="20"/>
              </w:rPr>
            </w:pPr>
            <w:r>
              <w:rPr>
                <w:snapToGrid w:val="0"/>
                <w:sz w:val="20"/>
              </w:rPr>
              <w:t>29° 02′ 47.61687″</w:t>
            </w:r>
          </w:p>
        </w:tc>
        <w:tc>
          <w:tcPr>
            <w:tcW w:w="1843" w:type="dxa"/>
          </w:tcPr>
          <w:p>
            <w:pPr>
              <w:pStyle w:val="TableNAm"/>
              <w:rPr>
                <w:sz w:val="20"/>
              </w:rPr>
            </w:pPr>
            <w:r>
              <w:rPr>
                <w:snapToGrid w:val="0"/>
                <w:sz w:val="20"/>
              </w:rPr>
              <w:t>115° 20′ 49.10049″</w:t>
            </w:r>
          </w:p>
        </w:tc>
        <w:tc>
          <w:tcPr>
            <w:tcW w:w="1134" w:type="dxa"/>
          </w:tcPr>
          <w:p>
            <w:pPr>
              <w:pStyle w:val="TableNAm"/>
              <w:rPr>
                <w:sz w:val="20"/>
              </w:rPr>
            </w:pPr>
            <w:r>
              <w:rPr>
                <w:sz w:val="20"/>
              </w:rPr>
              <w:t>241.291 m</w:t>
            </w:r>
          </w:p>
        </w:tc>
      </w:tr>
    </w:tbl>
    <w:p>
      <w:pPr>
        <w:pStyle w:val="Footnotesection"/>
        <w:keepLines w:val="0"/>
        <w:ind w:left="890" w:hanging="890"/>
      </w:pPr>
      <w:r>
        <w:tab/>
        <w:t>[Regulation 9 inserted in Gazette 15 Dec 2000 p. 7213</w:t>
      </w:r>
      <w:r>
        <w:noBreakHyphen/>
        <w:t>14.]</w:t>
      </w:r>
    </w:p>
    <w:p>
      <w:pPr>
        <w:pStyle w:val="Heading5"/>
      </w:pPr>
      <w:bookmarkStart w:id="66" w:name="_Toc501858349"/>
      <w:bookmarkStart w:id="67" w:name="_Toc510946891"/>
      <w:bookmarkStart w:id="68" w:name="_Toc512934874"/>
      <w:bookmarkStart w:id="69" w:name="_Toc34197688"/>
      <w:bookmarkStart w:id="70" w:name="_Toc261269944"/>
      <w:bookmarkStart w:id="71" w:name="_Toc253405119"/>
      <w:r>
        <w:rPr>
          <w:rStyle w:val="CharSectno"/>
        </w:rPr>
        <w:t>10</w:t>
      </w:r>
      <w:r>
        <w:t>.</w:t>
      </w:r>
      <w:r>
        <w:tab/>
        <w:t>Application of GDA to certain instruments</w:t>
      </w:r>
      <w:bookmarkEnd w:id="66"/>
      <w:bookmarkEnd w:id="67"/>
      <w:bookmarkEnd w:id="68"/>
      <w:bookmarkEnd w:id="69"/>
      <w:bookmarkEnd w:id="70"/>
      <w:bookmarkEnd w:id="71"/>
    </w:p>
    <w:p>
      <w:pPr>
        <w:pStyle w:val="Subsection"/>
      </w:pPr>
      <w:r>
        <w:tab/>
        <w:t>(1)</w:t>
      </w:r>
      <w:r>
        <w:tab/>
        <w:t xml:space="preserve">A reference (a </w:t>
      </w:r>
      <w:r>
        <w:rPr>
          <w:rStyle w:val="CharDefText"/>
        </w:rPr>
        <w:t>GDA reference</w:t>
      </w:r>
      <w:r>
        <w:t xml:space="preserve">) in an instrument under the Act or these regulations that comes into force on or after the commencement day to the position on the surface of the Earth of a graticular section or block (including a block constituted as provided by section 135 of the Act) is to be made by reference to — </w:t>
      </w:r>
    </w:p>
    <w:p>
      <w:pPr>
        <w:pStyle w:val="Indenta"/>
      </w:pPr>
      <w:r>
        <w:tab/>
        <w:t>(a)</w:t>
      </w:r>
      <w:r>
        <w:tab/>
        <w:t>the GDA; and</w:t>
      </w:r>
    </w:p>
    <w:p>
      <w:pPr>
        <w:pStyle w:val="Indenta"/>
      </w:pPr>
      <w:r>
        <w:tab/>
        <w:t>(b)</w:t>
      </w:r>
      <w:r>
        <w:tab/>
        <w:t>coordinates of latitude and longitude calculated to 3 decimal places of a second.</w:t>
      </w:r>
    </w:p>
    <w:p>
      <w:pPr>
        <w:pStyle w:val="Subsection"/>
      </w:pPr>
      <w:r>
        <w:tab/>
        <w:t>(2)</w:t>
      </w:r>
      <w:r>
        <w:tab/>
        <w:t>An instrument under the Act or these regulations referred to in subregulation (1) that contains a GDA reference is to be endorsed with a statement to the effect that the GDA applied to the calculation of the coordinates of latitude and longitude relevant to the GDA reference, but the omission of such a statement does not affect the validity of the instrument.</w:t>
      </w:r>
    </w:p>
    <w:p>
      <w:pPr>
        <w:pStyle w:val="Subsection"/>
      </w:pPr>
      <w:r>
        <w:tab/>
        <w:t>(3)</w:t>
      </w:r>
      <w:r>
        <w:tab/>
        <w:t xml:space="preserve">Despite section 27 of the Act, for the purposes of subregulation (1) — </w:t>
      </w:r>
    </w:p>
    <w:p>
      <w:pPr>
        <w:pStyle w:val="Indenta"/>
      </w:pPr>
      <w:r>
        <w:tab/>
        <w:t>(a)</w:t>
      </w:r>
      <w:r>
        <w:tab/>
        <w:t>the meridians of longitude defining the eastern and western boundaries of a graticular section; and</w:t>
      </w:r>
    </w:p>
    <w:p>
      <w:pPr>
        <w:pStyle w:val="Indenta"/>
      </w:pPr>
      <w:r>
        <w:tab/>
        <w:t>(b)</w:t>
      </w:r>
      <w:r>
        <w:tab/>
        <w:t>the parallels of latitude defining the northern and southern boundaries of a graticular section,</w:t>
      </w:r>
    </w:p>
    <w:p>
      <w:pPr>
        <w:pStyle w:val="Subsection"/>
      </w:pPr>
      <w:r>
        <w:tab/>
      </w:r>
      <w:r>
        <w:tab/>
        <w:t>may be taken to be at a distance from each other that is other than 5 minutes.</w:t>
      </w:r>
    </w:p>
    <w:p>
      <w:pPr>
        <w:pStyle w:val="Subsection"/>
        <w:keepNext/>
        <w:keepLines/>
      </w:pPr>
      <w:r>
        <w:tab/>
        <w:t>(4)</w:t>
      </w:r>
      <w:r>
        <w:tab/>
        <w:t xml:space="preserve">In subregulation (1) — </w:t>
      </w:r>
    </w:p>
    <w:p>
      <w:pPr>
        <w:pStyle w:val="Defstart"/>
      </w:pPr>
      <w:r>
        <w:tab/>
      </w:r>
      <w:r>
        <w:rPr>
          <w:rStyle w:val="CharDefText"/>
        </w:rPr>
        <w:t>commencement day</w:t>
      </w:r>
      <w:r>
        <w:t xml:space="preserve"> means the day on which section 7 of the </w:t>
      </w:r>
      <w:r>
        <w:rPr>
          <w:i/>
        </w:rPr>
        <w:t>Acts Amendment (Australian Datum) Act 2000</w:t>
      </w:r>
      <w:r>
        <w:t xml:space="preserve"> comes into operation </w:t>
      </w:r>
      <w:r>
        <w:rPr>
          <w:vertAlign w:val="superscript"/>
        </w:rPr>
        <w:t>3</w:t>
      </w:r>
      <w:r>
        <w:t>.</w:t>
      </w:r>
    </w:p>
    <w:p>
      <w:pPr>
        <w:pStyle w:val="Footnotesection"/>
      </w:pPr>
      <w:r>
        <w:tab/>
        <w:t>[Regulation 10 inserted in Gazette 15 Dec 2000 p. 7214.]</w:t>
      </w:r>
    </w:p>
    <w:p>
      <w:pPr>
        <w:pStyle w:val="Heading5"/>
      </w:pPr>
      <w:bookmarkStart w:id="72" w:name="_Toc501858350"/>
      <w:bookmarkStart w:id="73" w:name="_Toc510946892"/>
      <w:bookmarkStart w:id="74" w:name="_Toc512934875"/>
      <w:bookmarkStart w:id="75" w:name="_Toc34197689"/>
      <w:bookmarkStart w:id="76" w:name="_Toc261269945"/>
      <w:bookmarkStart w:id="77" w:name="_Toc253405120"/>
      <w:r>
        <w:rPr>
          <w:rStyle w:val="CharSectno"/>
        </w:rPr>
        <w:t>11</w:t>
      </w:r>
      <w:r>
        <w:t>.</w:t>
      </w:r>
      <w:r>
        <w:tab/>
        <w:t>Application of Australian Geodetic Datum</w:t>
      </w:r>
      <w:bookmarkEnd w:id="72"/>
      <w:bookmarkEnd w:id="73"/>
      <w:bookmarkEnd w:id="74"/>
      <w:bookmarkEnd w:id="75"/>
      <w:bookmarkEnd w:id="76"/>
      <w:bookmarkEnd w:id="77"/>
    </w:p>
    <w:p>
      <w:pPr>
        <w:pStyle w:val="Subsection"/>
      </w:pPr>
      <w:r>
        <w:tab/>
        <w:t>(1)</w:t>
      </w:r>
      <w:r>
        <w:tab/>
        <w:t>Subject to regulation 10, the AGD is the prescribed datum for the purposes referred to in section 27(4) of the Act.</w:t>
      </w:r>
    </w:p>
    <w:p>
      <w:pPr>
        <w:pStyle w:val="Subsection"/>
      </w:pPr>
      <w:r>
        <w:tab/>
        <w:t>(2)</w:t>
      </w:r>
      <w:r>
        <w:tab/>
        <w:t>The AGD is defined by an ellipsoid having a semi</w:t>
      </w:r>
      <w:r>
        <w:noBreakHyphen/>
        <w:t>major axis (equatorial radius) of 6 378 160 m and a flattening of 1/298.25 and fixed by the position of the origin being the Johnston Geodetic Station in the Northern Territory of Australia.</w:t>
      </w:r>
    </w:p>
    <w:p>
      <w:pPr>
        <w:pStyle w:val="Subsection"/>
      </w:pPr>
      <w:r>
        <w:tab/>
        <w:t>(3)</w:t>
      </w:r>
      <w:r>
        <w:tab/>
        <w:t xml:space="preserve">The Johnston Geodetic Station is taken to be situated at — </w:t>
      </w:r>
    </w:p>
    <w:p>
      <w:pPr>
        <w:pStyle w:val="Indenta"/>
        <w:rPr>
          <w:snapToGrid w:val="0"/>
        </w:rPr>
      </w:pPr>
      <w:r>
        <w:tab/>
        <w:t>(a)</w:t>
      </w:r>
      <w:r>
        <w:tab/>
      </w:r>
      <w:r>
        <w:rPr>
          <w:snapToGrid w:val="0"/>
        </w:rPr>
        <w:t>25° 56′ 54.5515″ south latitude and 133° 12′ 30.0771″ east longitude; or</w:t>
      </w:r>
    </w:p>
    <w:p>
      <w:pPr>
        <w:pStyle w:val="Indenta"/>
        <w:rPr>
          <w:snapToGrid w:val="0"/>
        </w:rPr>
      </w:pPr>
      <w:r>
        <w:rPr>
          <w:snapToGrid w:val="0"/>
        </w:rPr>
        <w:tab/>
        <w:t>(b)</w:t>
      </w:r>
      <w:r>
        <w:rPr>
          <w:snapToGrid w:val="0"/>
        </w:rPr>
        <w:tab/>
        <w:t>where decimal reckoning is used, 25° 56.90919′ south latitude and 133° 12.50129′ east longitude,</w:t>
      </w:r>
    </w:p>
    <w:p>
      <w:pPr>
        <w:pStyle w:val="Subsection"/>
        <w:rPr>
          <w:snapToGrid w:val="0"/>
        </w:rPr>
      </w:pPr>
      <w:r>
        <w:rPr>
          <w:snapToGrid w:val="0"/>
        </w:rPr>
        <w:tab/>
      </w:r>
      <w:r>
        <w:rPr>
          <w:snapToGrid w:val="0"/>
        </w:rPr>
        <w:tab/>
      </w:r>
      <w:r>
        <w:t>and</w:t>
      </w:r>
      <w:r>
        <w:rPr>
          <w:snapToGrid w:val="0"/>
        </w:rPr>
        <w:t xml:space="preserve"> to have a ground level elevation of 571.2 m above the ellipsoid referred to in subregulation (2).</w:t>
      </w:r>
    </w:p>
    <w:p>
      <w:pPr>
        <w:pStyle w:val="Subsection"/>
        <w:rPr>
          <w:snapToGrid w:val="0"/>
        </w:rPr>
      </w:pPr>
      <w:r>
        <w:rPr>
          <w:snapToGrid w:val="0"/>
        </w:rPr>
        <w:tab/>
        <w:t>(4)</w:t>
      </w:r>
      <w:r>
        <w:rPr>
          <w:snapToGrid w:val="0"/>
        </w:rPr>
        <w:tab/>
        <w:t>An instrument in force under the Act or these regulations immediately before the commencement day that contains a reference to the position on the surface of the Earth of a point, line or area determined by reference to the AGD is to be endorsed, if it is practicable to do so, with a statement to the effect that the AGD applied to that determination, but the omission of such a statement does not affect the validity of the instrument.</w:t>
      </w:r>
    </w:p>
    <w:p>
      <w:pPr>
        <w:pStyle w:val="Subsection"/>
        <w:keepLines/>
      </w:pPr>
      <w:r>
        <w:tab/>
        <w:t>(5)</w:t>
      </w:r>
      <w:r>
        <w:tab/>
        <w:t>If, in relation to an instrument referred to in subregulation (4), coordinates calculated by reference to the AGD are to be converted to coordinates calculated by reference to the GDA, the conversion is to be made using the National Transformation Version 2 (NTV2) grid file transformation.</w:t>
      </w:r>
    </w:p>
    <w:p>
      <w:pPr>
        <w:pStyle w:val="Footnotesection"/>
      </w:pPr>
      <w:r>
        <w:tab/>
        <w:t>[Regulation 11 inserted in Gazette 15 Dec 2000 p. 7215.]</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6" w:h="16838" w:code="9"/>
          <w:pgMar w:top="2381" w:right="2409" w:bottom="3543" w:left="2409" w:header="720" w:footer="3380" w:gutter="0"/>
          <w:pgNumType w:start="1"/>
          <w:cols w:space="720"/>
          <w:noEndnote/>
          <w:titlePg/>
          <w:docGrid w:linePitch="326"/>
        </w:sectPr>
      </w:pPr>
    </w:p>
    <w:p>
      <w:pPr>
        <w:pStyle w:val="yScheduleHeading"/>
      </w:pPr>
      <w:bookmarkStart w:id="78" w:name="_Toc261269946"/>
      <w:bookmarkStart w:id="79" w:name="_Toc233710474"/>
      <w:bookmarkStart w:id="80" w:name="_Toc233710535"/>
      <w:bookmarkStart w:id="81" w:name="_Toc236215150"/>
      <w:bookmarkStart w:id="82" w:name="_Toc236215344"/>
      <w:bookmarkStart w:id="83" w:name="_Toc236634259"/>
      <w:bookmarkStart w:id="84" w:name="_Toc238010420"/>
      <w:bookmarkStart w:id="85" w:name="_Toc253405065"/>
      <w:bookmarkStart w:id="86" w:name="_Toc253405121"/>
      <w:bookmarkStart w:id="87" w:name="_Toc512934878"/>
      <w:bookmarkStart w:id="88" w:name="_Toc514656905"/>
      <w:bookmarkStart w:id="89" w:name="_Toc514657427"/>
      <w:bookmarkStart w:id="90" w:name="_Toc34197691"/>
      <w:bookmarkStart w:id="91" w:name="_Toc233710475"/>
      <w:bookmarkStart w:id="92" w:name="_Toc233710536"/>
      <w:bookmarkStart w:id="93" w:name="_Toc236215151"/>
      <w:bookmarkStart w:id="94" w:name="_Toc236215345"/>
      <w:bookmarkStart w:id="95" w:name="_Toc236634260"/>
      <w:bookmarkStart w:id="96" w:name="_Toc238010421"/>
      <w:bookmarkStart w:id="97" w:name="_Toc253405066"/>
      <w:bookmarkStart w:id="98" w:name="_Toc253405122"/>
      <w:r>
        <w:rPr>
          <w:rStyle w:val="CharSchNo"/>
        </w:rPr>
        <w:t>Schedule 1</w:t>
      </w:r>
      <w:r>
        <w:t> — </w:t>
      </w:r>
      <w:r>
        <w:rPr>
          <w:rStyle w:val="CharSchText"/>
        </w:rPr>
        <w:t>Prescribed fees</w:t>
      </w:r>
      <w:bookmarkEnd w:id="78"/>
      <w:bookmarkEnd w:id="79"/>
      <w:bookmarkEnd w:id="80"/>
      <w:bookmarkEnd w:id="81"/>
      <w:bookmarkEnd w:id="82"/>
      <w:bookmarkEnd w:id="83"/>
      <w:bookmarkEnd w:id="84"/>
      <w:bookmarkEnd w:id="85"/>
      <w:bookmarkEnd w:id="86"/>
    </w:p>
    <w:p>
      <w:pPr>
        <w:pStyle w:val="yShoulderClause"/>
      </w:pPr>
      <w:r>
        <w:t>[r.</w:t>
      </w:r>
      <w:del w:id="99" w:author="Master Repository Process" w:date="2021-09-11T16:43:00Z">
        <w:r>
          <w:delText> </w:delText>
        </w:r>
      </w:del>
      <w:ins w:id="100" w:author="Master Repository Process" w:date="2021-09-11T16:43:00Z">
        <w:r>
          <w:t xml:space="preserve"> </w:t>
        </w:r>
      </w:ins>
      <w:r>
        <w:t>3(1)]</w:t>
      </w:r>
    </w:p>
    <w:p>
      <w:pPr>
        <w:pStyle w:val="yFootnoteheading"/>
        <w:spacing w:after="120"/>
      </w:pPr>
      <w:r>
        <w:tab/>
        <w:t xml:space="preserve">[Heading inserted in Gazette </w:t>
      </w:r>
      <w:del w:id="101" w:author="Master Repository Process" w:date="2021-09-11T16:43:00Z">
        <w:r>
          <w:delText>23 Jun 2009</w:delText>
        </w:r>
      </w:del>
      <w:ins w:id="102" w:author="Master Repository Process" w:date="2021-09-11T16:43:00Z">
        <w:r>
          <w:t>11 May 2010</w:t>
        </w:r>
      </w:ins>
      <w:r>
        <w:t xml:space="preserve"> p. </w:t>
      </w:r>
      <w:del w:id="103" w:author="Master Repository Process" w:date="2021-09-11T16:43:00Z">
        <w:r>
          <w:delText>2473</w:delText>
        </w:r>
      </w:del>
      <w:ins w:id="104" w:author="Master Repository Process" w:date="2021-09-11T16:43:00Z">
        <w:r>
          <w:t>1817-18</w:t>
        </w:r>
      </w:ins>
      <w:r>
        <w: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2126"/>
        <w:gridCol w:w="2835"/>
      </w:tblGrid>
      <w:tr>
        <w:trPr>
          <w:tblHeader/>
        </w:trPr>
        <w:tc>
          <w:tcPr>
            <w:tcW w:w="1276" w:type="dxa"/>
          </w:tcPr>
          <w:p>
            <w:pPr>
              <w:pStyle w:val="yTableNAm"/>
              <w:jc w:val="center"/>
              <w:rPr>
                <w:del w:id="105" w:author="Master Repository Process" w:date="2021-09-11T16:43:00Z"/>
                <w:b/>
                <w:bCs/>
              </w:rPr>
            </w:pPr>
            <w:r>
              <w:rPr>
                <w:b/>
                <w:bCs/>
              </w:rPr>
              <w:t>Column 1</w:t>
            </w:r>
          </w:p>
          <w:p>
            <w:pPr>
              <w:pStyle w:val="yTableNAm"/>
              <w:jc w:val="center"/>
              <w:rPr>
                <w:b/>
                <w:bCs/>
              </w:rPr>
            </w:pPr>
            <w:ins w:id="106" w:author="Master Repository Process" w:date="2021-09-11T16:43:00Z">
              <w:r>
                <w:rPr>
                  <w:b/>
                  <w:bCs/>
                </w:rPr>
                <w:br/>
              </w:r>
            </w:ins>
            <w:r>
              <w:rPr>
                <w:b/>
                <w:bCs/>
              </w:rPr>
              <w:t>Item</w:t>
            </w:r>
          </w:p>
        </w:tc>
        <w:tc>
          <w:tcPr>
            <w:tcW w:w="2126" w:type="dxa"/>
          </w:tcPr>
          <w:p>
            <w:pPr>
              <w:pStyle w:val="yTableNAm"/>
              <w:jc w:val="center"/>
              <w:rPr>
                <w:del w:id="107" w:author="Master Repository Process" w:date="2021-09-11T16:43:00Z"/>
                <w:b/>
                <w:bCs/>
              </w:rPr>
            </w:pPr>
            <w:r>
              <w:rPr>
                <w:b/>
                <w:bCs/>
              </w:rPr>
              <w:t>Column 2</w:t>
            </w:r>
          </w:p>
          <w:p>
            <w:pPr>
              <w:pStyle w:val="yTableNAm"/>
              <w:tabs>
                <w:tab w:val="clear" w:pos="567"/>
              </w:tabs>
              <w:ind w:left="67"/>
              <w:jc w:val="center"/>
              <w:rPr>
                <w:b/>
                <w:bCs/>
              </w:rPr>
            </w:pPr>
            <w:ins w:id="108" w:author="Master Repository Process" w:date="2021-09-11T16:43:00Z">
              <w:r>
                <w:rPr>
                  <w:b/>
                  <w:bCs/>
                </w:rPr>
                <w:br/>
              </w:r>
            </w:ins>
            <w:r>
              <w:rPr>
                <w:b/>
                <w:bCs/>
              </w:rPr>
              <w:t>Provision of Act</w:t>
            </w:r>
          </w:p>
        </w:tc>
        <w:tc>
          <w:tcPr>
            <w:tcW w:w="2835" w:type="dxa"/>
          </w:tcPr>
          <w:p>
            <w:pPr>
              <w:pStyle w:val="yTableNAm"/>
              <w:jc w:val="center"/>
              <w:rPr>
                <w:del w:id="109" w:author="Master Repository Process" w:date="2021-09-11T16:43:00Z"/>
                <w:b/>
                <w:bCs/>
              </w:rPr>
            </w:pPr>
            <w:r>
              <w:rPr>
                <w:b/>
                <w:bCs/>
              </w:rPr>
              <w:t>Column 3</w:t>
            </w:r>
          </w:p>
          <w:p>
            <w:pPr>
              <w:pStyle w:val="yTableNAm"/>
              <w:jc w:val="center"/>
              <w:rPr>
                <w:del w:id="110" w:author="Master Repository Process" w:date="2021-09-11T16:43:00Z"/>
                <w:b/>
                <w:bCs/>
              </w:rPr>
            </w:pPr>
            <w:ins w:id="111" w:author="Master Repository Process" w:date="2021-09-11T16:43:00Z">
              <w:r>
                <w:rPr>
                  <w:b/>
                  <w:bCs/>
                </w:rPr>
                <w:br/>
              </w:r>
            </w:ins>
            <w:r>
              <w:rPr>
                <w:b/>
                <w:bCs/>
              </w:rPr>
              <w:t>Amount of prescribed fee</w:t>
            </w:r>
          </w:p>
          <w:p>
            <w:pPr>
              <w:pStyle w:val="yTableNAm"/>
              <w:jc w:val="center"/>
              <w:rPr>
                <w:b/>
                <w:bCs/>
              </w:rPr>
            </w:pPr>
            <w:ins w:id="112" w:author="Master Repository Process" w:date="2021-09-11T16:43:00Z">
              <w:r>
                <w:rPr>
                  <w:b/>
                  <w:bCs/>
                </w:rPr>
                <w:br/>
              </w:r>
            </w:ins>
            <w:r>
              <w:rPr>
                <w:b/>
                <w:bCs/>
              </w:rPr>
              <w:t>($)</w:t>
            </w:r>
          </w:p>
        </w:tc>
      </w:tr>
      <w:tr>
        <w:tc>
          <w:tcPr>
            <w:tcW w:w="1276" w:type="dxa"/>
          </w:tcPr>
          <w:p>
            <w:pPr>
              <w:pStyle w:val="yTableNAm"/>
              <w:jc w:val="center"/>
            </w:pPr>
            <w:r>
              <w:t>1.</w:t>
            </w:r>
          </w:p>
        </w:tc>
        <w:tc>
          <w:tcPr>
            <w:tcW w:w="2126" w:type="dxa"/>
          </w:tcPr>
          <w:p>
            <w:pPr>
              <w:pStyle w:val="yTableNAm"/>
              <w:ind w:left="547"/>
            </w:pPr>
            <w:r>
              <w:t>s. 31(1)(f)</w:t>
            </w:r>
          </w:p>
        </w:tc>
        <w:tc>
          <w:tcPr>
            <w:tcW w:w="2835" w:type="dxa"/>
          </w:tcPr>
          <w:p>
            <w:pPr>
              <w:pStyle w:val="yTableNAm"/>
              <w:tabs>
                <w:tab w:val="clear" w:pos="567"/>
              </w:tabs>
              <w:ind w:right="958"/>
              <w:jc w:val="right"/>
            </w:pPr>
            <w:r>
              <w:t>4 </w:t>
            </w:r>
            <w:del w:id="113" w:author="Master Repository Process" w:date="2021-09-11T16:43:00Z">
              <w:r>
                <w:delText>064</w:delText>
              </w:r>
            </w:del>
            <w:ins w:id="114" w:author="Master Repository Process" w:date="2021-09-11T16:43:00Z">
              <w:r>
                <w:t>690</w:t>
              </w:r>
            </w:ins>
            <w:r>
              <w:t>.00</w:t>
            </w:r>
          </w:p>
        </w:tc>
      </w:tr>
      <w:tr>
        <w:tc>
          <w:tcPr>
            <w:tcW w:w="1276" w:type="dxa"/>
          </w:tcPr>
          <w:p>
            <w:pPr>
              <w:pStyle w:val="yTableNAm"/>
              <w:jc w:val="center"/>
            </w:pPr>
            <w:r>
              <w:t>2.</w:t>
            </w:r>
          </w:p>
        </w:tc>
        <w:tc>
          <w:tcPr>
            <w:tcW w:w="2126" w:type="dxa"/>
          </w:tcPr>
          <w:p>
            <w:pPr>
              <w:pStyle w:val="yTableNAm"/>
              <w:ind w:left="547"/>
            </w:pPr>
            <w:r>
              <w:t>s. 34(1)(a)</w:t>
            </w:r>
          </w:p>
        </w:tc>
        <w:tc>
          <w:tcPr>
            <w:tcW w:w="2835" w:type="dxa"/>
          </w:tcPr>
          <w:p>
            <w:pPr>
              <w:pStyle w:val="yTableNAm"/>
              <w:tabs>
                <w:tab w:val="clear" w:pos="567"/>
              </w:tabs>
              <w:ind w:right="958"/>
              <w:jc w:val="right"/>
            </w:pPr>
            <w:r>
              <w:t>4 </w:t>
            </w:r>
            <w:del w:id="115" w:author="Master Repository Process" w:date="2021-09-11T16:43:00Z">
              <w:r>
                <w:delText>064</w:delText>
              </w:r>
            </w:del>
            <w:ins w:id="116" w:author="Master Repository Process" w:date="2021-09-11T16:43:00Z">
              <w:r>
                <w:t>690</w:t>
              </w:r>
            </w:ins>
            <w:r>
              <w:t>.00</w:t>
            </w:r>
          </w:p>
        </w:tc>
      </w:tr>
      <w:tr>
        <w:tc>
          <w:tcPr>
            <w:tcW w:w="1276" w:type="dxa"/>
          </w:tcPr>
          <w:p>
            <w:pPr>
              <w:pStyle w:val="yTableNAm"/>
              <w:jc w:val="center"/>
            </w:pPr>
            <w:r>
              <w:t>3.</w:t>
            </w:r>
          </w:p>
        </w:tc>
        <w:tc>
          <w:tcPr>
            <w:tcW w:w="2126" w:type="dxa"/>
          </w:tcPr>
          <w:p>
            <w:pPr>
              <w:pStyle w:val="yTableNAm"/>
              <w:ind w:left="547"/>
            </w:pPr>
            <w:r>
              <w:t>s. 37A(2)(e)</w:t>
            </w:r>
          </w:p>
        </w:tc>
        <w:tc>
          <w:tcPr>
            <w:tcW w:w="2835" w:type="dxa"/>
          </w:tcPr>
          <w:p>
            <w:pPr>
              <w:pStyle w:val="yTableNAm"/>
              <w:tabs>
                <w:tab w:val="clear" w:pos="567"/>
              </w:tabs>
              <w:ind w:right="958"/>
              <w:jc w:val="right"/>
            </w:pPr>
            <w:del w:id="117" w:author="Master Repository Process" w:date="2021-09-11T16:43:00Z">
              <w:r>
                <w:delText>813</w:delText>
              </w:r>
            </w:del>
            <w:ins w:id="118" w:author="Master Repository Process" w:date="2021-09-11T16:43:00Z">
              <w:r>
                <w:t>938</w:t>
              </w:r>
            </w:ins>
            <w:r>
              <w:t>.00</w:t>
            </w:r>
          </w:p>
        </w:tc>
      </w:tr>
      <w:tr>
        <w:tc>
          <w:tcPr>
            <w:tcW w:w="1276" w:type="dxa"/>
          </w:tcPr>
          <w:p>
            <w:pPr>
              <w:pStyle w:val="yTableNAm"/>
              <w:jc w:val="center"/>
            </w:pPr>
            <w:r>
              <w:t>4.</w:t>
            </w:r>
          </w:p>
        </w:tc>
        <w:tc>
          <w:tcPr>
            <w:tcW w:w="2126" w:type="dxa"/>
          </w:tcPr>
          <w:p>
            <w:pPr>
              <w:pStyle w:val="yTableNAm"/>
              <w:ind w:left="547"/>
            </w:pPr>
            <w:r>
              <w:t>s. 40(2)(c)</w:t>
            </w:r>
          </w:p>
        </w:tc>
        <w:tc>
          <w:tcPr>
            <w:tcW w:w="2835" w:type="dxa"/>
          </w:tcPr>
          <w:p>
            <w:pPr>
              <w:pStyle w:val="yTableNAm"/>
              <w:tabs>
                <w:tab w:val="clear" w:pos="567"/>
              </w:tabs>
              <w:ind w:right="958"/>
              <w:jc w:val="right"/>
            </w:pPr>
            <w:r>
              <w:t>1 </w:t>
            </w:r>
            <w:del w:id="119" w:author="Master Repository Process" w:date="2021-09-11T16:43:00Z">
              <w:r>
                <w:delText>626</w:delText>
              </w:r>
            </w:del>
            <w:ins w:id="120" w:author="Master Repository Process" w:date="2021-09-11T16:43:00Z">
              <w:r>
                <w:t>877</w:t>
              </w:r>
            </w:ins>
            <w:r>
              <w:t>.00</w:t>
            </w:r>
          </w:p>
        </w:tc>
      </w:tr>
      <w:tr>
        <w:tc>
          <w:tcPr>
            <w:tcW w:w="1276" w:type="dxa"/>
          </w:tcPr>
          <w:p>
            <w:pPr>
              <w:pStyle w:val="yTableNAm"/>
              <w:jc w:val="center"/>
            </w:pPr>
            <w:r>
              <w:t>5.</w:t>
            </w:r>
          </w:p>
        </w:tc>
        <w:tc>
          <w:tcPr>
            <w:tcW w:w="2126" w:type="dxa"/>
          </w:tcPr>
          <w:p>
            <w:pPr>
              <w:pStyle w:val="yTableNAm"/>
              <w:ind w:left="547"/>
            </w:pPr>
            <w:r>
              <w:t>s. 43B(1)(f)</w:t>
            </w:r>
          </w:p>
        </w:tc>
        <w:tc>
          <w:tcPr>
            <w:tcW w:w="2835" w:type="dxa"/>
          </w:tcPr>
          <w:p>
            <w:pPr>
              <w:pStyle w:val="yTableNAm"/>
              <w:tabs>
                <w:tab w:val="clear" w:pos="567"/>
              </w:tabs>
              <w:ind w:right="958"/>
              <w:jc w:val="right"/>
            </w:pPr>
            <w:r>
              <w:t>4 </w:t>
            </w:r>
            <w:del w:id="121" w:author="Master Repository Process" w:date="2021-09-11T16:43:00Z">
              <w:r>
                <w:delText>064</w:delText>
              </w:r>
            </w:del>
            <w:ins w:id="122" w:author="Master Repository Process" w:date="2021-09-11T16:43:00Z">
              <w:r>
                <w:t>690</w:t>
              </w:r>
            </w:ins>
            <w:r>
              <w:t>.00</w:t>
            </w:r>
          </w:p>
        </w:tc>
      </w:tr>
      <w:tr>
        <w:tc>
          <w:tcPr>
            <w:tcW w:w="1276" w:type="dxa"/>
          </w:tcPr>
          <w:p>
            <w:pPr>
              <w:pStyle w:val="yTableNAm"/>
              <w:jc w:val="center"/>
            </w:pPr>
            <w:r>
              <w:t>6.</w:t>
            </w:r>
          </w:p>
        </w:tc>
        <w:tc>
          <w:tcPr>
            <w:tcW w:w="2126" w:type="dxa"/>
          </w:tcPr>
          <w:p>
            <w:pPr>
              <w:pStyle w:val="yTableNAm"/>
              <w:ind w:left="547"/>
            </w:pPr>
            <w:r>
              <w:t>s. 43F(3)(d)</w:t>
            </w:r>
          </w:p>
        </w:tc>
        <w:tc>
          <w:tcPr>
            <w:tcW w:w="2835" w:type="dxa"/>
          </w:tcPr>
          <w:p>
            <w:pPr>
              <w:pStyle w:val="yTableNAm"/>
              <w:tabs>
                <w:tab w:val="clear" w:pos="567"/>
              </w:tabs>
              <w:ind w:right="958"/>
              <w:jc w:val="right"/>
            </w:pPr>
            <w:r>
              <w:t>1 </w:t>
            </w:r>
            <w:del w:id="123" w:author="Master Repository Process" w:date="2021-09-11T16:43:00Z">
              <w:r>
                <w:delText>626</w:delText>
              </w:r>
            </w:del>
            <w:ins w:id="124" w:author="Master Repository Process" w:date="2021-09-11T16:43:00Z">
              <w:r>
                <w:t>877</w:t>
              </w:r>
            </w:ins>
            <w:r>
              <w:t>.00</w:t>
            </w:r>
          </w:p>
        </w:tc>
      </w:tr>
      <w:tr>
        <w:tc>
          <w:tcPr>
            <w:tcW w:w="1276" w:type="dxa"/>
          </w:tcPr>
          <w:p>
            <w:pPr>
              <w:pStyle w:val="yTableNAm"/>
              <w:jc w:val="center"/>
            </w:pPr>
            <w:r>
              <w:t>7.</w:t>
            </w:r>
          </w:p>
        </w:tc>
        <w:tc>
          <w:tcPr>
            <w:tcW w:w="2126" w:type="dxa"/>
          </w:tcPr>
          <w:p>
            <w:pPr>
              <w:pStyle w:val="yTableNAm"/>
              <w:ind w:left="547"/>
            </w:pPr>
            <w:r>
              <w:t>s. 48A(2)(e)</w:t>
            </w:r>
          </w:p>
        </w:tc>
        <w:tc>
          <w:tcPr>
            <w:tcW w:w="2835" w:type="dxa"/>
          </w:tcPr>
          <w:p>
            <w:pPr>
              <w:pStyle w:val="yTableNAm"/>
              <w:tabs>
                <w:tab w:val="clear" w:pos="567"/>
              </w:tabs>
              <w:ind w:right="958"/>
              <w:jc w:val="right"/>
            </w:pPr>
            <w:r>
              <w:t>1 </w:t>
            </w:r>
            <w:del w:id="125" w:author="Master Repository Process" w:date="2021-09-11T16:43:00Z">
              <w:r>
                <w:delText>626</w:delText>
              </w:r>
            </w:del>
            <w:ins w:id="126" w:author="Master Repository Process" w:date="2021-09-11T16:43:00Z">
              <w:r>
                <w:t>877</w:t>
              </w:r>
            </w:ins>
            <w:r>
              <w:t>.00</w:t>
            </w:r>
          </w:p>
        </w:tc>
      </w:tr>
      <w:tr>
        <w:tc>
          <w:tcPr>
            <w:tcW w:w="1276" w:type="dxa"/>
          </w:tcPr>
          <w:p>
            <w:pPr>
              <w:pStyle w:val="yTableNAm"/>
              <w:jc w:val="center"/>
            </w:pPr>
            <w:r>
              <w:t>8.</w:t>
            </w:r>
          </w:p>
        </w:tc>
        <w:tc>
          <w:tcPr>
            <w:tcW w:w="2126" w:type="dxa"/>
          </w:tcPr>
          <w:p>
            <w:pPr>
              <w:pStyle w:val="yTableNAm"/>
              <w:ind w:left="547"/>
            </w:pPr>
            <w:r>
              <w:t>s. 48F(2)(d)</w:t>
            </w:r>
          </w:p>
        </w:tc>
        <w:tc>
          <w:tcPr>
            <w:tcW w:w="2835" w:type="dxa"/>
          </w:tcPr>
          <w:p>
            <w:pPr>
              <w:pStyle w:val="yTableNAm"/>
              <w:tabs>
                <w:tab w:val="clear" w:pos="567"/>
              </w:tabs>
              <w:ind w:right="958"/>
              <w:jc w:val="right"/>
            </w:pPr>
            <w:r>
              <w:t>1 </w:t>
            </w:r>
            <w:del w:id="127" w:author="Master Repository Process" w:date="2021-09-11T16:43:00Z">
              <w:r>
                <w:delText>626</w:delText>
              </w:r>
            </w:del>
            <w:ins w:id="128" w:author="Master Repository Process" w:date="2021-09-11T16:43:00Z">
              <w:r>
                <w:t>877</w:t>
              </w:r>
            </w:ins>
            <w:r>
              <w:t>.00</w:t>
            </w:r>
          </w:p>
        </w:tc>
      </w:tr>
      <w:tr>
        <w:tc>
          <w:tcPr>
            <w:tcW w:w="1276" w:type="dxa"/>
          </w:tcPr>
          <w:p>
            <w:pPr>
              <w:pStyle w:val="yTableNAm"/>
              <w:jc w:val="center"/>
            </w:pPr>
            <w:r>
              <w:t>9.</w:t>
            </w:r>
          </w:p>
        </w:tc>
        <w:tc>
          <w:tcPr>
            <w:tcW w:w="2126" w:type="dxa"/>
          </w:tcPr>
          <w:p>
            <w:pPr>
              <w:pStyle w:val="yTableNAm"/>
              <w:ind w:left="547"/>
            </w:pPr>
            <w:r>
              <w:t>s. 51(1)(e)</w:t>
            </w:r>
          </w:p>
        </w:tc>
        <w:tc>
          <w:tcPr>
            <w:tcW w:w="2835" w:type="dxa"/>
          </w:tcPr>
          <w:p>
            <w:pPr>
              <w:pStyle w:val="yTableNAm"/>
              <w:tabs>
                <w:tab w:val="clear" w:pos="567"/>
              </w:tabs>
              <w:ind w:right="958"/>
              <w:jc w:val="right"/>
            </w:pPr>
            <w:r>
              <w:t>1 </w:t>
            </w:r>
            <w:del w:id="129" w:author="Master Repository Process" w:date="2021-09-11T16:43:00Z">
              <w:r>
                <w:delText>626</w:delText>
              </w:r>
            </w:del>
            <w:ins w:id="130" w:author="Master Repository Process" w:date="2021-09-11T16:43:00Z">
              <w:r>
                <w:t>877</w:t>
              </w:r>
            </w:ins>
            <w:r>
              <w:t>.00</w:t>
            </w:r>
          </w:p>
        </w:tc>
      </w:tr>
      <w:tr>
        <w:tc>
          <w:tcPr>
            <w:tcW w:w="1276" w:type="dxa"/>
          </w:tcPr>
          <w:p>
            <w:pPr>
              <w:pStyle w:val="yTableNAm"/>
              <w:jc w:val="center"/>
            </w:pPr>
            <w:r>
              <w:t>10.</w:t>
            </w:r>
          </w:p>
        </w:tc>
        <w:tc>
          <w:tcPr>
            <w:tcW w:w="2126" w:type="dxa"/>
          </w:tcPr>
          <w:p>
            <w:pPr>
              <w:pStyle w:val="yTableNAm"/>
              <w:ind w:left="547"/>
            </w:pPr>
            <w:r>
              <w:t>s. 58(1)(a)</w:t>
            </w:r>
          </w:p>
        </w:tc>
        <w:tc>
          <w:tcPr>
            <w:tcW w:w="2835" w:type="dxa"/>
          </w:tcPr>
          <w:p>
            <w:pPr>
              <w:pStyle w:val="yTableNAm"/>
              <w:tabs>
                <w:tab w:val="clear" w:pos="567"/>
              </w:tabs>
              <w:ind w:right="958"/>
              <w:jc w:val="right"/>
            </w:pPr>
            <w:r>
              <w:t>4 </w:t>
            </w:r>
            <w:del w:id="131" w:author="Master Repository Process" w:date="2021-09-11T16:43:00Z">
              <w:r>
                <w:delText>064</w:delText>
              </w:r>
            </w:del>
            <w:ins w:id="132" w:author="Master Repository Process" w:date="2021-09-11T16:43:00Z">
              <w:r>
                <w:t>690</w:t>
              </w:r>
            </w:ins>
            <w:r>
              <w:t>.00</w:t>
            </w:r>
          </w:p>
        </w:tc>
      </w:tr>
      <w:tr>
        <w:tc>
          <w:tcPr>
            <w:tcW w:w="1276" w:type="dxa"/>
          </w:tcPr>
          <w:p>
            <w:pPr>
              <w:pStyle w:val="yTableNAm"/>
              <w:jc w:val="center"/>
            </w:pPr>
            <w:r>
              <w:t>11.</w:t>
            </w:r>
          </w:p>
        </w:tc>
        <w:tc>
          <w:tcPr>
            <w:tcW w:w="2126" w:type="dxa"/>
          </w:tcPr>
          <w:p>
            <w:pPr>
              <w:pStyle w:val="yTableNAm"/>
              <w:ind w:left="547"/>
            </w:pPr>
            <w:r>
              <w:t>s. 61(2)(e)</w:t>
            </w:r>
          </w:p>
        </w:tc>
        <w:tc>
          <w:tcPr>
            <w:tcW w:w="2835" w:type="dxa"/>
          </w:tcPr>
          <w:p>
            <w:pPr>
              <w:pStyle w:val="yTableNAm"/>
              <w:tabs>
                <w:tab w:val="clear" w:pos="567"/>
              </w:tabs>
              <w:ind w:right="958"/>
              <w:jc w:val="right"/>
            </w:pPr>
            <w:del w:id="133" w:author="Master Repository Process" w:date="2021-09-11T16:43:00Z">
              <w:r>
                <w:delText>813</w:delText>
              </w:r>
            </w:del>
            <w:ins w:id="134" w:author="Master Repository Process" w:date="2021-09-11T16:43:00Z">
              <w:r>
                <w:t>938</w:t>
              </w:r>
            </w:ins>
            <w:r>
              <w:t>.00</w:t>
            </w:r>
          </w:p>
        </w:tc>
      </w:tr>
      <w:tr>
        <w:tc>
          <w:tcPr>
            <w:tcW w:w="1276" w:type="dxa"/>
          </w:tcPr>
          <w:p>
            <w:pPr>
              <w:pStyle w:val="yTableNAm"/>
              <w:jc w:val="center"/>
            </w:pPr>
            <w:r>
              <w:t>12.</w:t>
            </w:r>
          </w:p>
        </w:tc>
        <w:tc>
          <w:tcPr>
            <w:tcW w:w="2126" w:type="dxa"/>
          </w:tcPr>
          <w:p>
            <w:pPr>
              <w:pStyle w:val="yTableNAm"/>
              <w:ind w:left="547"/>
            </w:pPr>
            <w:r>
              <w:t>s. 64(2)(d)</w:t>
            </w:r>
          </w:p>
        </w:tc>
        <w:tc>
          <w:tcPr>
            <w:tcW w:w="2835" w:type="dxa"/>
          </w:tcPr>
          <w:p>
            <w:pPr>
              <w:pStyle w:val="yTableNAm"/>
              <w:tabs>
                <w:tab w:val="clear" w:pos="567"/>
              </w:tabs>
              <w:ind w:right="958"/>
              <w:jc w:val="right"/>
            </w:pPr>
            <w:r>
              <w:t>1 </w:t>
            </w:r>
            <w:del w:id="135" w:author="Master Repository Process" w:date="2021-09-11T16:43:00Z">
              <w:r>
                <w:delText>626</w:delText>
              </w:r>
            </w:del>
            <w:ins w:id="136" w:author="Master Repository Process" w:date="2021-09-11T16:43:00Z">
              <w:r>
                <w:t>877</w:t>
              </w:r>
            </w:ins>
            <w:r>
              <w:t>.00</w:t>
            </w:r>
          </w:p>
        </w:tc>
      </w:tr>
      <w:tr>
        <w:tc>
          <w:tcPr>
            <w:tcW w:w="1276" w:type="dxa"/>
          </w:tcPr>
          <w:p>
            <w:pPr>
              <w:pStyle w:val="yTableNAm"/>
              <w:jc w:val="center"/>
            </w:pPr>
            <w:r>
              <w:t>13.</w:t>
            </w:r>
          </w:p>
        </w:tc>
        <w:tc>
          <w:tcPr>
            <w:tcW w:w="2126" w:type="dxa"/>
          </w:tcPr>
          <w:p>
            <w:pPr>
              <w:pStyle w:val="yTableNAm"/>
              <w:ind w:left="547"/>
            </w:pPr>
            <w:r>
              <w:t>s. 73(2)</w:t>
            </w:r>
          </w:p>
        </w:tc>
        <w:tc>
          <w:tcPr>
            <w:tcW w:w="2835" w:type="dxa"/>
          </w:tcPr>
          <w:p>
            <w:pPr>
              <w:pStyle w:val="yTableNAm"/>
              <w:tabs>
                <w:tab w:val="clear" w:pos="567"/>
              </w:tabs>
              <w:ind w:right="958"/>
              <w:jc w:val="right"/>
            </w:pPr>
            <w:del w:id="137" w:author="Master Repository Process" w:date="2021-09-11T16:43:00Z">
              <w:r>
                <w:delText>81</w:delText>
              </w:r>
            </w:del>
            <w:ins w:id="138" w:author="Master Repository Process" w:date="2021-09-11T16:43:00Z">
              <w:r>
                <w:t>93</w:t>
              </w:r>
            </w:ins>
            <w:r>
              <w:t>.00</w:t>
            </w:r>
          </w:p>
        </w:tc>
      </w:tr>
      <w:tr>
        <w:tc>
          <w:tcPr>
            <w:tcW w:w="1276" w:type="dxa"/>
          </w:tcPr>
          <w:p>
            <w:pPr>
              <w:pStyle w:val="yTableNAm"/>
              <w:jc w:val="center"/>
            </w:pPr>
            <w:r>
              <w:t>14.</w:t>
            </w:r>
          </w:p>
        </w:tc>
        <w:tc>
          <w:tcPr>
            <w:tcW w:w="2126" w:type="dxa"/>
          </w:tcPr>
          <w:p>
            <w:pPr>
              <w:pStyle w:val="yTableNAm"/>
              <w:ind w:left="547"/>
            </w:pPr>
            <w:r>
              <w:t>s. 73(3)(b)</w:t>
            </w:r>
          </w:p>
        </w:tc>
        <w:tc>
          <w:tcPr>
            <w:tcW w:w="2835" w:type="dxa"/>
          </w:tcPr>
          <w:p>
            <w:pPr>
              <w:pStyle w:val="yTableNAm"/>
              <w:tabs>
                <w:tab w:val="clear" w:pos="567"/>
              </w:tabs>
              <w:ind w:right="958"/>
              <w:jc w:val="right"/>
            </w:pPr>
            <w:del w:id="139" w:author="Master Repository Process" w:date="2021-09-11T16:43:00Z">
              <w:r>
                <w:delText>81</w:delText>
              </w:r>
            </w:del>
            <w:ins w:id="140" w:author="Master Repository Process" w:date="2021-09-11T16:43:00Z">
              <w:r>
                <w:t>93</w:t>
              </w:r>
            </w:ins>
            <w:r>
              <w:t>.00</w:t>
            </w:r>
          </w:p>
        </w:tc>
      </w:tr>
      <w:tr>
        <w:tc>
          <w:tcPr>
            <w:tcW w:w="1276" w:type="dxa"/>
          </w:tcPr>
          <w:p>
            <w:pPr>
              <w:pStyle w:val="yTableNAm"/>
              <w:jc w:val="center"/>
            </w:pPr>
            <w:r>
              <w:t>15.</w:t>
            </w:r>
          </w:p>
        </w:tc>
        <w:tc>
          <w:tcPr>
            <w:tcW w:w="2126" w:type="dxa"/>
          </w:tcPr>
          <w:p>
            <w:pPr>
              <w:pStyle w:val="yTableNAm"/>
              <w:ind w:left="547"/>
            </w:pPr>
            <w:r>
              <w:t>s. 80(1)</w:t>
            </w:r>
          </w:p>
        </w:tc>
        <w:tc>
          <w:tcPr>
            <w:tcW w:w="2835" w:type="dxa"/>
          </w:tcPr>
          <w:p>
            <w:pPr>
              <w:pStyle w:val="yTableNAm"/>
              <w:tabs>
                <w:tab w:val="clear" w:pos="567"/>
              </w:tabs>
              <w:ind w:right="958"/>
              <w:jc w:val="right"/>
            </w:pPr>
            <w:del w:id="141" w:author="Master Repository Process" w:date="2021-09-11T16:43:00Z">
              <w:r>
                <w:delText>17</w:delText>
              </w:r>
            </w:del>
            <w:ins w:id="142" w:author="Master Repository Process" w:date="2021-09-11T16:43:00Z">
              <w:r>
                <w:t>20</w:t>
              </w:r>
            </w:ins>
            <w:r>
              <w:t>.00</w:t>
            </w:r>
          </w:p>
        </w:tc>
      </w:tr>
      <w:tr>
        <w:tc>
          <w:tcPr>
            <w:tcW w:w="1276" w:type="dxa"/>
          </w:tcPr>
          <w:p>
            <w:pPr>
              <w:pStyle w:val="yTableNAm"/>
              <w:jc w:val="center"/>
            </w:pPr>
            <w:r>
              <w:t>16.</w:t>
            </w:r>
          </w:p>
        </w:tc>
        <w:tc>
          <w:tcPr>
            <w:tcW w:w="2126" w:type="dxa"/>
          </w:tcPr>
          <w:p>
            <w:pPr>
              <w:pStyle w:val="yTableNAm"/>
              <w:ind w:left="547"/>
            </w:pPr>
            <w:r>
              <w:t>s. 81(3)</w:t>
            </w:r>
          </w:p>
        </w:tc>
        <w:tc>
          <w:tcPr>
            <w:tcW w:w="2835" w:type="dxa"/>
          </w:tcPr>
          <w:p>
            <w:pPr>
              <w:pStyle w:val="yTableNAm"/>
              <w:tabs>
                <w:tab w:val="clear" w:pos="567"/>
              </w:tabs>
              <w:ind w:right="958"/>
              <w:jc w:val="right"/>
            </w:pPr>
            <w:del w:id="143" w:author="Master Repository Process" w:date="2021-09-11T16:43:00Z">
              <w:r>
                <w:delText>41</w:delText>
              </w:r>
            </w:del>
            <w:ins w:id="144" w:author="Master Repository Process" w:date="2021-09-11T16:43:00Z">
              <w:r>
                <w:t>47</w:t>
              </w:r>
            </w:ins>
            <w:r>
              <w:t>.00</w:t>
            </w:r>
          </w:p>
        </w:tc>
      </w:tr>
      <w:tr>
        <w:tc>
          <w:tcPr>
            <w:tcW w:w="1276" w:type="dxa"/>
          </w:tcPr>
          <w:p>
            <w:pPr>
              <w:pStyle w:val="yTableNAm"/>
              <w:jc w:val="center"/>
            </w:pPr>
            <w:r>
              <w:t>17.</w:t>
            </w:r>
          </w:p>
        </w:tc>
        <w:tc>
          <w:tcPr>
            <w:tcW w:w="2126" w:type="dxa"/>
          </w:tcPr>
          <w:p>
            <w:pPr>
              <w:pStyle w:val="yTableNAm"/>
              <w:ind w:left="547"/>
            </w:pPr>
            <w:r>
              <w:t>s. 105(2)(d)</w:t>
            </w:r>
          </w:p>
        </w:tc>
        <w:tc>
          <w:tcPr>
            <w:tcW w:w="2835" w:type="dxa"/>
          </w:tcPr>
          <w:p>
            <w:pPr>
              <w:pStyle w:val="yTableNAm"/>
              <w:tabs>
                <w:tab w:val="clear" w:pos="567"/>
              </w:tabs>
              <w:ind w:right="958"/>
              <w:jc w:val="right"/>
            </w:pPr>
            <w:del w:id="145" w:author="Master Repository Process" w:date="2021-09-11T16:43:00Z">
              <w:r>
                <w:delText>813</w:delText>
              </w:r>
            </w:del>
            <w:ins w:id="146" w:author="Master Repository Process" w:date="2021-09-11T16:43:00Z">
              <w:r>
                <w:t>938</w:t>
              </w:r>
            </w:ins>
            <w:r>
              <w:t>.00</w:t>
            </w:r>
          </w:p>
        </w:tc>
      </w:tr>
      <w:tr>
        <w:tc>
          <w:tcPr>
            <w:tcW w:w="1276" w:type="dxa"/>
          </w:tcPr>
          <w:p>
            <w:pPr>
              <w:pStyle w:val="yTableNAm"/>
              <w:jc w:val="center"/>
            </w:pPr>
            <w:r>
              <w:t>18.</w:t>
            </w:r>
          </w:p>
        </w:tc>
        <w:tc>
          <w:tcPr>
            <w:tcW w:w="2126" w:type="dxa"/>
          </w:tcPr>
          <w:p>
            <w:pPr>
              <w:pStyle w:val="yTableNAm"/>
              <w:ind w:left="547"/>
            </w:pPr>
            <w:r>
              <w:t>s. 137(a)</w:t>
            </w:r>
          </w:p>
        </w:tc>
        <w:tc>
          <w:tcPr>
            <w:tcW w:w="2835" w:type="dxa"/>
          </w:tcPr>
          <w:p>
            <w:pPr>
              <w:pStyle w:val="yTableNAm"/>
              <w:tabs>
                <w:tab w:val="clear" w:pos="567"/>
              </w:tabs>
              <w:ind w:right="958"/>
              <w:jc w:val="right"/>
            </w:pPr>
            <w:r>
              <w:t>1 </w:t>
            </w:r>
            <w:del w:id="147" w:author="Master Repository Process" w:date="2021-09-11T16:43:00Z">
              <w:r>
                <w:delText>563</w:delText>
              </w:r>
            </w:del>
            <w:ins w:id="148" w:author="Master Repository Process" w:date="2021-09-11T16:43:00Z">
              <w:r>
                <w:t>640</w:t>
              </w:r>
            </w:ins>
            <w:r>
              <w:t>.00</w:t>
            </w:r>
          </w:p>
        </w:tc>
      </w:tr>
    </w:tbl>
    <w:p>
      <w:pPr>
        <w:pStyle w:val="yFootnotesection"/>
      </w:pPr>
      <w:r>
        <w:tab/>
        <w:t xml:space="preserve">[Schedule 1 inserted in Gazette </w:t>
      </w:r>
      <w:del w:id="149" w:author="Master Repository Process" w:date="2021-09-11T16:43:00Z">
        <w:r>
          <w:delText>23 Jun 2009</w:delText>
        </w:r>
      </w:del>
      <w:ins w:id="150" w:author="Master Repository Process" w:date="2021-09-11T16:43:00Z">
        <w:r>
          <w:t>11 May 2010</w:t>
        </w:r>
      </w:ins>
      <w:r>
        <w:t xml:space="preserve"> p. </w:t>
      </w:r>
      <w:del w:id="151" w:author="Master Repository Process" w:date="2021-09-11T16:43:00Z">
        <w:r>
          <w:delText>2473</w:delText>
        </w:r>
      </w:del>
      <w:ins w:id="152" w:author="Master Repository Process" w:date="2021-09-11T16:43:00Z">
        <w:r>
          <w:t>1817-18</w:t>
        </w:r>
      </w:ins>
      <w:r>
        <w:t>.]</w:t>
      </w:r>
    </w:p>
    <w:p>
      <w:pPr>
        <w:pStyle w:val="yScheduleHeading"/>
      </w:pPr>
      <w:bookmarkStart w:id="153" w:name="_Toc261269947"/>
      <w:r>
        <w:rPr>
          <w:rStyle w:val="CharSchNo"/>
        </w:rPr>
        <w:t>Schedule 2</w:t>
      </w:r>
      <w:bookmarkEnd w:id="87"/>
      <w:bookmarkEnd w:id="88"/>
      <w:bookmarkEnd w:id="89"/>
      <w:bookmarkEnd w:id="90"/>
      <w:bookmarkEnd w:id="91"/>
      <w:bookmarkEnd w:id="92"/>
      <w:bookmarkEnd w:id="93"/>
      <w:bookmarkEnd w:id="94"/>
      <w:bookmarkEnd w:id="95"/>
      <w:bookmarkEnd w:id="96"/>
      <w:bookmarkEnd w:id="97"/>
      <w:bookmarkEnd w:id="98"/>
      <w:bookmarkEnd w:id="153"/>
      <w:r>
        <w:rPr>
          <w:rStyle w:val="CharSchText"/>
        </w:rPr>
        <w:t xml:space="preserve"> </w:t>
      </w:r>
    </w:p>
    <w:p>
      <w:pPr>
        <w:pStyle w:val="yShoulderClause"/>
        <w:spacing w:before="60"/>
        <w:rPr>
          <w:snapToGrid w:val="0"/>
        </w:rPr>
      </w:pPr>
      <w:r>
        <w:rPr>
          <w:snapToGrid w:val="0"/>
        </w:rPr>
        <w:t>[Regulation 4]</w:t>
      </w:r>
    </w:p>
    <w:p>
      <w:pPr>
        <w:pStyle w:val="yMiscellaneousHeading"/>
        <w:rPr>
          <w:i/>
          <w:iCs/>
          <w:snapToGrid w:val="0"/>
        </w:rPr>
      </w:pPr>
      <w:bookmarkStart w:id="154" w:name="_Toc512934879"/>
      <w:bookmarkStart w:id="155" w:name="_Toc34197692"/>
      <w:r>
        <w:rPr>
          <w:i/>
          <w:iCs/>
          <w:snapToGrid w:val="0"/>
        </w:rPr>
        <w:t>Petroleum and Geothermal Energy Resources Act 1967</w:t>
      </w:r>
    </w:p>
    <w:p>
      <w:pPr>
        <w:pStyle w:val="yMiscellaneousHeading"/>
        <w:rPr>
          <w:i/>
          <w:iCs/>
        </w:rPr>
      </w:pPr>
      <w:r>
        <w:rPr>
          <w:i/>
          <w:iCs/>
          <w:snapToGrid w:val="0"/>
        </w:rPr>
        <w:t>Petroleum and Geothermal Energy Resources Regulations 1987</w:t>
      </w:r>
    </w:p>
    <w:p>
      <w:pPr>
        <w:pStyle w:val="yMiscellaneousHeading"/>
        <w:rPr>
          <w:bCs/>
          <w:iCs/>
          <w:snapToGrid w:val="0"/>
          <w:vertAlign w:val="superscript"/>
        </w:rPr>
      </w:pPr>
      <w:r>
        <w:rPr>
          <w:b/>
          <w:snapToGrid w:val="0"/>
        </w:rPr>
        <w:t>Form of instrument of transfer of title under section 72</w:t>
      </w:r>
      <w:r>
        <w:rPr>
          <w:b/>
          <w:snapToGrid w:val="0"/>
        </w:rPr>
        <w:br/>
        <w:t xml:space="preserve">of </w:t>
      </w:r>
      <w:r>
        <w:rPr>
          <w:b/>
          <w:i/>
          <w:snapToGrid w:val="0"/>
        </w:rPr>
        <w:t xml:space="preserve">Petroleum </w:t>
      </w:r>
      <w:r>
        <w:rPr>
          <w:b/>
          <w:i/>
          <w:iCs/>
          <w:snapToGrid w:val="0"/>
        </w:rPr>
        <w:t>and Geothermal Energy Resources</w:t>
      </w:r>
      <w:r>
        <w:rPr>
          <w:b/>
          <w:i/>
          <w:snapToGrid w:val="0"/>
        </w:rPr>
        <w:t xml:space="preserve"> Act 1967</w:t>
      </w:r>
      <w:bookmarkEnd w:id="154"/>
      <w:bookmarkEnd w:id="155"/>
      <w:r>
        <w:rPr>
          <w:b/>
          <w:i/>
          <w:snapToGrid w:val="0"/>
        </w:rPr>
        <w:t> </w:t>
      </w:r>
      <w:r>
        <w:rPr>
          <w:bCs/>
          <w:iCs/>
          <w:snapToGrid w:val="0"/>
          <w:vertAlign w:val="superscript"/>
        </w:rPr>
        <w:t>4</w:t>
      </w:r>
    </w:p>
    <w:p>
      <w:pPr>
        <w:pStyle w:val="yMiscellaneousBody"/>
        <w:rPr>
          <w:snapToGrid w:val="0"/>
        </w:rPr>
      </w:pPr>
      <w:r>
        <w:rPr>
          <w:snapToGrid w:val="0"/>
        </w:rPr>
        <w:t xml:space="preserve">I/We </w:t>
      </w:r>
      <w:r>
        <w:rPr>
          <w:snapToGrid w:val="0"/>
          <w:vertAlign w:val="superscript"/>
        </w:rPr>
        <w:t>(1)(2)</w:t>
      </w:r>
      <w:r>
        <w:rPr>
          <w:snapToGrid w:val="0"/>
        </w:rPr>
        <w:t xml:space="preserve"> ................................................................................................................ being the registered holder/holders </w:t>
      </w:r>
      <w:r>
        <w:rPr>
          <w:snapToGrid w:val="0"/>
          <w:vertAlign w:val="superscript"/>
        </w:rPr>
        <w:t>(1)</w:t>
      </w:r>
      <w:r>
        <w:rPr>
          <w:snapToGrid w:val="0"/>
        </w:rPr>
        <w:t xml:space="preserve"> of </w:t>
      </w:r>
      <w:r>
        <w:rPr>
          <w:snapToGrid w:val="0"/>
          <w:vertAlign w:val="superscript"/>
        </w:rPr>
        <w:t>(3)</w:t>
      </w:r>
      <w:r>
        <w:rPr>
          <w:snapToGrid w:val="0"/>
        </w:rPr>
        <w:t xml:space="preserve"> ........................................................... in consideration of </w:t>
      </w:r>
      <w:r>
        <w:rPr>
          <w:snapToGrid w:val="0"/>
          <w:vertAlign w:val="superscript"/>
        </w:rPr>
        <w:t>(4)</w:t>
      </w:r>
      <w:r>
        <w:rPr>
          <w:snapToGrid w:val="0"/>
        </w:rPr>
        <w:t xml:space="preserve">  ............................................................................................ hereby transfer all right, title and interest in that </w:t>
      </w:r>
      <w:r>
        <w:rPr>
          <w:snapToGrid w:val="0"/>
          <w:vertAlign w:val="superscript"/>
        </w:rPr>
        <w:t>(3)</w:t>
      </w:r>
      <w:r>
        <w:rPr>
          <w:snapToGrid w:val="0"/>
        </w:rPr>
        <w:t xml:space="preserve"> ............................................... to </w:t>
      </w:r>
      <w:r>
        <w:rPr>
          <w:snapToGrid w:val="0"/>
          <w:vertAlign w:val="superscript"/>
        </w:rPr>
        <w:t>(5)</w:t>
      </w:r>
      <w:r>
        <w:rPr>
          <w:snapToGrid w:val="0"/>
        </w:rPr>
        <w:t xml:space="preserve">  .....................................................................................................................</w:t>
      </w:r>
    </w:p>
    <w:p>
      <w:pPr>
        <w:pStyle w:val="yMiscellaneousBody"/>
        <w:spacing w:before="120"/>
        <w:rPr>
          <w:snapToGrid w:val="0"/>
        </w:rPr>
      </w:pPr>
      <w:r>
        <w:rPr>
          <w:snapToGrid w:val="0"/>
        </w:rPr>
        <w:t>In witness of this transfer the parties to the transfer have affixed their respective common seals or signatures below on this ............................................................ day of ................................................... 20 ..........</w:t>
      </w:r>
    </w:p>
    <w:p>
      <w:pPr>
        <w:pStyle w:val="yMiscellaneousBody"/>
        <w:tabs>
          <w:tab w:val="left" w:pos="1680"/>
          <w:tab w:val="left" w:pos="5040"/>
        </w:tabs>
        <w:spacing w:before="120"/>
        <w:rPr>
          <w:snapToGrid w:val="0"/>
        </w:rPr>
      </w:pPr>
      <w:r>
        <w:rPr>
          <w:snapToGrid w:val="0"/>
          <w:vertAlign w:val="superscript"/>
        </w:rPr>
        <w:tab/>
        <w:t>(6) </w:t>
      </w:r>
      <w:r>
        <w:rPr>
          <w:snapToGrid w:val="0"/>
          <w:vertAlign w:val="superscript"/>
        </w:rPr>
        <w:tab/>
        <w:t>(7)</w:t>
      </w:r>
      <w:r>
        <w:rPr>
          <w:snapToGrid w:val="0"/>
        </w:rPr>
        <w:t xml:space="preserve"> </w:t>
      </w:r>
    </w:p>
    <w:p>
      <w:pPr>
        <w:pStyle w:val="yMiscellaneousBody"/>
        <w:tabs>
          <w:tab w:val="left" w:pos="480"/>
        </w:tabs>
        <w:spacing w:before="60"/>
        <w:ind w:left="482" w:hanging="482"/>
        <w:rPr>
          <w:snapToGrid w:val="0"/>
        </w:rPr>
      </w:pPr>
      <w:r>
        <w:rPr>
          <w:snapToGrid w:val="0"/>
          <w:vertAlign w:val="superscript"/>
        </w:rPr>
        <w:t>(1)</w:t>
      </w:r>
      <w:r>
        <w:rPr>
          <w:snapToGrid w:val="0"/>
        </w:rPr>
        <w:t xml:space="preserve"> </w:t>
      </w:r>
      <w:r>
        <w:rPr>
          <w:snapToGrid w:val="0"/>
        </w:rPr>
        <w:tab/>
        <w:t>Delete whichever is inapplicable.</w:t>
      </w:r>
    </w:p>
    <w:p>
      <w:pPr>
        <w:pStyle w:val="yMiscellaneousBody"/>
        <w:tabs>
          <w:tab w:val="left" w:pos="480"/>
        </w:tabs>
        <w:spacing w:before="60"/>
        <w:ind w:left="482" w:hanging="482"/>
        <w:rPr>
          <w:snapToGrid w:val="0"/>
        </w:rPr>
      </w:pPr>
      <w:r>
        <w:rPr>
          <w:snapToGrid w:val="0"/>
          <w:vertAlign w:val="superscript"/>
        </w:rPr>
        <w:t>(2)</w:t>
      </w:r>
      <w:r>
        <w:rPr>
          <w:snapToGrid w:val="0"/>
        </w:rPr>
        <w:t xml:space="preserve"> </w:t>
      </w:r>
      <w:r>
        <w:rPr>
          <w:snapToGrid w:val="0"/>
        </w:rPr>
        <w:tab/>
        <w:t>Here insert the name of the transferor, or, if there are 2 or more transferors, the name of each transferor.</w:t>
      </w:r>
    </w:p>
    <w:p>
      <w:pPr>
        <w:pStyle w:val="yMiscellaneousBody"/>
        <w:tabs>
          <w:tab w:val="left" w:pos="480"/>
        </w:tabs>
        <w:spacing w:before="60"/>
        <w:ind w:left="482" w:hanging="482"/>
        <w:rPr>
          <w:snapToGrid w:val="0"/>
        </w:rPr>
      </w:pPr>
      <w:r>
        <w:rPr>
          <w:snapToGrid w:val="0"/>
          <w:vertAlign w:val="superscript"/>
        </w:rPr>
        <w:t>(3)</w:t>
      </w:r>
      <w:r>
        <w:rPr>
          <w:snapToGrid w:val="0"/>
        </w:rPr>
        <w:t xml:space="preserve"> </w:t>
      </w:r>
      <w:r>
        <w:rPr>
          <w:snapToGrid w:val="0"/>
        </w:rPr>
        <w:tab/>
        <w:t xml:space="preserve">Here insert the type (e.g. exploration permit, production licence), and number, of the property transferred that is a title </w:t>
      </w:r>
      <w:r>
        <w:t>as defined in section 69J</w:t>
      </w:r>
      <w:r>
        <w:rPr>
          <w:snapToGrid w:val="0"/>
        </w:rPr>
        <w:t xml:space="preserve"> of the Act.</w:t>
      </w:r>
    </w:p>
    <w:p>
      <w:pPr>
        <w:pStyle w:val="yMiscellaneousBody"/>
        <w:tabs>
          <w:tab w:val="left" w:pos="480"/>
        </w:tabs>
        <w:spacing w:before="60"/>
        <w:ind w:left="482" w:hanging="482"/>
        <w:rPr>
          <w:snapToGrid w:val="0"/>
        </w:rPr>
      </w:pPr>
      <w:r>
        <w:rPr>
          <w:snapToGrid w:val="0"/>
          <w:vertAlign w:val="superscript"/>
        </w:rPr>
        <w:t>(4)</w:t>
      </w:r>
      <w:r>
        <w:rPr>
          <w:snapToGrid w:val="0"/>
        </w:rPr>
        <w:t xml:space="preserve"> </w:t>
      </w:r>
      <w:r>
        <w:rPr>
          <w:snapToGrid w:val="0"/>
        </w:rPr>
        <w:tab/>
        <w:t>Here insert the value of the consideration for the transfer or the value of the title transferred. If the transfer of the title is pursuant to a dealing which has been approved and registered under the Act, insert a reference that is sufficient to identify that dealing.</w:t>
      </w:r>
    </w:p>
    <w:p>
      <w:pPr>
        <w:pStyle w:val="yMiscellaneousBody"/>
        <w:tabs>
          <w:tab w:val="left" w:pos="480"/>
        </w:tabs>
        <w:spacing w:before="60"/>
        <w:ind w:left="482" w:hanging="482"/>
        <w:rPr>
          <w:snapToGrid w:val="0"/>
        </w:rPr>
      </w:pPr>
      <w:r>
        <w:rPr>
          <w:snapToGrid w:val="0"/>
          <w:vertAlign w:val="superscript"/>
        </w:rPr>
        <w:t>(5)</w:t>
      </w:r>
      <w:r>
        <w:rPr>
          <w:snapToGrid w:val="0"/>
        </w:rPr>
        <w:t xml:space="preserve"> </w:t>
      </w:r>
      <w:r>
        <w:rPr>
          <w:snapToGrid w:val="0"/>
        </w:rPr>
        <w:tab/>
        <w:t>Here insert the name and address of the transferee, or, if there are 2 or more transferees, the name and address of each transferee.</w:t>
      </w:r>
    </w:p>
    <w:p>
      <w:pPr>
        <w:pStyle w:val="yMiscellaneousBody"/>
        <w:tabs>
          <w:tab w:val="left" w:pos="480"/>
        </w:tabs>
        <w:spacing w:before="60"/>
        <w:ind w:left="482" w:hanging="482"/>
        <w:rPr>
          <w:snapToGrid w:val="0"/>
        </w:rPr>
      </w:pPr>
      <w:r>
        <w:rPr>
          <w:snapToGrid w:val="0"/>
          <w:vertAlign w:val="superscript"/>
        </w:rPr>
        <w:t>(6)</w:t>
      </w:r>
      <w:r>
        <w:rPr>
          <w:snapToGrid w:val="0"/>
        </w:rPr>
        <w:t xml:space="preserve"> </w:t>
      </w:r>
      <w:r>
        <w:rPr>
          <w:snapToGrid w:val="0"/>
        </w:rPr>
        <w:tab/>
        <w:t>Here affix the common seal or signature of the transferor or of each transferor, as the case may be.</w:t>
      </w:r>
    </w:p>
    <w:p>
      <w:pPr>
        <w:pStyle w:val="yMiscellaneousBody"/>
        <w:tabs>
          <w:tab w:val="left" w:pos="480"/>
        </w:tabs>
        <w:spacing w:before="60"/>
        <w:ind w:left="482" w:hanging="482"/>
        <w:rPr>
          <w:snapToGrid w:val="0"/>
        </w:rPr>
      </w:pPr>
      <w:r>
        <w:rPr>
          <w:snapToGrid w:val="0"/>
          <w:vertAlign w:val="superscript"/>
        </w:rPr>
        <w:t>(7)</w:t>
      </w:r>
      <w:r>
        <w:rPr>
          <w:snapToGrid w:val="0"/>
        </w:rPr>
        <w:t xml:space="preserve"> </w:t>
      </w:r>
      <w:r>
        <w:rPr>
          <w:snapToGrid w:val="0"/>
        </w:rPr>
        <w:tab/>
        <w:t>Here affix the common seal or signature of the transferee or of each transferee, as the case may be.</w:t>
      </w:r>
    </w:p>
    <w:p>
      <w:pPr>
        <w:pStyle w:val="yFootnotesection"/>
        <w:spacing w:before="60"/>
      </w:pPr>
      <w:r>
        <w:tab/>
        <w:t>[Schedule 2 inserted in Gazette 28 Sep 1990 p. 5102; amended in Gazette 23 Jun 2009 p. 2474.]</w:t>
      </w:r>
    </w:p>
    <w:p>
      <w:pPr>
        <w:ind w:right="958"/>
        <w:jc w:val="right"/>
        <w:sectPr>
          <w:headerReference w:type="even" r:id="rId20"/>
          <w:headerReference w:type="default" r:id="rId21"/>
          <w:headerReference w:type="first" r:id="rId22"/>
          <w:pgSz w:w="11906" w:h="16838" w:code="9"/>
          <w:pgMar w:top="2381" w:right="2409" w:bottom="3543" w:left="2409" w:header="720" w:footer="3380" w:gutter="0"/>
          <w:cols w:space="720"/>
          <w:noEndnote/>
          <w:docGrid w:linePitch="326"/>
        </w:sectPr>
      </w:pPr>
    </w:p>
    <w:p>
      <w:pPr>
        <w:pStyle w:val="nHeading2"/>
      </w:pPr>
      <w:bookmarkStart w:id="156" w:name="_Toc233710476"/>
      <w:bookmarkStart w:id="157" w:name="_Toc233710537"/>
      <w:bookmarkStart w:id="158" w:name="_Toc236215152"/>
      <w:bookmarkStart w:id="159" w:name="_Toc236215346"/>
      <w:bookmarkStart w:id="160" w:name="_Toc236634261"/>
      <w:bookmarkStart w:id="161" w:name="_Toc238010422"/>
      <w:bookmarkStart w:id="162" w:name="_Toc253405067"/>
      <w:bookmarkStart w:id="163" w:name="_Toc253405123"/>
      <w:bookmarkStart w:id="164" w:name="_Toc261269948"/>
      <w:r>
        <w:t>Notes</w:t>
      </w:r>
      <w:bookmarkEnd w:id="156"/>
      <w:bookmarkEnd w:id="157"/>
      <w:bookmarkEnd w:id="158"/>
      <w:bookmarkEnd w:id="159"/>
      <w:bookmarkEnd w:id="160"/>
      <w:bookmarkEnd w:id="161"/>
      <w:bookmarkEnd w:id="162"/>
      <w:bookmarkEnd w:id="163"/>
      <w:bookmarkEnd w:id="164"/>
    </w:p>
    <w:p>
      <w:pPr>
        <w:pStyle w:val="nSubsection"/>
        <w:rPr>
          <w:snapToGrid w:val="0"/>
        </w:rPr>
      </w:pPr>
      <w:r>
        <w:rPr>
          <w:snapToGrid w:val="0"/>
          <w:vertAlign w:val="superscript"/>
        </w:rPr>
        <w:t>1</w:t>
      </w:r>
      <w:r>
        <w:rPr>
          <w:snapToGrid w:val="0"/>
          <w:vertAlign w:val="superscript"/>
        </w:rPr>
        <w:tab/>
      </w:r>
      <w:r>
        <w:rPr>
          <w:snapToGrid w:val="0"/>
        </w:rPr>
        <w:t xml:space="preserve">This is a compilation of the </w:t>
      </w:r>
      <w:r>
        <w:rPr>
          <w:i/>
          <w:noProof/>
          <w:snapToGrid w:val="0"/>
        </w:rPr>
        <w:t>Petroleum and Geothermal Energy Resources Regulations 1987</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65" w:name="_Toc261269949"/>
      <w:bookmarkStart w:id="166" w:name="_Toc253405124"/>
      <w:r>
        <w:rPr>
          <w:snapToGrid w:val="0"/>
        </w:rPr>
        <w:t>Compilation table</w:t>
      </w:r>
      <w:bookmarkEnd w:id="165"/>
      <w:bookmarkEnd w:id="166"/>
    </w:p>
    <w:tbl>
      <w:tblPr>
        <w:tblW w:w="7115" w:type="dxa"/>
        <w:tblInd w:w="28" w:type="dxa"/>
        <w:tblLayout w:type="fixed"/>
        <w:tblCellMar>
          <w:left w:w="56" w:type="dxa"/>
          <w:right w:w="56" w:type="dxa"/>
        </w:tblCellMar>
        <w:tblLook w:val="0000" w:firstRow="0" w:lastRow="0" w:firstColumn="0" w:lastColumn="0" w:noHBand="0" w:noVBand="0"/>
      </w:tblPr>
      <w:tblGrid>
        <w:gridCol w:w="28"/>
        <w:gridCol w:w="3090"/>
        <w:gridCol w:w="1276"/>
        <w:gridCol w:w="2693"/>
        <w:gridCol w:w="28"/>
      </w:tblGrid>
      <w:tr>
        <w:trPr>
          <w:gridAfter w:val="1"/>
          <w:wAfter w:w="28" w:type="dxa"/>
          <w:cantSplit/>
          <w:tblHeader/>
        </w:trPr>
        <w:tc>
          <w:tcPr>
            <w:tcW w:w="3118" w:type="dxa"/>
            <w:gridSpan w:val="2"/>
            <w:tcBorders>
              <w:top w:val="single" w:sz="8" w:space="0" w:color="auto"/>
              <w:bottom w:val="single" w:sz="8" w:space="0" w:color="auto"/>
            </w:tcBorders>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pPr>
              <w:pStyle w:val="nTable"/>
              <w:spacing w:after="40"/>
              <w:ind w:left="57"/>
              <w:rPr>
                <w:b/>
                <w:sz w:val="19"/>
              </w:rPr>
            </w:pPr>
            <w:r>
              <w:rPr>
                <w:b/>
                <w:sz w:val="19"/>
              </w:rPr>
              <w:t>Gazettal</w:t>
            </w:r>
          </w:p>
        </w:tc>
        <w:tc>
          <w:tcPr>
            <w:tcW w:w="2693" w:type="dxa"/>
            <w:tcBorders>
              <w:top w:val="single" w:sz="8" w:space="0" w:color="auto"/>
              <w:bottom w:val="single" w:sz="8" w:space="0" w:color="auto"/>
            </w:tcBorders>
          </w:tcPr>
          <w:p>
            <w:pPr>
              <w:pStyle w:val="nTable"/>
              <w:spacing w:after="40"/>
              <w:ind w:left="284"/>
              <w:rPr>
                <w:b/>
                <w:sz w:val="19"/>
              </w:rPr>
            </w:pPr>
            <w:r>
              <w:rPr>
                <w:b/>
                <w:sz w:val="19"/>
              </w:rPr>
              <w:t>Commencement</w:t>
            </w:r>
          </w:p>
        </w:tc>
      </w:tr>
      <w:tr>
        <w:trPr>
          <w:gridAfter w:val="1"/>
          <w:wAfter w:w="28" w:type="dxa"/>
          <w:cantSplit/>
        </w:trPr>
        <w:tc>
          <w:tcPr>
            <w:tcW w:w="3118" w:type="dxa"/>
            <w:gridSpan w:val="2"/>
          </w:tcPr>
          <w:p>
            <w:pPr>
              <w:pStyle w:val="nTable"/>
              <w:spacing w:after="40"/>
              <w:ind w:right="113"/>
              <w:rPr>
                <w:iCs/>
                <w:sz w:val="19"/>
                <w:vertAlign w:val="superscript"/>
              </w:rPr>
            </w:pPr>
            <w:r>
              <w:rPr>
                <w:i/>
                <w:sz w:val="19"/>
              </w:rPr>
              <w:t>Petroleum Regulations 1987</w:t>
            </w:r>
            <w:r>
              <w:rPr>
                <w:iCs/>
                <w:sz w:val="19"/>
              </w:rPr>
              <w:t> </w:t>
            </w:r>
            <w:r>
              <w:rPr>
                <w:iCs/>
                <w:sz w:val="19"/>
                <w:vertAlign w:val="superscript"/>
              </w:rPr>
              <w:t>5</w:t>
            </w:r>
          </w:p>
        </w:tc>
        <w:tc>
          <w:tcPr>
            <w:tcW w:w="1276" w:type="dxa"/>
          </w:tcPr>
          <w:p>
            <w:pPr>
              <w:pStyle w:val="nTable"/>
              <w:spacing w:after="40"/>
              <w:ind w:left="57"/>
              <w:rPr>
                <w:sz w:val="19"/>
              </w:rPr>
            </w:pPr>
            <w:r>
              <w:rPr>
                <w:sz w:val="19"/>
              </w:rPr>
              <w:t>23 Oct 1987 p. 3971</w:t>
            </w:r>
            <w:r>
              <w:rPr>
                <w:sz w:val="19"/>
              </w:rPr>
              <w:noBreakHyphen/>
              <w:t>2</w:t>
            </w:r>
          </w:p>
        </w:tc>
        <w:tc>
          <w:tcPr>
            <w:tcW w:w="2693" w:type="dxa"/>
          </w:tcPr>
          <w:p>
            <w:pPr>
              <w:pStyle w:val="nTable"/>
              <w:spacing w:after="40"/>
              <w:ind w:left="96"/>
              <w:rPr>
                <w:sz w:val="19"/>
              </w:rPr>
            </w:pPr>
            <w:r>
              <w:rPr>
                <w:sz w:val="19"/>
              </w:rPr>
              <w:t>23 Oct 1987</w:t>
            </w:r>
          </w:p>
        </w:tc>
      </w:tr>
      <w:tr>
        <w:trPr>
          <w:gridAfter w:val="1"/>
          <w:wAfter w:w="28" w:type="dxa"/>
          <w:cantSplit/>
        </w:trPr>
        <w:tc>
          <w:tcPr>
            <w:tcW w:w="3118" w:type="dxa"/>
            <w:gridSpan w:val="2"/>
          </w:tcPr>
          <w:p>
            <w:pPr>
              <w:pStyle w:val="nTable"/>
              <w:spacing w:after="40"/>
              <w:ind w:right="113"/>
              <w:rPr>
                <w:sz w:val="19"/>
              </w:rPr>
            </w:pPr>
            <w:r>
              <w:rPr>
                <w:i/>
                <w:sz w:val="19"/>
              </w:rPr>
              <w:t>Petroleum Amendment Regulations 1990</w:t>
            </w:r>
          </w:p>
        </w:tc>
        <w:tc>
          <w:tcPr>
            <w:tcW w:w="1276" w:type="dxa"/>
          </w:tcPr>
          <w:p>
            <w:pPr>
              <w:pStyle w:val="nTable"/>
              <w:spacing w:after="40"/>
              <w:ind w:left="57"/>
              <w:rPr>
                <w:sz w:val="19"/>
              </w:rPr>
            </w:pPr>
            <w:r>
              <w:rPr>
                <w:sz w:val="19"/>
              </w:rPr>
              <w:t>28 Sep 1990 p. 5100</w:t>
            </w:r>
            <w:r>
              <w:rPr>
                <w:sz w:val="19"/>
              </w:rPr>
              <w:noBreakHyphen/>
              <w:t>2</w:t>
            </w:r>
          </w:p>
        </w:tc>
        <w:tc>
          <w:tcPr>
            <w:tcW w:w="2693" w:type="dxa"/>
          </w:tcPr>
          <w:p>
            <w:pPr>
              <w:pStyle w:val="nTable"/>
              <w:spacing w:after="40"/>
              <w:ind w:left="96"/>
              <w:rPr>
                <w:sz w:val="19"/>
              </w:rPr>
            </w:pPr>
            <w:r>
              <w:rPr>
                <w:sz w:val="19"/>
              </w:rPr>
              <w:t xml:space="preserve">1 Oct 1990 (see r. 2 and </w:t>
            </w:r>
            <w:r>
              <w:rPr>
                <w:i/>
                <w:sz w:val="19"/>
              </w:rPr>
              <w:t>Gazette</w:t>
            </w:r>
            <w:r>
              <w:rPr>
                <w:sz w:val="19"/>
              </w:rPr>
              <w:t xml:space="preserve"> 28 Sep 1990 p. 5099)</w:t>
            </w:r>
          </w:p>
        </w:tc>
      </w:tr>
      <w:tr>
        <w:trPr>
          <w:gridAfter w:val="1"/>
          <w:wAfter w:w="28" w:type="dxa"/>
          <w:cantSplit/>
        </w:trPr>
        <w:tc>
          <w:tcPr>
            <w:tcW w:w="3118" w:type="dxa"/>
            <w:gridSpan w:val="2"/>
          </w:tcPr>
          <w:p>
            <w:pPr>
              <w:pStyle w:val="nTable"/>
              <w:spacing w:after="40"/>
              <w:ind w:right="113"/>
              <w:rPr>
                <w:sz w:val="19"/>
              </w:rPr>
            </w:pPr>
            <w:r>
              <w:rPr>
                <w:i/>
                <w:sz w:val="19"/>
              </w:rPr>
              <w:t>Petroleum Amendment Regulations 1991</w:t>
            </w:r>
          </w:p>
        </w:tc>
        <w:tc>
          <w:tcPr>
            <w:tcW w:w="1276" w:type="dxa"/>
          </w:tcPr>
          <w:p>
            <w:pPr>
              <w:pStyle w:val="nTable"/>
              <w:spacing w:after="40"/>
              <w:ind w:left="57"/>
              <w:rPr>
                <w:sz w:val="19"/>
              </w:rPr>
            </w:pPr>
            <w:r>
              <w:rPr>
                <w:sz w:val="19"/>
              </w:rPr>
              <w:t xml:space="preserve">28 Jun 1991 </w:t>
            </w:r>
            <w:r>
              <w:rPr>
                <w:sz w:val="19"/>
              </w:rPr>
              <w:br/>
              <w:t>p. 3228</w:t>
            </w:r>
          </w:p>
        </w:tc>
        <w:tc>
          <w:tcPr>
            <w:tcW w:w="2693" w:type="dxa"/>
          </w:tcPr>
          <w:p>
            <w:pPr>
              <w:pStyle w:val="nTable"/>
              <w:spacing w:after="40"/>
              <w:ind w:left="96"/>
              <w:rPr>
                <w:sz w:val="19"/>
              </w:rPr>
            </w:pPr>
            <w:r>
              <w:rPr>
                <w:sz w:val="19"/>
              </w:rPr>
              <w:t>28 Jun 1991</w:t>
            </w:r>
          </w:p>
        </w:tc>
      </w:tr>
      <w:tr>
        <w:trPr>
          <w:gridAfter w:val="1"/>
          <w:wAfter w:w="28" w:type="dxa"/>
          <w:cantSplit/>
        </w:trPr>
        <w:tc>
          <w:tcPr>
            <w:tcW w:w="3118" w:type="dxa"/>
            <w:gridSpan w:val="2"/>
          </w:tcPr>
          <w:p>
            <w:pPr>
              <w:pStyle w:val="nTable"/>
              <w:spacing w:after="40"/>
              <w:ind w:right="113"/>
              <w:rPr>
                <w:sz w:val="19"/>
              </w:rPr>
            </w:pPr>
            <w:r>
              <w:rPr>
                <w:i/>
                <w:sz w:val="19"/>
              </w:rPr>
              <w:t>Petroleum Amendment Regulations 1993</w:t>
            </w:r>
          </w:p>
        </w:tc>
        <w:tc>
          <w:tcPr>
            <w:tcW w:w="1276" w:type="dxa"/>
          </w:tcPr>
          <w:p>
            <w:pPr>
              <w:pStyle w:val="nTable"/>
              <w:spacing w:after="40"/>
              <w:ind w:left="57"/>
              <w:rPr>
                <w:sz w:val="19"/>
              </w:rPr>
            </w:pPr>
            <w:r>
              <w:rPr>
                <w:sz w:val="19"/>
              </w:rPr>
              <w:t>24 Dec 1993 p. 6831</w:t>
            </w:r>
          </w:p>
        </w:tc>
        <w:tc>
          <w:tcPr>
            <w:tcW w:w="2693" w:type="dxa"/>
          </w:tcPr>
          <w:p>
            <w:pPr>
              <w:pStyle w:val="nTable"/>
              <w:spacing w:after="40"/>
              <w:ind w:left="96"/>
              <w:rPr>
                <w:sz w:val="19"/>
              </w:rPr>
            </w:pPr>
            <w:r>
              <w:rPr>
                <w:sz w:val="19"/>
              </w:rPr>
              <w:t>24 Dec 1993</w:t>
            </w:r>
          </w:p>
        </w:tc>
      </w:tr>
      <w:tr>
        <w:trPr>
          <w:gridAfter w:val="1"/>
          <w:wAfter w:w="28" w:type="dxa"/>
          <w:cantSplit/>
        </w:trPr>
        <w:tc>
          <w:tcPr>
            <w:tcW w:w="3118" w:type="dxa"/>
            <w:gridSpan w:val="2"/>
          </w:tcPr>
          <w:p>
            <w:pPr>
              <w:pStyle w:val="nTable"/>
              <w:spacing w:after="40"/>
              <w:ind w:right="113"/>
              <w:rPr>
                <w:sz w:val="19"/>
              </w:rPr>
            </w:pPr>
            <w:r>
              <w:rPr>
                <w:i/>
                <w:sz w:val="19"/>
              </w:rPr>
              <w:t>Petroleum Amendment Regulations 1994</w:t>
            </w:r>
          </w:p>
        </w:tc>
        <w:tc>
          <w:tcPr>
            <w:tcW w:w="1276" w:type="dxa"/>
          </w:tcPr>
          <w:p>
            <w:pPr>
              <w:pStyle w:val="nTable"/>
              <w:spacing w:after="40"/>
              <w:ind w:left="57"/>
              <w:rPr>
                <w:sz w:val="19"/>
              </w:rPr>
            </w:pPr>
            <w:r>
              <w:rPr>
                <w:sz w:val="19"/>
              </w:rPr>
              <w:t>20 May 1994 p. 2124</w:t>
            </w:r>
            <w:r>
              <w:rPr>
                <w:sz w:val="19"/>
              </w:rPr>
              <w:noBreakHyphen/>
              <w:t>5</w:t>
            </w:r>
          </w:p>
        </w:tc>
        <w:tc>
          <w:tcPr>
            <w:tcW w:w="2693" w:type="dxa"/>
          </w:tcPr>
          <w:p>
            <w:pPr>
              <w:pStyle w:val="nTable"/>
              <w:spacing w:after="40"/>
              <w:ind w:left="96"/>
              <w:rPr>
                <w:sz w:val="19"/>
              </w:rPr>
            </w:pPr>
            <w:r>
              <w:rPr>
                <w:sz w:val="19"/>
              </w:rPr>
              <w:t>20 May 1994</w:t>
            </w:r>
          </w:p>
        </w:tc>
      </w:tr>
      <w:tr>
        <w:trPr>
          <w:gridAfter w:val="1"/>
          <w:wAfter w:w="28" w:type="dxa"/>
          <w:cantSplit/>
        </w:trPr>
        <w:tc>
          <w:tcPr>
            <w:tcW w:w="3118" w:type="dxa"/>
            <w:gridSpan w:val="2"/>
          </w:tcPr>
          <w:p>
            <w:pPr>
              <w:pStyle w:val="nTable"/>
              <w:spacing w:after="40"/>
              <w:ind w:right="113"/>
              <w:rPr>
                <w:sz w:val="19"/>
              </w:rPr>
            </w:pPr>
            <w:r>
              <w:rPr>
                <w:i/>
                <w:sz w:val="19"/>
              </w:rPr>
              <w:t>Petroleum Amendment Regulations (No. 2) 1994</w:t>
            </w:r>
          </w:p>
        </w:tc>
        <w:tc>
          <w:tcPr>
            <w:tcW w:w="1276" w:type="dxa"/>
          </w:tcPr>
          <w:p>
            <w:pPr>
              <w:pStyle w:val="nTable"/>
              <w:spacing w:after="40"/>
              <w:ind w:left="57"/>
              <w:rPr>
                <w:sz w:val="19"/>
              </w:rPr>
            </w:pPr>
            <w:r>
              <w:rPr>
                <w:sz w:val="19"/>
              </w:rPr>
              <w:t>22 Jul 1994 p. 3779</w:t>
            </w:r>
            <w:r>
              <w:rPr>
                <w:sz w:val="19"/>
              </w:rPr>
              <w:noBreakHyphen/>
              <w:t>80</w:t>
            </w:r>
          </w:p>
        </w:tc>
        <w:tc>
          <w:tcPr>
            <w:tcW w:w="2693" w:type="dxa"/>
          </w:tcPr>
          <w:p>
            <w:pPr>
              <w:pStyle w:val="nTable"/>
              <w:spacing w:after="40"/>
              <w:ind w:left="96"/>
              <w:rPr>
                <w:sz w:val="19"/>
              </w:rPr>
            </w:pPr>
            <w:r>
              <w:rPr>
                <w:sz w:val="19"/>
              </w:rPr>
              <w:t xml:space="preserve">22 Jul 1994 (see r. 2 and </w:t>
            </w:r>
            <w:r>
              <w:rPr>
                <w:i/>
                <w:sz w:val="19"/>
              </w:rPr>
              <w:t>Gazette</w:t>
            </w:r>
            <w:r>
              <w:rPr>
                <w:sz w:val="19"/>
              </w:rPr>
              <w:t xml:space="preserve"> 22 Jul 1994 p. 3728)</w:t>
            </w:r>
          </w:p>
        </w:tc>
      </w:tr>
      <w:tr>
        <w:trPr>
          <w:gridAfter w:val="1"/>
          <w:wAfter w:w="28" w:type="dxa"/>
          <w:cantSplit/>
        </w:trPr>
        <w:tc>
          <w:tcPr>
            <w:tcW w:w="3118" w:type="dxa"/>
            <w:gridSpan w:val="2"/>
          </w:tcPr>
          <w:p>
            <w:pPr>
              <w:pStyle w:val="nTable"/>
              <w:spacing w:after="40"/>
              <w:ind w:right="113"/>
              <w:rPr>
                <w:i/>
                <w:sz w:val="19"/>
              </w:rPr>
            </w:pPr>
            <w:r>
              <w:rPr>
                <w:i/>
                <w:sz w:val="19"/>
              </w:rPr>
              <w:t>Petroleum Amendment Regulations 2000</w:t>
            </w:r>
          </w:p>
        </w:tc>
        <w:tc>
          <w:tcPr>
            <w:tcW w:w="1276" w:type="dxa"/>
          </w:tcPr>
          <w:p>
            <w:pPr>
              <w:pStyle w:val="nTable"/>
              <w:spacing w:after="40"/>
              <w:ind w:left="57"/>
              <w:rPr>
                <w:sz w:val="19"/>
              </w:rPr>
            </w:pPr>
            <w:r>
              <w:rPr>
                <w:sz w:val="19"/>
              </w:rPr>
              <w:t>8 Feb 2000 p. 454-5</w:t>
            </w:r>
          </w:p>
        </w:tc>
        <w:tc>
          <w:tcPr>
            <w:tcW w:w="2693" w:type="dxa"/>
          </w:tcPr>
          <w:p>
            <w:pPr>
              <w:pStyle w:val="nTable"/>
              <w:spacing w:after="40"/>
              <w:ind w:left="96"/>
              <w:rPr>
                <w:sz w:val="19"/>
              </w:rPr>
            </w:pPr>
            <w:r>
              <w:rPr>
                <w:sz w:val="19"/>
              </w:rPr>
              <w:t>8 Feb 2000</w:t>
            </w:r>
          </w:p>
        </w:tc>
      </w:tr>
      <w:tr>
        <w:trPr>
          <w:gridAfter w:val="1"/>
          <w:wAfter w:w="28" w:type="dxa"/>
          <w:cantSplit/>
        </w:trPr>
        <w:tc>
          <w:tcPr>
            <w:tcW w:w="3118" w:type="dxa"/>
            <w:gridSpan w:val="2"/>
          </w:tcPr>
          <w:p>
            <w:pPr>
              <w:pStyle w:val="nTable"/>
              <w:spacing w:after="40"/>
              <w:ind w:right="113"/>
              <w:rPr>
                <w:i/>
                <w:sz w:val="19"/>
              </w:rPr>
            </w:pPr>
            <w:r>
              <w:rPr>
                <w:i/>
                <w:sz w:val="19"/>
              </w:rPr>
              <w:t>Petroleum Amendment Regulations (No. 2) 2000</w:t>
            </w:r>
          </w:p>
        </w:tc>
        <w:tc>
          <w:tcPr>
            <w:tcW w:w="1276" w:type="dxa"/>
          </w:tcPr>
          <w:p>
            <w:pPr>
              <w:pStyle w:val="nTable"/>
              <w:spacing w:after="40"/>
              <w:ind w:left="57"/>
              <w:rPr>
                <w:sz w:val="19"/>
              </w:rPr>
            </w:pPr>
            <w:r>
              <w:rPr>
                <w:sz w:val="19"/>
              </w:rPr>
              <w:t xml:space="preserve">27 Jun 2000 </w:t>
            </w:r>
            <w:r>
              <w:rPr>
                <w:sz w:val="19"/>
              </w:rPr>
              <w:br/>
              <w:t>p. 3252</w:t>
            </w:r>
          </w:p>
        </w:tc>
        <w:tc>
          <w:tcPr>
            <w:tcW w:w="2693" w:type="dxa"/>
          </w:tcPr>
          <w:p>
            <w:pPr>
              <w:pStyle w:val="nTable"/>
              <w:spacing w:after="40"/>
              <w:ind w:left="68"/>
              <w:rPr>
                <w:sz w:val="19"/>
              </w:rPr>
            </w:pPr>
            <w:r>
              <w:rPr>
                <w:sz w:val="19"/>
              </w:rPr>
              <w:t>1 Jul 2000 (see r. 2)</w:t>
            </w:r>
          </w:p>
        </w:tc>
      </w:tr>
      <w:tr>
        <w:trPr>
          <w:gridAfter w:val="1"/>
          <w:wAfter w:w="28" w:type="dxa"/>
          <w:cantSplit/>
        </w:trPr>
        <w:tc>
          <w:tcPr>
            <w:tcW w:w="3118" w:type="dxa"/>
            <w:gridSpan w:val="2"/>
          </w:tcPr>
          <w:p>
            <w:pPr>
              <w:pStyle w:val="nTable"/>
              <w:spacing w:after="40"/>
              <w:ind w:right="113"/>
              <w:rPr>
                <w:i/>
                <w:sz w:val="19"/>
              </w:rPr>
            </w:pPr>
            <w:r>
              <w:rPr>
                <w:i/>
                <w:sz w:val="19"/>
              </w:rPr>
              <w:t>Petroleum Amendment Regulations (No. 3) 2000</w:t>
            </w:r>
          </w:p>
        </w:tc>
        <w:tc>
          <w:tcPr>
            <w:tcW w:w="1276" w:type="dxa"/>
          </w:tcPr>
          <w:p>
            <w:pPr>
              <w:pStyle w:val="nTable"/>
              <w:spacing w:after="40"/>
              <w:ind w:left="57"/>
              <w:rPr>
                <w:sz w:val="19"/>
              </w:rPr>
            </w:pPr>
            <w:r>
              <w:rPr>
                <w:sz w:val="19"/>
              </w:rPr>
              <w:t>15 Dec 2000 p. 7212-15</w:t>
            </w:r>
          </w:p>
        </w:tc>
        <w:tc>
          <w:tcPr>
            <w:tcW w:w="2693" w:type="dxa"/>
          </w:tcPr>
          <w:p>
            <w:pPr>
              <w:pStyle w:val="nTable"/>
              <w:spacing w:after="40"/>
              <w:ind w:left="68"/>
              <w:rPr>
                <w:sz w:val="19"/>
              </w:rPr>
            </w:pPr>
            <w:r>
              <w:rPr>
                <w:sz w:val="19"/>
              </w:rPr>
              <w:t xml:space="preserve">16 Dec 2000 (see r. 2 and </w:t>
            </w:r>
            <w:r>
              <w:rPr>
                <w:i/>
                <w:sz w:val="19"/>
              </w:rPr>
              <w:t>Gazette</w:t>
            </w:r>
            <w:r>
              <w:rPr>
                <w:sz w:val="19"/>
              </w:rPr>
              <w:t xml:space="preserve"> 15 Dec 2000 p. 7201)</w:t>
            </w:r>
          </w:p>
        </w:tc>
      </w:tr>
      <w:tr>
        <w:trPr>
          <w:gridBefore w:val="1"/>
          <w:wBefore w:w="28" w:type="dxa"/>
          <w:cantSplit/>
        </w:trPr>
        <w:tc>
          <w:tcPr>
            <w:tcW w:w="7087" w:type="dxa"/>
            <w:gridSpan w:val="4"/>
          </w:tcPr>
          <w:p>
            <w:pPr>
              <w:pStyle w:val="nTable"/>
              <w:spacing w:after="40"/>
              <w:ind w:right="113"/>
              <w:rPr>
                <w:sz w:val="19"/>
              </w:rPr>
            </w:pPr>
            <w:r>
              <w:rPr>
                <w:b/>
                <w:sz w:val="19"/>
              </w:rPr>
              <w:t xml:space="preserve">Reprint of the </w:t>
            </w:r>
            <w:r>
              <w:rPr>
                <w:b/>
                <w:i/>
                <w:sz w:val="19"/>
              </w:rPr>
              <w:t>Petroleum Regulations 1987</w:t>
            </w:r>
            <w:r>
              <w:rPr>
                <w:b/>
                <w:sz w:val="19"/>
              </w:rPr>
              <w:t xml:space="preserve"> as at 4 May 2001</w:t>
            </w:r>
            <w:r>
              <w:rPr>
                <w:sz w:val="19"/>
              </w:rPr>
              <w:br/>
              <w:t>(includes amendments listed above)</w:t>
            </w:r>
          </w:p>
        </w:tc>
      </w:tr>
      <w:tr>
        <w:trPr>
          <w:gridAfter w:val="1"/>
          <w:wAfter w:w="28" w:type="dxa"/>
          <w:cantSplit/>
        </w:trPr>
        <w:tc>
          <w:tcPr>
            <w:tcW w:w="3118" w:type="dxa"/>
            <w:gridSpan w:val="2"/>
          </w:tcPr>
          <w:p>
            <w:pPr>
              <w:pStyle w:val="nTable"/>
              <w:spacing w:after="40"/>
              <w:ind w:right="113"/>
              <w:rPr>
                <w:i/>
                <w:sz w:val="19"/>
              </w:rPr>
            </w:pPr>
            <w:r>
              <w:rPr>
                <w:i/>
                <w:sz w:val="19"/>
              </w:rPr>
              <w:t>Petroleum Amendment Regulations 2002</w:t>
            </w:r>
          </w:p>
        </w:tc>
        <w:tc>
          <w:tcPr>
            <w:tcW w:w="1276" w:type="dxa"/>
          </w:tcPr>
          <w:p>
            <w:pPr>
              <w:pStyle w:val="nTable"/>
              <w:spacing w:after="40"/>
              <w:ind w:left="57"/>
              <w:rPr>
                <w:sz w:val="19"/>
              </w:rPr>
            </w:pPr>
            <w:r>
              <w:rPr>
                <w:sz w:val="19"/>
              </w:rPr>
              <w:t>28 Jun 2002 p. 3090-1</w:t>
            </w:r>
          </w:p>
        </w:tc>
        <w:tc>
          <w:tcPr>
            <w:tcW w:w="2693" w:type="dxa"/>
          </w:tcPr>
          <w:p>
            <w:pPr>
              <w:pStyle w:val="nTable"/>
              <w:spacing w:after="40"/>
              <w:ind w:left="68"/>
              <w:rPr>
                <w:sz w:val="19"/>
              </w:rPr>
            </w:pPr>
            <w:r>
              <w:rPr>
                <w:sz w:val="19"/>
              </w:rPr>
              <w:t>1 Jul 2002 (see r. 2)</w:t>
            </w:r>
          </w:p>
        </w:tc>
      </w:tr>
      <w:tr>
        <w:trPr>
          <w:gridAfter w:val="1"/>
          <w:wAfter w:w="28" w:type="dxa"/>
          <w:cantSplit/>
        </w:trPr>
        <w:tc>
          <w:tcPr>
            <w:tcW w:w="3118" w:type="dxa"/>
            <w:gridSpan w:val="2"/>
          </w:tcPr>
          <w:p>
            <w:pPr>
              <w:pStyle w:val="nTable"/>
              <w:spacing w:after="40"/>
              <w:ind w:right="113"/>
              <w:rPr>
                <w:i/>
                <w:sz w:val="19"/>
              </w:rPr>
            </w:pPr>
            <w:r>
              <w:rPr>
                <w:i/>
                <w:sz w:val="19"/>
              </w:rPr>
              <w:t>Petroleum Amendment Regulations 2003</w:t>
            </w:r>
          </w:p>
        </w:tc>
        <w:tc>
          <w:tcPr>
            <w:tcW w:w="1276" w:type="dxa"/>
          </w:tcPr>
          <w:p>
            <w:pPr>
              <w:pStyle w:val="nTable"/>
              <w:spacing w:after="40"/>
              <w:ind w:left="57"/>
              <w:rPr>
                <w:sz w:val="19"/>
              </w:rPr>
            </w:pPr>
            <w:r>
              <w:rPr>
                <w:sz w:val="19"/>
              </w:rPr>
              <w:t>28 Feb 2003 p. 669-70</w:t>
            </w:r>
          </w:p>
        </w:tc>
        <w:tc>
          <w:tcPr>
            <w:tcW w:w="2693" w:type="dxa"/>
          </w:tcPr>
          <w:p>
            <w:pPr>
              <w:pStyle w:val="nTable"/>
              <w:spacing w:after="40"/>
              <w:ind w:left="68"/>
              <w:rPr>
                <w:sz w:val="19"/>
              </w:rPr>
            </w:pPr>
            <w:r>
              <w:rPr>
                <w:sz w:val="19"/>
              </w:rPr>
              <w:t>28 Feb 2003</w:t>
            </w:r>
          </w:p>
        </w:tc>
      </w:tr>
      <w:tr>
        <w:trPr>
          <w:gridAfter w:val="1"/>
          <w:wAfter w:w="28" w:type="dxa"/>
          <w:cantSplit/>
        </w:trPr>
        <w:tc>
          <w:tcPr>
            <w:tcW w:w="3118" w:type="dxa"/>
            <w:gridSpan w:val="2"/>
          </w:tcPr>
          <w:p>
            <w:pPr>
              <w:pStyle w:val="nTable"/>
              <w:spacing w:after="40"/>
              <w:ind w:right="113"/>
              <w:rPr>
                <w:i/>
                <w:sz w:val="19"/>
              </w:rPr>
            </w:pPr>
            <w:r>
              <w:rPr>
                <w:i/>
                <w:sz w:val="19"/>
              </w:rPr>
              <w:t>Petroleum Amendment Regulations 2009</w:t>
            </w:r>
          </w:p>
        </w:tc>
        <w:tc>
          <w:tcPr>
            <w:tcW w:w="1276" w:type="dxa"/>
          </w:tcPr>
          <w:p>
            <w:pPr>
              <w:pStyle w:val="nTable"/>
              <w:spacing w:after="40"/>
              <w:ind w:left="57"/>
              <w:rPr>
                <w:sz w:val="19"/>
              </w:rPr>
            </w:pPr>
            <w:r>
              <w:rPr>
                <w:sz w:val="19"/>
              </w:rPr>
              <w:t>23 Jun 2009 p. 2471</w:t>
            </w:r>
            <w:r>
              <w:rPr>
                <w:sz w:val="19"/>
              </w:rPr>
              <w:noBreakHyphen/>
              <w:t>4</w:t>
            </w:r>
          </w:p>
        </w:tc>
        <w:tc>
          <w:tcPr>
            <w:tcW w:w="2693" w:type="dxa"/>
          </w:tcPr>
          <w:p>
            <w:pPr>
              <w:pStyle w:val="nTable"/>
              <w:spacing w:after="40"/>
              <w:ind w:left="68"/>
              <w:rPr>
                <w:sz w:val="19"/>
              </w:rPr>
            </w:pPr>
            <w:r>
              <w:rPr>
                <w:snapToGrid w:val="0"/>
                <w:spacing w:val="-2"/>
                <w:sz w:val="19"/>
                <w:lang w:val="en-US"/>
              </w:rPr>
              <w:t>r. 1 and 2: 23 Jun 2009 (see r. 2(a));</w:t>
            </w:r>
            <w:r>
              <w:rPr>
                <w:snapToGrid w:val="0"/>
                <w:spacing w:val="-2"/>
                <w:sz w:val="19"/>
                <w:lang w:val="en-US"/>
              </w:rPr>
              <w:br/>
              <w:t>Regulations other than r. 1 and 2: 1 Jul 2009 (see r. 2(b))</w:t>
            </w:r>
          </w:p>
        </w:tc>
      </w:tr>
      <w:tr>
        <w:trPr>
          <w:gridAfter w:val="1"/>
          <w:wAfter w:w="28" w:type="dxa"/>
          <w:cantSplit/>
        </w:trPr>
        <w:tc>
          <w:tcPr>
            <w:tcW w:w="7087" w:type="dxa"/>
            <w:gridSpan w:val="4"/>
          </w:tcPr>
          <w:p>
            <w:pPr>
              <w:pStyle w:val="nTable"/>
              <w:spacing w:after="40"/>
              <w:ind w:left="68"/>
              <w:rPr>
                <w:snapToGrid w:val="0"/>
                <w:spacing w:val="-2"/>
                <w:sz w:val="19"/>
                <w:lang w:val="en-US"/>
              </w:rPr>
            </w:pPr>
            <w:r>
              <w:rPr>
                <w:b/>
                <w:sz w:val="19"/>
              </w:rPr>
              <w:t xml:space="preserve">Reprint 2: The </w:t>
            </w:r>
            <w:r>
              <w:rPr>
                <w:b/>
                <w:i/>
                <w:iCs/>
                <w:sz w:val="19"/>
              </w:rPr>
              <w:t xml:space="preserve">Petroleum </w:t>
            </w:r>
            <w:r>
              <w:rPr>
                <w:b/>
                <w:i/>
                <w:sz w:val="19"/>
              </w:rPr>
              <w:t>and Geothermal Energy</w:t>
            </w:r>
            <w:r>
              <w:rPr>
                <w:b/>
                <w:i/>
                <w:iCs/>
                <w:snapToGrid w:val="0"/>
                <w:sz w:val="19"/>
              </w:rPr>
              <w:t xml:space="preserve"> Resources</w:t>
            </w:r>
            <w:r>
              <w:rPr>
                <w:i/>
                <w:iCs/>
                <w:snapToGrid w:val="0"/>
                <w:sz w:val="19"/>
              </w:rPr>
              <w:t xml:space="preserve"> </w:t>
            </w:r>
            <w:r>
              <w:rPr>
                <w:b/>
                <w:i/>
                <w:sz w:val="19"/>
              </w:rPr>
              <w:t>Regulations 1987</w:t>
            </w:r>
            <w:r>
              <w:rPr>
                <w:b/>
                <w:sz w:val="19"/>
              </w:rPr>
              <w:t xml:space="preserve"> as at 21 Aug 2009 </w:t>
            </w:r>
            <w:r>
              <w:rPr>
                <w:sz w:val="19"/>
              </w:rPr>
              <w:t>(includes amendments listed above)</w:t>
            </w:r>
          </w:p>
        </w:tc>
      </w:tr>
      <w:tr>
        <w:trPr>
          <w:gridAfter w:val="1"/>
          <w:wAfter w:w="28" w:type="dxa"/>
          <w:cantSplit/>
        </w:trPr>
        <w:tc>
          <w:tcPr>
            <w:tcW w:w="3118" w:type="dxa"/>
            <w:gridSpan w:val="2"/>
          </w:tcPr>
          <w:p>
            <w:pPr>
              <w:pStyle w:val="nTable"/>
              <w:spacing w:after="40"/>
              <w:ind w:right="113"/>
              <w:rPr>
                <w:i/>
                <w:sz w:val="19"/>
              </w:rPr>
            </w:pPr>
            <w:r>
              <w:rPr>
                <w:i/>
                <w:sz w:val="19"/>
              </w:rPr>
              <w:t>Petroleum and Geothermal Energy Resources Amendment Regulations 2010</w:t>
            </w:r>
          </w:p>
        </w:tc>
        <w:tc>
          <w:tcPr>
            <w:tcW w:w="1276" w:type="dxa"/>
          </w:tcPr>
          <w:p>
            <w:pPr>
              <w:pStyle w:val="nTable"/>
              <w:spacing w:after="40"/>
              <w:ind w:left="57"/>
              <w:rPr>
                <w:sz w:val="19"/>
              </w:rPr>
            </w:pPr>
            <w:r>
              <w:rPr>
                <w:sz w:val="19"/>
              </w:rPr>
              <w:t>9 Feb 2010 p. 271</w:t>
            </w:r>
          </w:p>
        </w:tc>
        <w:tc>
          <w:tcPr>
            <w:tcW w:w="2693" w:type="dxa"/>
          </w:tcPr>
          <w:p>
            <w:pPr>
              <w:pStyle w:val="nTable"/>
              <w:spacing w:after="40"/>
              <w:ind w:left="68"/>
              <w:rPr>
                <w:sz w:val="19"/>
              </w:rPr>
            </w:pPr>
            <w:r>
              <w:rPr>
                <w:snapToGrid w:val="0"/>
                <w:spacing w:val="-2"/>
                <w:sz w:val="19"/>
                <w:lang w:val="en-US"/>
              </w:rPr>
              <w:t>r. 1 and 2: 9 Feb 2010 (see r. 2(a));</w:t>
            </w:r>
            <w:r>
              <w:rPr>
                <w:snapToGrid w:val="0"/>
                <w:spacing w:val="-2"/>
                <w:sz w:val="19"/>
                <w:lang w:val="en-US"/>
              </w:rPr>
              <w:br/>
              <w:t>Regulations other than r. 1 and 2: 10 Feb 2010 (see r. 2(b))</w:t>
            </w:r>
          </w:p>
        </w:tc>
      </w:tr>
      <w:tr>
        <w:trPr>
          <w:gridAfter w:val="1"/>
          <w:wAfter w:w="28" w:type="dxa"/>
          <w:cantSplit/>
          <w:ins w:id="167" w:author="Master Repository Process" w:date="2021-09-11T16:43:00Z"/>
        </w:trPr>
        <w:tc>
          <w:tcPr>
            <w:tcW w:w="3118" w:type="dxa"/>
            <w:gridSpan w:val="2"/>
            <w:tcBorders>
              <w:bottom w:val="single" w:sz="4" w:space="0" w:color="auto"/>
            </w:tcBorders>
          </w:tcPr>
          <w:p>
            <w:pPr>
              <w:pStyle w:val="nTable"/>
              <w:spacing w:after="40"/>
              <w:ind w:right="113"/>
              <w:rPr>
                <w:ins w:id="168" w:author="Master Repository Process" w:date="2021-09-11T16:43:00Z"/>
                <w:i/>
                <w:sz w:val="19"/>
              </w:rPr>
            </w:pPr>
            <w:ins w:id="169" w:author="Master Repository Process" w:date="2021-09-11T16:43:00Z">
              <w:r>
                <w:rPr>
                  <w:i/>
                  <w:sz w:val="19"/>
                </w:rPr>
                <w:t>Petroleum and Geothermal Energy Resources Amendment Regulations (No. 2) 2010</w:t>
              </w:r>
            </w:ins>
          </w:p>
        </w:tc>
        <w:tc>
          <w:tcPr>
            <w:tcW w:w="1276" w:type="dxa"/>
            <w:tcBorders>
              <w:bottom w:val="single" w:sz="4" w:space="0" w:color="auto"/>
            </w:tcBorders>
          </w:tcPr>
          <w:p>
            <w:pPr>
              <w:pStyle w:val="nTable"/>
              <w:spacing w:after="40"/>
              <w:ind w:left="57"/>
              <w:rPr>
                <w:ins w:id="170" w:author="Master Repository Process" w:date="2021-09-11T16:43:00Z"/>
                <w:sz w:val="19"/>
              </w:rPr>
            </w:pPr>
            <w:ins w:id="171" w:author="Master Repository Process" w:date="2021-09-11T16:43:00Z">
              <w:r>
                <w:rPr>
                  <w:sz w:val="19"/>
                </w:rPr>
                <w:t>11 May 2010 p. 1816-18</w:t>
              </w:r>
            </w:ins>
          </w:p>
        </w:tc>
        <w:tc>
          <w:tcPr>
            <w:tcW w:w="2693" w:type="dxa"/>
            <w:tcBorders>
              <w:bottom w:val="single" w:sz="4" w:space="0" w:color="auto"/>
            </w:tcBorders>
          </w:tcPr>
          <w:p>
            <w:pPr>
              <w:pStyle w:val="nTable"/>
              <w:spacing w:after="40"/>
              <w:ind w:left="68"/>
              <w:rPr>
                <w:ins w:id="172" w:author="Master Repository Process" w:date="2021-09-11T16:43:00Z"/>
                <w:snapToGrid w:val="0"/>
                <w:spacing w:val="-2"/>
                <w:sz w:val="19"/>
                <w:lang w:val="en-US"/>
              </w:rPr>
            </w:pPr>
            <w:ins w:id="173" w:author="Master Repository Process" w:date="2021-09-11T16:43:00Z">
              <w:r>
                <w:rPr>
                  <w:snapToGrid w:val="0"/>
                  <w:spacing w:val="-2"/>
                  <w:sz w:val="19"/>
                  <w:lang w:val="en-US"/>
                </w:rPr>
                <w:t>r. 1 and 2: 11 May 2010 (see </w:t>
              </w:r>
              <w:bookmarkStart w:id="174" w:name="UpToHere"/>
              <w:bookmarkEnd w:id="174"/>
              <w:r>
                <w:rPr>
                  <w:snapToGrid w:val="0"/>
                  <w:spacing w:val="-2"/>
                  <w:sz w:val="19"/>
                  <w:lang w:val="en-US"/>
                </w:rPr>
                <w:t>r. 2(a));</w:t>
              </w:r>
              <w:r>
                <w:rPr>
                  <w:snapToGrid w:val="0"/>
                  <w:spacing w:val="-2"/>
                  <w:sz w:val="19"/>
                  <w:lang w:val="en-US"/>
                </w:rPr>
                <w:br/>
                <w:t>Regulations other than r. 1 and 2: 12 May 2010 (see r. 2(b))</w:t>
              </w:r>
            </w:ins>
          </w:p>
        </w:tc>
      </w:tr>
    </w:tbl>
    <w:p>
      <w:pPr>
        <w:pStyle w:val="nSubsection"/>
        <w:rPr>
          <w:vertAlign w:val="superscript"/>
        </w:rPr>
      </w:pPr>
    </w:p>
    <w:p>
      <w:pPr>
        <w:pStyle w:val="nSubsection"/>
        <w:rPr>
          <w:vertAlign w:val="superscript"/>
        </w:rPr>
      </w:pPr>
      <w:r>
        <w:rPr>
          <w:snapToGrid w:val="0"/>
          <w:vertAlign w:val="superscript"/>
        </w:rPr>
        <w:t>2</w:t>
      </w:r>
      <w:r>
        <w:rPr>
          <w:snapToGrid w:val="0"/>
        </w:rPr>
        <w:tab/>
        <w:t xml:space="preserve">The </w:t>
      </w:r>
      <w:r>
        <w:rPr>
          <w:i/>
          <w:snapToGrid w:val="0"/>
        </w:rPr>
        <w:t xml:space="preserve">Acts Amendment (Petroleum) Act 1990 </w:t>
      </w:r>
      <w:r>
        <w:rPr>
          <w:iCs/>
          <w:snapToGrid w:val="0"/>
        </w:rPr>
        <w:t>(other than s. 32)</w:t>
      </w:r>
      <w:r>
        <w:rPr>
          <w:i/>
          <w:snapToGrid w:val="0"/>
        </w:rPr>
        <w:t xml:space="preserve"> </w:t>
      </w:r>
      <w:r>
        <w:rPr>
          <w:iCs/>
          <w:snapToGrid w:val="0"/>
        </w:rPr>
        <w:t xml:space="preserve">came into operation 1 Oct 1990 (see </w:t>
      </w:r>
      <w:r>
        <w:rPr>
          <w:i/>
          <w:snapToGrid w:val="0"/>
        </w:rPr>
        <w:t xml:space="preserve">Gazette </w:t>
      </w:r>
      <w:r>
        <w:rPr>
          <w:iCs/>
          <w:snapToGrid w:val="0"/>
        </w:rPr>
        <w:t>28 Sep 1990 p. 5099).</w:t>
      </w:r>
    </w:p>
    <w:p>
      <w:pPr>
        <w:pStyle w:val="nSubsection"/>
      </w:pPr>
      <w:r>
        <w:rPr>
          <w:vertAlign w:val="superscript"/>
        </w:rPr>
        <w:t>3</w:t>
      </w:r>
      <w:r>
        <w:tab/>
        <w:t xml:space="preserve">Commencement day was 16 Dec 2000 (see </w:t>
      </w:r>
      <w:r>
        <w:rPr>
          <w:i/>
        </w:rPr>
        <w:t>Gazette</w:t>
      </w:r>
      <w:r>
        <w:t xml:space="preserve"> 15 Dec 2000 p. 7201).</w:t>
      </w:r>
    </w:p>
    <w:p>
      <w:pPr>
        <w:pStyle w:val="nSubsection"/>
      </w:pPr>
      <w:r>
        <w:rPr>
          <w:snapToGrid w:val="0"/>
          <w:vertAlign w:val="superscript"/>
        </w:rPr>
        <w:t>4</w:t>
      </w:r>
      <w:r>
        <w:rPr>
          <w:snapToGrid w:val="0"/>
        </w:rPr>
        <w:tab/>
        <w:t xml:space="preserve">Formerly referred to the </w:t>
      </w:r>
      <w:r>
        <w:rPr>
          <w:i/>
          <w:iCs/>
          <w:snapToGrid w:val="0"/>
        </w:rPr>
        <w:t>Petroleum Act 1967</w:t>
      </w:r>
      <w:r>
        <w:rPr>
          <w:snapToGrid w:val="0"/>
        </w:rPr>
        <w:t xml:space="preserve"> the short title of which was changed to the </w:t>
      </w:r>
      <w:r>
        <w:rPr>
          <w:i/>
          <w:iCs/>
          <w:snapToGrid w:val="0"/>
        </w:rPr>
        <w:t>Petroleum and Geothermal Energy Resources Act 1967</w:t>
      </w:r>
      <w:r>
        <w:rPr>
          <w:snapToGrid w:val="0"/>
        </w:rPr>
        <w:t xml:space="preserve"> by the </w:t>
      </w:r>
      <w:r>
        <w:rPr>
          <w:i/>
          <w:snapToGrid w:val="0"/>
        </w:rPr>
        <w:t>Petroleum Amendment Act 2007</w:t>
      </w:r>
      <w:r>
        <w:rPr>
          <w:snapToGrid w:val="0"/>
        </w:rPr>
        <w:t xml:space="preserve"> s. 5. Reference changed under the </w:t>
      </w:r>
      <w:r>
        <w:rPr>
          <w:i/>
          <w:iCs/>
          <w:snapToGrid w:val="0"/>
        </w:rPr>
        <w:t>Reprints Act 1984</w:t>
      </w:r>
      <w:r>
        <w:rPr>
          <w:snapToGrid w:val="0"/>
        </w:rPr>
        <w:t xml:space="preserve"> s. 7(3)(gb).</w:t>
      </w:r>
    </w:p>
    <w:p>
      <w:pPr>
        <w:pStyle w:val="nSubsection"/>
      </w:pPr>
      <w:r>
        <w:rPr>
          <w:vertAlign w:val="superscript"/>
        </w:rPr>
        <w:t>5</w:t>
      </w:r>
      <w:r>
        <w:tab/>
        <w:t xml:space="preserve">Now known as the </w:t>
      </w:r>
      <w:r>
        <w:rPr>
          <w:i/>
          <w:iCs/>
        </w:rPr>
        <w:t>Petroleum and Geothermal Energy Resources Regulations 1987</w:t>
      </w:r>
      <w:r>
        <w:t>; citation changed (see note under r. 1).</w:t>
      </w:r>
    </w:p>
    <w:p/>
    <w:p>
      <w:pPr>
        <w:sectPr>
          <w:headerReference w:type="even" r:id="rId23"/>
          <w:headerReference w:type="default" r:id="rId24"/>
          <w:headerReference w:type="first" r:id="rId25"/>
          <w:pgSz w:w="11906" w:h="16838" w:code="9"/>
          <w:pgMar w:top="2381" w:right="2409" w:bottom="3543" w:left="2409" w:header="720" w:footer="3380" w:gutter="0"/>
          <w:cols w:space="720"/>
          <w:noEndnote/>
          <w:docGrid w:linePitch="326"/>
        </w:sectPr>
      </w:pPr>
    </w:p>
    <w:p/>
    <w:sectPr>
      <w:headerReference w:type="even" r:id="rId26"/>
      <w:headerReference w:type="default" r:id="rId27"/>
      <w:type w:val="continuous"/>
      <w:pgSz w:w="11906" w:h="16838" w:code="9"/>
      <w:pgMar w:top="2381" w:right="2409" w:bottom="3543" w:left="2409" w:header="720" w:footer="3380" w:gutter="0"/>
      <w:paperSrc w:first="15" w:other="15"/>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10 Feb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May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Feb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May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Feb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May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Petroleum and Geothermal Energy Resources Regulations 1987</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Petroleum and Geothermal Energy Resources Regulations 1987</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Petroleum and Geothermal Energy Resources Regulations 1987</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Petroleum and Geothermal Energy Resources Regulations 1987</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Petroleum and Geothermal Energy Resources Regulations 1987</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Petroleum and Geothermal Energy Resources Regulations 1987</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Petroleum and Geothermal Energy Resources Regulations 1987</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Petroleum and Geothermal Energy Resources Regulations 1987</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288E6A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A54996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FCED7B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07C004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6FBE602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2A41C5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C86D5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B2E21A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9188AF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AEC633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F402A61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C2808C0"/>
    <w:multiLevelType w:val="singleLevel"/>
    <w:tmpl w:val="2F3673A0"/>
    <w:lvl w:ilvl="0">
      <w:start w:val="1"/>
      <w:numFmt w:val="bullet"/>
      <w:pStyle w:val="NotesPerm2"/>
      <w:lvlText w:val=""/>
      <w:lvlJc w:val="left"/>
      <w:pPr>
        <w:tabs>
          <w:tab w:val="num" w:pos="1446"/>
        </w:tabs>
        <w:ind w:left="1446" w:hanging="567"/>
      </w:pPr>
      <w:rPr>
        <w:rFonts w:ascii="Symbol" w:hAnsi="Symbol" w:hint="default"/>
      </w:rPr>
    </w:lvl>
  </w:abstractNum>
  <w:abstractNum w:abstractNumId="22"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1"/>
  </w:num>
  <w:num w:numId="12">
    <w:abstractNumId w:val="17"/>
  </w:num>
  <w:num w:numId="13">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8155543"/>
    <w:docVar w:name="WAFER_20151208155543" w:val="RemoveTrackChanges"/>
    <w:docVar w:name="WAFER_20151208155543_GUID" w:val="35bebf8b-c564-4029-b8bf-2894a6eca6c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FDB667BE-CF23-473E-8BBE-7422502AA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2"/>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ersNotes">
    <w:name w:val="DraftersNotes"/>
    <w:pPr>
      <w:keepNext/>
      <w:ind w:left="567" w:right="567"/>
    </w:pPr>
    <w:rPr>
      <w:b/>
      <w:i/>
      <w:noProof/>
      <w:sz w:val="16"/>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1"/>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3193</Words>
  <Characters>15711</Characters>
  <Application>Microsoft Office Word</Application>
  <DocSecurity>0</DocSecurity>
  <Lines>541</Lines>
  <Paragraphs>350</Paragraphs>
  <ScaleCrop>false</ScaleCrop>
  <HeadingPairs>
    <vt:vector size="2" baseType="variant">
      <vt:variant>
        <vt:lpstr>Title</vt:lpstr>
      </vt:variant>
      <vt:variant>
        <vt:i4>1</vt:i4>
      </vt:variant>
    </vt:vector>
  </HeadingPairs>
  <TitlesOfParts>
    <vt:vector size="1" baseType="lpstr">
      <vt:lpstr>Petroleum and Geothermal Energy Resources Regulations 1987</vt:lpstr>
    </vt:vector>
  </TitlesOfParts>
  <Manager/>
  <Company/>
  <LinksUpToDate>false</LinksUpToDate>
  <CharactersWithSpaces>18554</CharactersWithSpaces>
  <SharedDoc>false</SharedDoc>
  <HLinks>
    <vt:vector size="6" baseType="variant">
      <vt:variant>
        <vt:i4>3014716</vt:i4>
      </vt:variant>
      <vt:variant>
        <vt:i4>-1</vt:i4>
      </vt:variant>
      <vt:variant>
        <vt:i4>1033</vt:i4>
      </vt:variant>
      <vt:variant>
        <vt:i4>1</vt:i4>
      </vt:variant>
      <vt:variant>
        <vt:lpwstr>C:\Program Files\PCO DLL\Support\Crest.wpg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and Geothermal Energy Resources Regulations 1987 02-b0-02 - 02-c0-03</dc:title>
  <dc:subject/>
  <dc:creator/>
  <cp:keywords/>
  <dc:description/>
  <cp:lastModifiedBy>Master Repository Process</cp:lastModifiedBy>
  <cp:revision>2</cp:revision>
  <cp:lastPrinted>2009-08-17T03:02:00Z</cp:lastPrinted>
  <dcterms:created xsi:type="dcterms:W3CDTF">2021-09-11T08:43:00Z</dcterms:created>
  <dcterms:modified xsi:type="dcterms:W3CDTF">2021-09-11T08:44:00Z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October 1987 pp.3971-2</vt:lpwstr>
  </property>
  <property fmtid="{D5CDD505-2E9C-101B-9397-08002B2CF9AE}" pid="3" name="CommencementDate">
    <vt:lpwstr>20100512</vt:lpwstr>
  </property>
  <property fmtid="{D5CDD505-2E9C-101B-9397-08002B2CF9AE}" pid="4" name="DocumentType">
    <vt:lpwstr>Reg</vt:lpwstr>
  </property>
  <property fmtid="{D5CDD505-2E9C-101B-9397-08002B2CF9AE}" pid="5" name="ReprintNo">
    <vt:lpwstr>2</vt:lpwstr>
  </property>
  <property fmtid="{D5CDD505-2E9C-101B-9397-08002B2CF9AE}" pid="6" name="OwlsUID">
    <vt:i4>4690</vt:i4>
  </property>
  <property fmtid="{D5CDD505-2E9C-101B-9397-08002B2CF9AE}" pid="7" name="FromSuffix">
    <vt:lpwstr>02-b0-02</vt:lpwstr>
  </property>
  <property fmtid="{D5CDD505-2E9C-101B-9397-08002B2CF9AE}" pid="8" name="FromAsAtDate">
    <vt:lpwstr>10 Feb 2010</vt:lpwstr>
  </property>
  <property fmtid="{D5CDD505-2E9C-101B-9397-08002B2CF9AE}" pid="9" name="ToSuffix">
    <vt:lpwstr>02-c0-03</vt:lpwstr>
  </property>
  <property fmtid="{D5CDD505-2E9C-101B-9397-08002B2CF9AE}" pid="10" name="ToAsAtDate">
    <vt:lpwstr>12 May 2010</vt:lpwstr>
  </property>
</Properties>
</file>