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25 May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62564591"/>
      <w:bookmarkStart w:id="9" w:name="_Toc24104653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0" w:name="_Toc262564592"/>
      <w:bookmarkStart w:id="11" w:name="_Toc24104653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12" w:name="_Toc262564593"/>
      <w:bookmarkStart w:id="13" w:name="_Toc241046532"/>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4" w:name="_Toc262564594"/>
      <w:bookmarkStart w:id="15" w:name="_Toc241046533"/>
      <w:r>
        <w:rPr>
          <w:rStyle w:val="CharSectno"/>
        </w:rPr>
        <w:t>5</w:t>
      </w:r>
      <w:r>
        <w:rPr>
          <w:snapToGrid w:val="0"/>
        </w:rPr>
        <w:t>.</w:t>
      </w:r>
      <w:r>
        <w:rPr>
          <w:snapToGrid w:val="0"/>
        </w:rPr>
        <w:tab/>
        <w:t>Crown bound</w:t>
      </w:r>
      <w:bookmarkEnd w:id="14"/>
      <w:bookmarkEnd w:id="15"/>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6" w:name="_Toc224109818"/>
      <w:bookmarkStart w:id="17" w:name="_Toc227745885"/>
      <w:bookmarkStart w:id="18" w:name="_Toc227986006"/>
      <w:bookmarkStart w:id="19" w:name="_Toc228939974"/>
      <w:bookmarkStart w:id="20" w:name="_Toc241033559"/>
      <w:bookmarkStart w:id="21" w:name="_Toc241046534"/>
      <w:bookmarkStart w:id="22" w:name="_Toc262564595"/>
      <w:r>
        <w:rPr>
          <w:rStyle w:val="CharPartNo"/>
        </w:rPr>
        <w:t>Part II</w:t>
      </w:r>
      <w:r>
        <w:rPr>
          <w:rStyle w:val="CharDivNo"/>
        </w:rPr>
        <w:t> </w:t>
      </w:r>
      <w:r>
        <w:t>—</w:t>
      </w:r>
      <w:r>
        <w:rPr>
          <w:rStyle w:val="CharDivText"/>
        </w:rPr>
        <w:t> </w:t>
      </w:r>
      <w:r>
        <w:rPr>
          <w:rStyle w:val="CharPartText"/>
        </w:rPr>
        <w:t>Administrative provisions</w:t>
      </w:r>
      <w:bookmarkEnd w:id="16"/>
      <w:bookmarkEnd w:id="17"/>
      <w:bookmarkEnd w:id="18"/>
      <w:bookmarkEnd w:id="19"/>
      <w:bookmarkEnd w:id="20"/>
      <w:bookmarkEnd w:id="21"/>
      <w:bookmarkEnd w:id="22"/>
    </w:p>
    <w:p>
      <w:pPr>
        <w:pStyle w:val="Heading5"/>
        <w:rPr>
          <w:snapToGrid w:val="0"/>
        </w:rPr>
      </w:pPr>
      <w:bookmarkStart w:id="23" w:name="_Toc262564596"/>
      <w:bookmarkStart w:id="24" w:name="_Toc241046535"/>
      <w:r>
        <w:rPr>
          <w:rStyle w:val="CharSectno"/>
        </w:rPr>
        <w:t>7</w:t>
      </w:r>
      <w:r>
        <w:rPr>
          <w:snapToGrid w:val="0"/>
        </w:rPr>
        <w:t>.</w:t>
      </w:r>
      <w:r>
        <w:rPr>
          <w:snapToGrid w:val="0"/>
        </w:rPr>
        <w:tab/>
        <w:t>Administration</w:t>
      </w:r>
      <w:bookmarkEnd w:id="23"/>
      <w:bookmarkEnd w:id="2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25" w:name="_Toc262564597"/>
      <w:bookmarkStart w:id="26" w:name="_Toc241046536"/>
      <w:r>
        <w:rPr>
          <w:rStyle w:val="CharSectno"/>
        </w:rPr>
        <w:t>8</w:t>
      </w:r>
      <w:r>
        <w:rPr>
          <w:snapToGrid w:val="0"/>
        </w:rPr>
        <w:t>.</w:t>
      </w:r>
      <w:r>
        <w:rPr>
          <w:snapToGrid w:val="0"/>
        </w:rPr>
        <w:tab/>
        <w:t>Minister to be body corporate</w:t>
      </w:r>
      <w:bookmarkEnd w:id="25"/>
      <w:bookmarkEnd w:id="26"/>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27" w:name="_Toc262564598"/>
      <w:bookmarkStart w:id="28" w:name="_Toc241046537"/>
      <w:r>
        <w:rPr>
          <w:rStyle w:val="CharSectno"/>
        </w:rPr>
        <w:t>9</w:t>
      </w:r>
      <w:r>
        <w:rPr>
          <w:snapToGrid w:val="0"/>
        </w:rPr>
        <w:t>.</w:t>
      </w:r>
      <w:r>
        <w:rPr>
          <w:snapToGrid w:val="0"/>
        </w:rPr>
        <w:tab/>
        <w:t>Powers of delegation</w:t>
      </w:r>
      <w:bookmarkEnd w:id="27"/>
      <w:bookmarkEnd w:id="28"/>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29" w:name="_Toc262564599"/>
      <w:bookmarkStart w:id="30" w:name="_Toc241046538"/>
      <w:r>
        <w:rPr>
          <w:rStyle w:val="CharSectno"/>
        </w:rPr>
        <w:t>11</w:t>
      </w:r>
      <w:r>
        <w:rPr>
          <w:snapToGrid w:val="0"/>
        </w:rPr>
        <w:t>.</w:t>
      </w:r>
      <w:r>
        <w:rPr>
          <w:snapToGrid w:val="0"/>
        </w:rPr>
        <w:tab/>
        <w:t>Delegation by CEO</w:t>
      </w:r>
      <w:bookmarkEnd w:id="29"/>
      <w:bookmarkEnd w:id="30"/>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31" w:name="_Toc262564600"/>
      <w:bookmarkStart w:id="32" w:name="_Toc241046539"/>
      <w:r>
        <w:rPr>
          <w:rStyle w:val="CharSectno"/>
        </w:rPr>
        <w:t>12</w:t>
      </w:r>
      <w:r>
        <w:rPr>
          <w:snapToGrid w:val="0"/>
        </w:rPr>
        <w:t>.</w:t>
      </w:r>
      <w:r>
        <w:rPr>
          <w:snapToGrid w:val="0"/>
        </w:rPr>
        <w:tab/>
        <w:t>Duty of Authority</w:t>
      </w:r>
      <w:bookmarkEnd w:id="31"/>
      <w:bookmarkEnd w:id="32"/>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33" w:name="_Toc262564601"/>
      <w:bookmarkStart w:id="34" w:name="_Toc241046540"/>
      <w:r>
        <w:rPr>
          <w:rStyle w:val="CharSectno"/>
        </w:rPr>
        <w:t>13</w:t>
      </w:r>
      <w:r>
        <w:rPr>
          <w:snapToGrid w:val="0"/>
        </w:rPr>
        <w:t>.</w:t>
      </w:r>
      <w:r>
        <w:rPr>
          <w:snapToGrid w:val="0"/>
        </w:rPr>
        <w:tab/>
        <w:t>Functions of Authority</w:t>
      </w:r>
      <w:bookmarkEnd w:id="33"/>
      <w:bookmarkEnd w:id="34"/>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35" w:name="_Toc262564602"/>
      <w:bookmarkStart w:id="36" w:name="_Toc241046541"/>
      <w:r>
        <w:rPr>
          <w:rStyle w:val="CharSectno"/>
        </w:rPr>
        <w:t>14</w:t>
      </w:r>
      <w:r>
        <w:rPr>
          <w:snapToGrid w:val="0"/>
        </w:rPr>
        <w:t>.</w:t>
      </w:r>
      <w:r>
        <w:rPr>
          <w:snapToGrid w:val="0"/>
        </w:rPr>
        <w:tab/>
        <w:t>Powers of Authority</w:t>
      </w:r>
      <w:bookmarkEnd w:id="35"/>
      <w:bookmarkEnd w:id="36"/>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37" w:name="_Toc262564603"/>
      <w:bookmarkStart w:id="38" w:name="_Toc241046542"/>
      <w:r>
        <w:rPr>
          <w:rStyle w:val="CharSectno"/>
        </w:rPr>
        <w:t>15</w:t>
      </w:r>
      <w:r>
        <w:rPr>
          <w:snapToGrid w:val="0"/>
        </w:rPr>
        <w:t>.</w:t>
      </w:r>
      <w:r>
        <w:rPr>
          <w:snapToGrid w:val="0"/>
        </w:rPr>
        <w:tab/>
        <w:t>Staff of Authority</w:t>
      </w:r>
      <w:bookmarkEnd w:id="37"/>
      <w:bookmarkEnd w:id="3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39" w:name="_Toc262564604"/>
      <w:bookmarkStart w:id="40" w:name="_Toc241046543"/>
      <w:r>
        <w:rPr>
          <w:rStyle w:val="CharSectno"/>
        </w:rPr>
        <w:t>17</w:t>
      </w:r>
      <w:r>
        <w:rPr>
          <w:snapToGrid w:val="0"/>
        </w:rPr>
        <w:t>.</w:t>
      </w:r>
      <w:r>
        <w:rPr>
          <w:snapToGrid w:val="0"/>
        </w:rPr>
        <w:tab/>
        <w:t>Exemption from personal liability</w:t>
      </w:r>
      <w:bookmarkEnd w:id="39"/>
      <w:bookmarkEnd w:id="40"/>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41" w:name="_Toc262564605"/>
      <w:bookmarkStart w:id="42" w:name="_Toc241046544"/>
      <w:r>
        <w:rPr>
          <w:rStyle w:val="CharSectno"/>
        </w:rPr>
        <w:t>18</w:t>
      </w:r>
      <w:r>
        <w:rPr>
          <w:snapToGrid w:val="0"/>
        </w:rPr>
        <w:t>.</w:t>
      </w:r>
      <w:r>
        <w:rPr>
          <w:snapToGrid w:val="0"/>
        </w:rPr>
        <w:tab/>
        <w:t>Aboriginal Advisory Council</w:t>
      </w:r>
      <w:bookmarkEnd w:id="41"/>
      <w:bookmarkEnd w:id="42"/>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43" w:name="_Toc262564606"/>
      <w:bookmarkStart w:id="44" w:name="_Toc241046545"/>
      <w:r>
        <w:rPr>
          <w:rStyle w:val="CharSectno"/>
        </w:rPr>
        <w:t>19</w:t>
      </w:r>
      <w:r>
        <w:rPr>
          <w:snapToGrid w:val="0"/>
        </w:rPr>
        <w:t>.</w:t>
      </w:r>
      <w:r>
        <w:rPr>
          <w:snapToGrid w:val="0"/>
        </w:rPr>
        <w:tab/>
        <w:t>Aboriginal Affairs Co</w:t>
      </w:r>
      <w:r>
        <w:rPr>
          <w:snapToGrid w:val="0"/>
        </w:rPr>
        <w:noBreakHyphen/>
        <w:t>ordinating Committee</w:t>
      </w:r>
      <w:bookmarkEnd w:id="43"/>
      <w:bookmarkEnd w:id="44"/>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45" w:name="_Toc262564607"/>
      <w:bookmarkStart w:id="46" w:name="_Toc241046546"/>
      <w:r>
        <w:rPr>
          <w:rStyle w:val="CharSectno"/>
        </w:rPr>
        <w:t>20</w:t>
      </w:r>
      <w:r>
        <w:rPr>
          <w:snapToGrid w:val="0"/>
        </w:rPr>
        <w:t>.</w:t>
      </w:r>
      <w:r>
        <w:rPr>
          <w:snapToGrid w:val="0"/>
        </w:rPr>
        <w:tab/>
        <w:t>Aboriginal Lands Trust</w:t>
      </w:r>
      <w:bookmarkEnd w:id="45"/>
      <w:bookmarkEnd w:id="46"/>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47" w:name="_Toc262564608"/>
      <w:bookmarkStart w:id="48" w:name="_Toc241046547"/>
      <w:r>
        <w:rPr>
          <w:rStyle w:val="CharSectno"/>
        </w:rPr>
        <w:t>21</w:t>
      </w:r>
      <w:r>
        <w:rPr>
          <w:snapToGrid w:val="0"/>
        </w:rPr>
        <w:t>.</w:t>
      </w:r>
      <w:r>
        <w:rPr>
          <w:snapToGrid w:val="0"/>
        </w:rPr>
        <w:tab/>
        <w:t>Constitutional provisions of Aboriginal Lands Trust</w:t>
      </w:r>
      <w:bookmarkEnd w:id="47"/>
      <w:bookmarkEnd w:id="48"/>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49" w:name="_Toc262564609"/>
      <w:bookmarkStart w:id="50" w:name="_Toc241046548"/>
      <w:r>
        <w:rPr>
          <w:rStyle w:val="CharSectno"/>
        </w:rPr>
        <w:t>21A</w:t>
      </w:r>
      <w:r>
        <w:rPr>
          <w:snapToGrid w:val="0"/>
        </w:rPr>
        <w:t>.</w:t>
      </w:r>
      <w:r>
        <w:rPr>
          <w:snapToGrid w:val="0"/>
        </w:rPr>
        <w:tab/>
        <w:t>Delegation of certain functions by Aboriginal Lands Trust</w:t>
      </w:r>
      <w:bookmarkEnd w:id="49"/>
      <w:bookmarkEnd w:id="50"/>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51" w:name="_Toc262564610"/>
      <w:bookmarkStart w:id="52" w:name="_Toc241046549"/>
      <w:r>
        <w:rPr>
          <w:rStyle w:val="CharSectno"/>
        </w:rPr>
        <w:t>22</w:t>
      </w:r>
      <w:r>
        <w:rPr>
          <w:snapToGrid w:val="0"/>
        </w:rPr>
        <w:t>.</w:t>
      </w:r>
      <w:r>
        <w:rPr>
          <w:snapToGrid w:val="0"/>
        </w:rPr>
        <w:tab/>
        <w:t>Seal of Aboriginal Lands Trust</w:t>
      </w:r>
      <w:bookmarkEnd w:id="51"/>
      <w:bookmarkEnd w:id="52"/>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53" w:name="_Toc262564611"/>
      <w:bookmarkStart w:id="54" w:name="_Toc241046550"/>
      <w:r>
        <w:rPr>
          <w:rStyle w:val="CharSectno"/>
        </w:rPr>
        <w:t>23</w:t>
      </w:r>
      <w:r>
        <w:rPr>
          <w:snapToGrid w:val="0"/>
        </w:rPr>
        <w:t>.</w:t>
      </w:r>
      <w:r>
        <w:rPr>
          <w:snapToGrid w:val="0"/>
        </w:rPr>
        <w:tab/>
        <w:t>Functions of the Aboriginal Lands Trust</w:t>
      </w:r>
      <w:bookmarkEnd w:id="53"/>
      <w:bookmarkEnd w:id="54"/>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55" w:name="_Toc262564612"/>
      <w:bookmarkStart w:id="56" w:name="_Toc241046551"/>
      <w:r>
        <w:rPr>
          <w:rStyle w:val="CharSectno"/>
        </w:rPr>
        <w:t>24</w:t>
      </w:r>
      <w:r>
        <w:rPr>
          <w:snapToGrid w:val="0"/>
        </w:rPr>
        <w:t>.</w:t>
      </w:r>
      <w:r>
        <w:rPr>
          <w:snapToGrid w:val="0"/>
        </w:rPr>
        <w:tab/>
        <w:t>Transfers from the Authority to the Trust</w:t>
      </w:r>
      <w:bookmarkEnd w:id="55"/>
      <w:bookmarkEnd w:id="56"/>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57" w:name="_Toc262564613"/>
      <w:bookmarkStart w:id="58" w:name="_Toc241046552"/>
      <w:r>
        <w:rPr>
          <w:rStyle w:val="CharSectno"/>
        </w:rPr>
        <w:t>25</w:t>
      </w:r>
      <w:r>
        <w:rPr>
          <w:snapToGrid w:val="0"/>
        </w:rPr>
        <w:t>.</w:t>
      </w:r>
      <w:r>
        <w:rPr>
          <w:snapToGrid w:val="0"/>
        </w:rPr>
        <w:tab/>
        <w:t>New lands may be reserved</w:t>
      </w:r>
      <w:bookmarkEnd w:id="57"/>
      <w:bookmarkEnd w:id="58"/>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59" w:name="_Toc224109837"/>
      <w:bookmarkStart w:id="60" w:name="_Toc227745904"/>
      <w:bookmarkStart w:id="61" w:name="_Toc227986025"/>
      <w:bookmarkStart w:id="62" w:name="_Toc228939993"/>
      <w:bookmarkStart w:id="63" w:name="_Toc241033578"/>
      <w:bookmarkStart w:id="64" w:name="_Toc241046553"/>
      <w:bookmarkStart w:id="65" w:name="_Toc262564614"/>
      <w:r>
        <w:rPr>
          <w:rStyle w:val="CharPartNo"/>
        </w:rPr>
        <w:t>Part III</w:t>
      </w:r>
      <w:r>
        <w:rPr>
          <w:rStyle w:val="CharDivNo"/>
        </w:rPr>
        <w:t> </w:t>
      </w:r>
      <w:r>
        <w:t>—</w:t>
      </w:r>
      <w:r>
        <w:rPr>
          <w:rStyle w:val="CharDivText"/>
        </w:rPr>
        <w:t> </w:t>
      </w:r>
      <w:r>
        <w:rPr>
          <w:rStyle w:val="CharPartText"/>
        </w:rPr>
        <w:t>Reserved lands</w:t>
      </w:r>
      <w:bookmarkEnd w:id="59"/>
      <w:bookmarkEnd w:id="60"/>
      <w:bookmarkEnd w:id="61"/>
      <w:bookmarkEnd w:id="62"/>
      <w:bookmarkEnd w:id="63"/>
      <w:bookmarkEnd w:id="64"/>
      <w:bookmarkEnd w:id="65"/>
    </w:p>
    <w:p>
      <w:pPr>
        <w:pStyle w:val="Heading5"/>
        <w:rPr>
          <w:snapToGrid w:val="0"/>
        </w:rPr>
      </w:pPr>
      <w:bookmarkStart w:id="66" w:name="_Toc262564615"/>
      <w:bookmarkStart w:id="67" w:name="_Toc241046554"/>
      <w:r>
        <w:rPr>
          <w:rStyle w:val="CharSectno"/>
        </w:rPr>
        <w:t>26</w:t>
      </w:r>
      <w:r>
        <w:rPr>
          <w:snapToGrid w:val="0"/>
        </w:rPr>
        <w:t>.</w:t>
      </w:r>
      <w:r>
        <w:rPr>
          <w:snapToGrid w:val="0"/>
        </w:rPr>
        <w:tab/>
        <w:t>Application of Part and establishment of reserved lands</w:t>
      </w:r>
      <w:bookmarkEnd w:id="66"/>
      <w:bookmarkEnd w:id="67"/>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68" w:name="_Toc262564616"/>
      <w:bookmarkStart w:id="69" w:name="_Toc241046555"/>
      <w:r>
        <w:rPr>
          <w:rStyle w:val="CharSectno"/>
        </w:rPr>
        <w:t>27</w:t>
      </w:r>
      <w:r>
        <w:rPr>
          <w:snapToGrid w:val="0"/>
        </w:rPr>
        <w:t>.</w:t>
      </w:r>
      <w:r>
        <w:rPr>
          <w:snapToGrid w:val="0"/>
        </w:rPr>
        <w:tab/>
        <w:t>Vesting and effect of reserves</w:t>
      </w:r>
      <w:bookmarkEnd w:id="68"/>
      <w:bookmarkEnd w:id="69"/>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70" w:name="_Toc262564617"/>
      <w:bookmarkStart w:id="71" w:name="_Toc241046556"/>
      <w:r>
        <w:rPr>
          <w:rStyle w:val="CharSectno"/>
        </w:rPr>
        <w:t>28</w:t>
      </w:r>
      <w:r>
        <w:rPr>
          <w:snapToGrid w:val="0"/>
        </w:rPr>
        <w:t>.</w:t>
      </w:r>
      <w:r>
        <w:rPr>
          <w:snapToGrid w:val="0"/>
        </w:rPr>
        <w:tab/>
        <w:t>Revenue</w:t>
      </w:r>
      <w:bookmarkEnd w:id="70"/>
      <w:bookmarkEnd w:id="71"/>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72" w:name="_Toc262564618"/>
      <w:bookmarkStart w:id="73" w:name="_Toc241046557"/>
      <w:r>
        <w:rPr>
          <w:rStyle w:val="CharSectno"/>
        </w:rPr>
        <w:t>29</w:t>
      </w:r>
      <w:r>
        <w:rPr>
          <w:snapToGrid w:val="0"/>
        </w:rPr>
        <w:t>.</w:t>
      </w:r>
      <w:r>
        <w:rPr>
          <w:snapToGrid w:val="0"/>
        </w:rPr>
        <w:tab/>
        <w:t>Proclamations</w:t>
      </w:r>
      <w:bookmarkEnd w:id="72"/>
      <w:bookmarkEnd w:id="73"/>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74" w:name="_Toc262564619"/>
      <w:bookmarkStart w:id="75" w:name="_Toc241046558"/>
      <w:r>
        <w:rPr>
          <w:rStyle w:val="CharSectno"/>
        </w:rPr>
        <w:t>30</w:t>
      </w:r>
      <w:r>
        <w:rPr>
          <w:snapToGrid w:val="0"/>
        </w:rPr>
        <w:t>.</w:t>
      </w:r>
      <w:r>
        <w:rPr>
          <w:snapToGrid w:val="0"/>
        </w:rPr>
        <w:tab/>
        <w:t>Right of control in reserved lands</w:t>
      </w:r>
      <w:bookmarkEnd w:id="74"/>
      <w:bookmarkEnd w:id="75"/>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76" w:name="_Toc262564620"/>
      <w:bookmarkStart w:id="77" w:name="_Toc241046559"/>
      <w:r>
        <w:rPr>
          <w:rStyle w:val="CharSectno"/>
        </w:rPr>
        <w:t>31</w:t>
      </w:r>
      <w:r>
        <w:rPr>
          <w:snapToGrid w:val="0"/>
        </w:rPr>
        <w:t>.</w:t>
      </w:r>
      <w:r>
        <w:rPr>
          <w:snapToGrid w:val="0"/>
        </w:rPr>
        <w:tab/>
        <w:t>Trespass on reserved land</w:t>
      </w:r>
      <w:bookmarkEnd w:id="76"/>
      <w:bookmarkEnd w:id="77"/>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78" w:name="_Toc262564621"/>
      <w:bookmarkStart w:id="79" w:name="_Toc241046560"/>
      <w:r>
        <w:rPr>
          <w:rStyle w:val="CharSectno"/>
        </w:rPr>
        <w:t>32</w:t>
      </w:r>
      <w:r>
        <w:rPr>
          <w:snapToGrid w:val="0"/>
        </w:rPr>
        <w:t>.</w:t>
      </w:r>
      <w:r>
        <w:rPr>
          <w:snapToGrid w:val="0"/>
        </w:rPr>
        <w:tab/>
        <w:t>Customary tenure</w:t>
      </w:r>
      <w:bookmarkEnd w:id="78"/>
      <w:bookmarkEnd w:id="79"/>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80" w:name="_Toc224109845"/>
      <w:bookmarkStart w:id="81" w:name="_Toc227745912"/>
      <w:bookmarkStart w:id="82" w:name="_Toc227986033"/>
      <w:bookmarkStart w:id="83" w:name="_Toc228940001"/>
      <w:bookmarkStart w:id="84" w:name="_Toc241033586"/>
      <w:bookmarkStart w:id="85" w:name="_Toc241046561"/>
      <w:bookmarkStart w:id="86" w:name="_Toc262564622"/>
      <w:r>
        <w:rPr>
          <w:rStyle w:val="CharPartNo"/>
        </w:rPr>
        <w:t>Part IV</w:t>
      </w:r>
      <w:r>
        <w:rPr>
          <w:rStyle w:val="CharDivNo"/>
        </w:rPr>
        <w:t> </w:t>
      </w:r>
      <w:r>
        <w:t>—</w:t>
      </w:r>
      <w:r>
        <w:rPr>
          <w:rStyle w:val="CharDivText"/>
        </w:rPr>
        <w:t> </w:t>
      </w:r>
      <w:r>
        <w:rPr>
          <w:rStyle w:val="CharPartText"/>
        </w:rPr>
        <w:t>Estates and property of Aboriginal persons</w:t>
      </w:r>
      <w:bookmarkEnd w:id="80"/>
      <w:bookmarkEnd w:id="81"/>
      <w:bookmarkEnd w:id="82"/>
      <w:bookmarkEnd w:id="83"/>
      <w:bookmarkEnd w:id="84"/>
      <w:bookmarkEnd w:id="85"/>
      <w:bookmarkEnd w:id="86"/>
    </w:p>
    <w:p>
      <w:pPr>
        <w:pStyle w:val="Heading5"/>
        <w:rPr>
          <w:snapToGrid w:val="0"/>
        </w:rPr>
      </w:pPr>
      <w:bookmarkStart w:id="87" w:name="_Toc262564623"/>
      <w:bookmarkStart w:id="88" w:name="_Toc241046562"/>
      <w:r>
        <w:rPr>
          <w:rStyle w:val="CharSectno"/>
        </w:rPr>
        <w:t>33</w:t>
      </w:r>
      <w:r>
        <w:rPr>
          <w:snapToGrid w:val="0"/>
        </w:rPr>
        <w:t>.</w:t>
      </w:r>
      <w:r>
        <w:rPr>
          <w:snapToGrid w:val="0"/>
        </w:rPr>
        <w:tab/>
        <w:t>Application of Part</w:t>
      </w:r>
      <w:bookmarkEnd w:id="87"/>
      <w:bookmarkEnd w:id="88"/>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89" w:name="_Toc262564624"/>
      <w:bookmarkStart w:id="90" w:name="_Toc241046563"/>
      <w:r>
        <w:rPr>
          <w:rStyle w:val="CharSectno"/>
        </w:rPr>
        <w:t>34</w:t>
      </w:r>
      <w:r>
        <w:rPr>
          <w:snapToGrid w:val="0"/>
        </w:rPr>
        <w:t>.</w:t>
      </w:r>
      <w:r>
        <w:rPr>
          <w:snapToGrid w:val="0"/>
        </w:rPr>
        <w:tab/>
        <w:t>Testate estates</w:t>
      </w:r>
      <w:bookmarkEnd w:id="89"/>
      <w:bookmarkEnd w:id="90"/>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91" w:name="_Toc262564625"/>
      <w:bookmarkStart w:id="92" w:name="_Toc241046564"/>
      <w:r>
        <w:rPr>
          <w:rStyle w:val="CharSectno"/>
        </w:rPr>
        <w:t>35</w:t>
      </w:r>
      <w:r>
        <w:rPr>
          <w:snapToGrid w:val="0"/>
        </w:rPr>
        <w:t>.</w:t>
      </w:r>
      <w:r>
        <w:rPr>
          <w:snapToGrid w:val="0"/>
        </w:rPr>
        <w:tab/>
        <w:t>Distribution of estate of intestate person of Aboriginal descent</w:t>
      </w:r>
      <w:bookmarkEnd w:id="91"/>
      <w:bookmarkEnd w:id="92"/>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93" w:name="_Toc262564626"/>
      <w:bookmarkStart w:id="94" w:name="_Toc241046565"/>
      <w:r>
        <w:rPr>
          <w:rStyle w:val="CharSectno"/>
        </w:rPr>
        <w:t>36</w:t>
      </w:r>
      <w:r>
        <w:rPr>
          <w:snapToGrid w:val="0"/>
        </w:rPr>
        <w:t>.</w:t>
      </w:r>
      <w:r>
        <w:rPr>
          <w:snapToGrid w:val="0"/>
        </w:rPr>
        <w:tab/>
        <w:t>Property of deceased or missing persons of Aboriginal descent to be paid and delivered to executor or Public Trustee</w:t>
      </w:r>
      <w:bookmarkEnd w:id="93"/>
      <w:bookmarkEnd w:id="94"/>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95" w:name="_Toc262564627"/>
      <w:bookmarkStart w:id="96" w:name="_Toc241046566"/>
      <w:r>
        <w:rPr>
          <w:rStyle w:val="CharSectno"/>
        </w:rPr>
        <w:t>37</w:t>
      </w:r>
      <w:r>
        <w:rPr>
          <w:snapToGrid w:val="0"/>
        </w:rPr>
        <w:t>.</w:t>
      </w:r>
      <w:r>
        <w:rPr>
          <w:snapToGrid w:val="0"/>
        </w:rPr>
        <w:tab/>
        <w:t>Property may be vested in Authority</w:t>
      </w:r>
      <w:bookmarkEnd w:id="95"/>
      <w:bookmarkEnd w:id="96"/>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97" w:name="_Toc224109851"/>
      <w:bookmarkStart w:id="98" w:name="_Toc227745918"/>
      <w:bookmarkStart w:id="99" w:name="_Toc227986039"/>
      <w:bookmarkStart w:id="100" w:name="_Toc228940007"/>
      <w:bookmarkStart w:id="101" w:name="_Toc241033592"/>
      <w:bookmarkStart w:id="102" w:name="_Toc241046567"/>
      <w:bookmarkStart w:id="103" w:name="_Toc262564628"/>
      <w:r>
        <w:rPr>
          <w:rStyle w:val="CharPartNo"/>
        </w:rPr>
        <w:t>Part V</w:t>
      </w:r>
      <w:r>
        <w:rPr>
          <w:rStyle w:val="CharDivNo"/>
        </w:rPr>
        <w:t> </w:t>
      </w:r>
      <w:r>
        <w:t>—</w:t>
      </w:r>
      <w:r>
        <w:rPr>
          <w:rStyle w:val="CharDivText"/>
        </w:rPr>
        <w:t> </w:t>
      </w:r>
      <w:r>
        <w:rPr>
          <w:rStyle w:val="CharPartText"/>
        </w:rPr>
        <w:t>Financial provisions</w:t>
      </w:r>
      <w:bookmarkEnd w:id="97"/>
      <w:bookmarkEnd w:id="98"/>
      <w:bookmarkEnd w:id="99"/>
      <w:bookmarkEnd w:id="100"/>
      <w:bookmarkEnd w:id="101"/>
      <w:bookmarkEnd w:id="102"/>
      <w:bookmarkEnd w:id="103"/>
    </w:p>
    <w:p>
      <w:pPr>
        <w:pStyle w:val="Heading5"/>
        <w:rPr>
          <w:snapToGrid w:val="0"/>
        </w:rPr>
      </w:pPr>
      <w:bookmarkStart w:id="104" w:name="_Toc262564629"/>
      <w:bookmarkStart w:id="105" w:name="_Toc241046568"/>
      <w:r>
        <w:rPr>
          <w:rStyle w:val="CharSectno"/>
        </w:rPr>
        <w:t>39</w:t>
      </w:r>
      <w:r>
        <w:rPr>
          <w:snapToGrid w:val="0"/>
        </w:rPr>
        <w:t>.</w:t>
      </w:r>
      <w:r>
        <w:rPr>
          <w:snapToGrid w:val="0"/>
        </w:rPr>
        <w:tab/>
        <w:t xml:space="preserve">Establishment of the Aboriginal Trading </w:t>
      </w:r>
      <w:r>
        <w:t>Account</w:t>
      </w:r>
      <w:bookmarkEnd w:id="104"/>
      <w:bookmarkEnd w:id="10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06" w:name="_Toc262564630"/>
      <w:bookmarkStart w:id="107" w:name="_Toc241046569"/>
      <w:r>
        <w:rPr>
          <w:rStyle w:val="CharSectno"/>
        </w:rPr>
        <w:t>40</w:t>
      </w:r>
      <w:r>
        <w:rPr>
          <w:snapToGrid w:val="0"/>
        </w:rPr>
        <w:t>.</w:t>
      </w:r>
      <w:r>
        <w:rPr>
          <w:snapToGrid w:val="0"/>
        </w:rPr>
        <w:tab/>
        <w:t>Use of Aboriginal Trading Account</w:t>
      </w:r>
      <w:bookmarkEnd w:id="106"/>
      <w:bookmarkEnd w:id="107"/>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08" w:name="_Toc262564631"/>
      <w:bookmarkStart w:id="109" w:name="_Toc241046570"/>
      <w:r>
        <w:rPr>
          <w:rStyle w:val="CharSectno"/>
        </w:rPr>
        <w:t>41</w:t>
      </w:r>
      <w:r>
        <w:rPr>
          <w:snapToGrid w:val="0"/>
        </w:rPr>
        <w:t>.</w:t>
      </w:r>
      <w:r>
        <w:rPr>
          <w:snapToGrid w:val="0"/>
        </w:rPr>
        <w:tab/>
        <w:t>Authority’s powers to deal in lands for disposal</w:t>
      </w:r>
      <w:bookmarkEnd w:id="108"/>
      <w:bookmarkEnd w:id="109"/>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10" w:name="_Toc262564632"/>
      <w:bookmarkStart w:id="111" w:name="_Toc241046571"/>
      <w:r>
        <w:rPr>
          <w:rStyle w:val="CharSectno"/>
        </w:rPr>
        <w:t>42</w:t>
      </w:r>
      <w:r>
        <w:rPr>
          <w:snapToGrid w:val="0"/>
        </w:rPr>
        <w:t>.</w:t>
      </w:r>
      <w:r>
        <w:rPr>
          <w:snapToGrid w:val="0"/>
        </w:rPr>
        <w:tab/>
        <w:t>Availability of facilities and services provided from public moneys</w:t>
      </w:r>
      <w:bookmarkEnd w:id="110"/>
      <w:bookmarkEnd w:id="111"/>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12" w:name="_Toc262564633"/>
      <w:bookmarkStart w:id="113" w:name="_Toc241046572"/>
      <w:r>
        <w:rPr>
          <w:rStyle w:val="CharSectno"/>
        </w:rPr>
        <w:t>43</w:t>
      </w:r>
      <w:r>
        <w:rPr>
          <w:snapToGrid w:val="0"/>
        </w:rPr>
        <w:t>.</w:t>
      </w:r>
      <w:r>
        <w:rPr>
          <w:snapToGrid w:val="0"/>
        </w:rPr>
        <w:tab/>
        <w:t>Financial provisions</w:t>
      </w:r>
      <w:bookmarkEnd w:id="112"/>
      <w:bookmarkEnd w:id="113"/>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114" w:name="_Toc262564634"/>
      <w:bookmarkStart w:id="115" w:name="_Toc241046573"/>
      <w:r>
        <w:rPr>
          <w:rStyle w:val="CharSectno"/>
        </w:rPr>
        <w:t>44</w:t>
      </w:r>
      <w:r>
        <w:rPr>
          <w:snapToGrid w:val="0"/>
        </w:rPr>
        <w:t>.</w:t>
      </w:r>
      <w:r>
        <w:rPr>
          <w:snapToGrid w:val="0"/>
        </w:rPr>
        <w:tab/>
        <w:t>Investment of moneys</w:t>
      </w:r>
      <w:bookmarkEnd w:id="114"/>
      <w:bookmarkEnd w:id="115"/>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116" w:name="_Toc262564635"/>
      <w:bookmarkStart w:id="117" w:name="_Toc241046574"/>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6"/>
      <w:bookmarkEnd w:id="11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118" w:name="_Toc224109859"/>
      <w:bookmarkStart w:id="119" w:name="_Toc227745926"/>
      <w:bookmarkStart w:id="120" w:name="_Toc227986047"/>
      <w:bookmarkStart w:id="121" w:name="_Toc228940015"/>
      <w:bookmarkStart w:id="122" w:name="_Toc241033600"/>
      <w:bookmarkStart w:id="123" w:name="_Toc241046575"/>
      <w:bookmarkStart w:id="124" w:name="_Toc262564636"/>
      <w:r>
        <w:rPr>
          <w:rStyle w:val="CharPartNo"/>
        </w:rPr>
        <w:t>Part VI</w:t>
      </w:r>
      <w:r>
        <w:rPr>
          <w:rStyle w:val="CharDivNo"/>
        </w:rPr>
        <w:t> </w:t>
      </w:r>
      <w:r>
        <w:t>—</w:t>
      </w:r>
      <w:r>
        <w:rPr>
          <w:rStyle w:val="CharDivText"/>
        </w:rPr>
        <w:t> </w:t>
      </w:r>
      <w:r>
        <w:rPr>
          <w:rStyle w:val="CharPartText"/>
        </w:rPr>
        <w:t>Miscellaneous</w:t>
      </w:r>
      <w:bookmarkEnd w:id="118"/>
      <w:bookmarkEnd w:id="119"/>
      <w:bookmarkEnd w:id="120"/>
      <w:bookmarkEnd w:id="121"/>
      <w:bookmarkEnd w:id="122"/>
      <w:bookmarkEnd w:id="123"/>
      <w:bookmarkEnd w:id="124"/>
    </w:p>
    <w:p>
      <w:pPr>
        <w:pStyle w:val="Heading5"/>
        <w:rPr>
          <w:snapToGrid w:val="0"/>
        </w:rPr>
      </w:pPr>
      <w:bookmarkStart w:id="125" w:name="_Toc262564637"/>
      <w:bookmarkStart w:id="126" w:name="_Toc241046576"/>
      <w:r>
        <w:rPr>
          <w:rStyle w:val="CharSectno"/>
        </w:rPr>
        <w:t>47</w:t>
      </w:r>
      <w:r>
        <w:rPr>
          <w:snapToGrid w:val="0"/>
        </w:rPr>
        <w:t>.</w:t>
      </w:r>
      <w:r>
        <w:rPr>
          <w:snapToGrid w:val="0"/>
        </w:rPr>
        <w:tab/>
        <w:t>Presumptions</w:t>
      </w:r>
      <w:bookmarkEnd w:id="125"/>
      <w:bookmarkEnd w:id="126"/>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127" w:name="_Toc262564638"/>
      <w:bookmarkStart w:id="128" w:name="_Toc241046577"/>
      <w:r>
        <w:rPr>
          <w:rStyle w:val="CharSectno"/>
        </w:rPr>
        <w:t>48</w:t>
      </w:r>
      <w:r>
        <w:rPr>
          <w:snapToGrid w:val="0"/>
        </w:rPr>
        <w:t>.</w:t>
      </w:r>
      <w:r>
        <w:rPr>
          <w:snapToGrid w:val="0"/>
        </w:rPr>
        <w:tab/>
        <w:t>Right of representation in proceedings</w:t>
      </w:r>
      <w:bookmarkEnd w:id="127"/>
      <w:bookmarkEnd w:id="128"/>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129" w:name="_Toc262564639"/>
      <w:bookmarkStart w:id="130" w:name="_Toc241046578"/>
      <w:r>
        <w:rPr>
          <w:rStyle w:val="CharSectno"/>
        </w:rPr>
        <w:t>50</w:t>
      </w:r>
      <w:r>
        <w:t>.</w:t>
      </w:r>
      <w:r>
        <w:tab/>
        <w:t>Penalties</w:t>
      </w:r>
      <w:bookmarkEnd w:id="129"/>
      <w:bookmarkEnd w:id="130"/>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131" w:name="_Toc262564640"/>
      <w:bookmarkStart w:id="132" w:name="_Toc241046579"/>
      <w:r>
        <w:rPr>
          <w:rStyle w:val="CharSectno"/>
        </w:rPr>
        <w:t>51</w:t>
      </w:r>
      <w:r>
        <w:rPr>
          <w:snapToGrid w:val="0"/>
        </w:rPr>
        <w:t>.</w:t>
      </w:r>
      <w:r>
        <w:rPr>
          <w:snapToGrid w:val="0"/>
        </w:rPr>
        <w:tab/>
        <w:t>Regulations</w:t>
      </w:r>
      <w:bookmarkEnd w:id="131"/>
      <w:bookmarkEnd w:id="132"/>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133" w:name="_Toc224109864"/>
      <w:bookmarkStart w:id="134" w:name="_Toc227745931"/>
      <w:bookmarkStart w:id="135" w:name="_Toc227986052"/>
      <w:bookmarkStart w:id="136" w:name="_Toc228940020"/>
      <w:bookmarkStart w:id="137" w:name="_Toc241033605"/>
      <w:bookmarkStart w:id="138" w:name="_Toc241046580"/>
      <w:bookmarkStart w:id="139" w:name="_Toc262564641"/>
      <w:r>
        <w:rPr>
          <w:rStyle w:val="CharSchNo"/>
        </w:rPr>
        <w:t>First Schedule</w:t>
      </w:r>
      <w:bookmarkEnd w:id="133"/>
      <w:bookmarkEnd w:id="134"/>
      <w:bookmarkEnd w:id="135"/>
      <w:bookmarkEnd w:id="136"/>
      <w:bookmarkEnd w:id="137"/>
      <w:bookmarkEnd w:id="138"/>
      <w:bookmarkEnd w:id="139"/>
    </w:p>
    <w:p>
      <w:pPr>
        <w:pStyle w:val="yShoulderClause"/>
        <w:rPr>
          <w:snapToGrid w:val="0"/>
        </w:rPr>
      </w:pPr>
      <w:r>
        <w:rPr>
          <w:snapToGrid w:val="0"/>
        </w:rPr>
        <w:t>[Section 19]</w:t>
      </w:r>
    </w:p>
    <w:p>
      <w:pPr>
        <w:pStyle w:val="yFootnoteheading"/>
      </w:pPr>
      <w:r>
        <w:tab/>
        <w:t>[Heading amended by No. 100 of 1973 s. 6.]</w:t>
      </w:r>
    </w:p>
    <w:p>
      <w:pPr>
        <w:pStyle w:val="yHeading2"/>
      </w:pPr>
      <w:bookmarkStart w:id="140" w:name="_Toc224109865"/>
      <w:bookmarkStart w:id="141" w:name="_Toc227745932"/>
      <w:bookmarkStart w:id="142" w:name="_Toc227986053"/>
      <w:bookmarkStart w:id="143" w:name="_Toc228940021"/>
      <w:bookmarkStart w:id="144" w:name="_Toc241033606"/>
      <w:bookmarkStart w:id="145" w:name="_Toc241046581"/>
      <w:bookmarkStart w:id="146" w:name="_Toc262564642"/>
      <w:r>
        <w:rPr>
          <w:rStyle w:val="CharSchText"/>
        </w:rPr>
        <w:t>Constitutional provisions relating to the Aboriginal Affairs Co</w:t>
      </w:r>
      <w:r>
        <w:rPr>
          <w:rStyle w:val="CharSchText"/>
        </w:rPr>
        <w:noBreakHyphen/>
        <w:t>ordinating Committee</w:t>
      </w:r>
      <w:bookmarkEnd w:id="140"/>
      <w:bookmarkEnd w:id="141"/>
      <w:bookmarkEnd w:id="142"/>
      <w:bookmarkEnd w:id="143"/>
      <w:bookmarkEnd w:id="144"/>
      <w:bookmarkEnd w:id="145"/>
      <w:bookmarkEnd w:id="146"/>
    </w:p>
    <w:p>
      <w:pPr>
        <w:pStyle w:val="yHeading5"/>
        <w:outlineLvl w:val="9"/>
        <w:rPr>
          <w:snapToGrid w:val="0"/>
        </w:rPr>
      </w:pPr>
      <w:bookmarkStart w:id="147" w:name="_Toc262564643"/>
      <w:bookmarkStart w:id="148" w:name="_Toc241046582"/>
      <w:r>
        <w:rPr>
          <w:rStyle w:val="CharSClsNo"/>
        </w:rPr>
        <w:t>1</w:t>
      </w:r>
      <w:r>
        <w:rPr>
          <w:snapToGrid w:val="0"/>
        </w:rPr>
        <w:t>.</w:t>
      </w:r>
      <w:r>
        <w:rPr>
          <w:snapToGrid w:val="0"/>
        </w:rPr>
        <w:tab/>
        <w:t>Tenure of office</w:t>
      </w:r>
      <w:bookmarkEnd w:id="147"/>
      <w:bookmarkEnd w:id="148"/>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149" w:name="_Toc262564644"/>
      <w:bookmarkStart w:id="150" w:name="_Toc241046583"/>
      <w:r>
        <w:rPr>
          <w:rStyle w:val="CharSClsNo"/>
        </w:rPr>
        <w:t>2</w:t>
      </w:r>
      <w:r>
        <w:rPr>
          <w:snapToGrid w:val="0"/>
        </w:rPr>
        <w:t>.</w:t>
      </w:r>
      <w:r>
        <w:rPr>
          <w:snapToGrid w:val="0"/>
        </w:rPr>
        <w:tab/>
        <w:t>Disqualification</w:t>
      </w:r>
      <w:bookmarkEnd w:id="149"/>
      <w:bookmarkEnd w:id="150"/>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151" w:name="_Toc262564645"/>
      <w:bookmarkStart w:id="152" w:name="_Toc241046584"/>
      <w:r>
        <w:rPr>
          <w:rStyle w:val="CharSClsNo"/>
        </w:rPr>
        <w:t>3</w:t>
      </w:r>
      <w:r>
        <w:rPr>
          <w:snapToGrid w:val="0"/>
        </w:rPr>
        <w:t>.</w:t>
      </w:r>
      <w:r>
        <w:rPr>
          <w:snapToGrid w:val="0"/>
        </w:rPr>
        <w:tab/>
        <w:t>Deputies</w:t>
      </w:r>
      <w:bookmarkEnd w:id="151"/>
      <w:bookmarkEnd w:id="15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153" w:name="_Toc262564646"/>
      <w:bookmarkStart w:id="154" w:name="_Toc241046585"/>
      <w:r>
        <w:rPr>
          <w:rStyle w:val="CharSClsNo"/>
        </w:rPr>
        <w:t>4</w:t>
      </w:r>
      <w:r>
        <w:rPr>
          <w:snapToGrid w:val="0"/>
        </w:rPr>
        <w:t>.</w:t>
      </w:r>
      <w:r>
        <w:rPr>
          <w:snapToGrid w:val="0"/>
        </w:rPr>
        <w:tab/>
        <w:t>Validity of proceedings</w:t>
      </w:r>
      <w:bookmarkEnd w:id="153"/>
      <w:bookmarkEnd w:id="154"/>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155" w:name="_Toc262564647"/>
      <w:bookmarkStart w:id="156" w:name="_Toc241046586"/>
      <w:r>
        <w:rPr>
          <w:rStyle w:val="CharSClsNo"/>
        </w:rPr>
        <w:t>5</w:t>
      </w:r>
      <w:r>
        <w:rPr>
          <w:snapToGrid w:val="0"/>
        </w:rPr>
        <w:t>.</w:t>
      </w:r>
      <w:r>
        <w:rPr>
          <w:snapToGrid w:val="0"/>
        </w:rPr>
        <w:tab/>
        <w:t>Quorum</w:t>
      </w:r>
      <w:bookmarkEnd w:id="155"/>
      <w:bookmarkEnd w:id="156"/>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157" w:name="_Toc262564648"/>
      <w:bookmarkStart w:id="158" w:name="_Toc241046587"/>
      <w:r>
        <w:rPr>
          <w:rStyle w:val="CharSClsNo"/>
        </w:rPr>
        <w:t>6</w:t>
      </w:r>
      <w:r>
        <w:rPr>
          <w:snapToGrid w:val="0"/>
        </w:rPr>
        <w:t>.</w:t>
      </w:r>
      <w:r>
        <w:rPr>
          <w:snapToGrid w:val="0"/>
        </w:rPr>
        <w:tab/>
        <w:t>Chairman</w:t>
      </w:r>
      <w:bookmarkEnd w:id="157"/>
      <w:bookmarkEnd w:id="158"/>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159" w:name="_Toc262564649"/>
      <w:bookmarkStart w:id="160" w:name="_Toc241046588"/>
      <w:r>
        <w:rPr>
          <w:rStyle w:val="CharSClsNo"/>
        </w:rPr>
        <w:t>7</w:t>
      </w:r>
      <w:r>
        <w:rPr>
          <w:snapToGrid w:val="0"/>
        </w:rPr>
        <w:t>.</w:t>
      </w:r>
      <w:r>
        <w:rPr>
          <w:snapToGrid w:val="0"/>
        </w:rPr>
        <w:tab/>
        <w:t>Voting</w:t>
      </w:r>
      <w:bookmarkEnd w:id="159"/>
      <w:bookmarkEnd w:id="160"/>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161" w:name="_Toc262564650"/>
      <w:bookmarkStart w:id="162" w:name="_Toc241046589"/>
      <w:r>
        <w:rPr>
          <w:rStyle w:val="CharSClsNo"/>
        </w:rPr>
        <w:t>8</w:t>
      </w:r>
      <w:r>
        <w:rPr>
          <w:snapToGrid w:val="0"/>
        </w:rPr>
        <w:t>.</w:t>
      </w:r>
      <w:r>
        <w:rPr>
          <w:snapToGrid w:val="0"/>
        </w:rPr>
        <w:tab/>
        <w:t>Records</w:t>
      </w:r>
      <w:bookmarkEnd w:id="161"/>
      <w:bookmarkEnd w:id="162"/>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163" w:name="_Toc262564651"/>
      <w:bookmarkStart w:id="164" w:name="_Toc241046590"/>
      <w:r>
        <w:rPr>
          <w:rStyle w:val="CharSClsNo"/>
        </w:rPr>
        <w:t>9</w:t>
      </w:r>
      <w:r>
        <w:rPr>
          <w:snapToGrid w:val="0"/>
        </w:rPr>
        <w:t>.</w:t>
      </w:r>
      <w:r>
        <w:rPr>
          <w:snapToGrid w:val="0"/>
        </w:rPr>
        <w:tab/>
        <w:t>Meetings</w:t>
      </w:r>
      <w:bookmarkEnd w:id="163"/>
      <w:bookmarkEnd w:id="164"/>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165" w:name="_Toc262564652"/>
      <w:bookmarkStart w:id="166" w:name="_Toc241046591"/>
      <w:r>
        <w:rPr>
          <w:rStyle w:val="CharSClsNo"/>
        </w:rPr>
        <w:t>10</w:t>
      </w:r>
      <w:r>
        <w:rPr>
          <w:snapToGrid w:val="0"/>
        </w:rPr>
        <w:t>.</w:t>
      </w:r>
      <w:r>
        <w:rPr>
          <w:snapToGrid w:val="0"/>
        </w:rPr>
        <w:tab/>
        <w:t>Committees and co</w:t>
      </w:r>
      <w:r>
        <w:rPr>
          <w:snapToGrid w:val="0"/>
        </w:rPr>
        <w:noBreakHyphen/>
        <w:t>option</w:t>
      </w:r>
      <w:bookmarkEnd w:id="165"/>
      <w:bookmarkEnd w:id="166"/>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167" w:name="_Toc262564653"/>
      <w:bookmarkStart w:id="168" w:name="_Toc241046592"/>
      <w:r>
        <w:rPr>
          <w:rStyle w:val="CharSClsNo"/>
        </w:rPr>
        <w:t>11</w:t>
      </w:r>
      <w:r>
        <w:rPr>
          <w:snapToGrid w:val="0"/>
        </w:rPr>
        <w:t>.</w:t>
      </w:r>
      <w:r>
        <w:rPr>
          <w:snapToGrid w:val="0"/>
        </w:rPr>
        <w:tab/>
        <w:t>Remuneration etc.</w:t>
      </w:r>
      <w:bookmarkEnd w:id="167"/>
      <w:bookmarkEnd w:id="168"/>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169" w:name="_Toc262564654"/>
      <w:bookmarkStart w:id="170" w:name="_Toc241046593"/>
      <w:r>
        <w:rPr>
          <w:rStyle w:val="CharSClsNo"/>
        </w:rPr>
        <w:t>12</w:t>
      </w:r>
      <w:r>
        <w:rPr>
          <w:snapToGrid w:val="0"/>
        </w:rPr>
        <w:t>.</w:t>
      </w:r>
      <w:r>
        <w:rPr>
          <w:snapToGrid w:val="0"/>
        </w:rPr>
        <w:tab/>
        <w:t>Disputes</w:t>
      </w:r>
      <w:bookmarkEnd w:id="169"/>
      <w:bookmarkEnd w:id="170"/>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171" w:name="_Toc262564655"/>
      <w:bookmarkStart w:id="172" w:name="_Toc241046594"/>
      <w:r>
        <w:rPr>
          <w:rStyle w:val="CharSClsNo"/>
        </w:rPr>
        <w:t>13</w:t>
      </w:r>
      <w:r>
        <w:rPr>
          <w:snapToGrid w:val="0"/>
        </w:rPr>
        <w:t>.</w:t>
      </w:r>
      <w:r>
        <w:rPr>
          <w:snapToGrid w:val="0"/>
        </w:rPr>
        <w:tab/>
        <w:t>Conduct of proceedings</w:t>
      </w:r>
      <w:bookmarkEnd w:id="171"/>
      <w:bookmarkEnd w:id="172"/>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3" w:name="UpToHere"/>
      <w:bookmarkStart w:id="174" w:name="_Toc224109879"/>
      <w:bookmarkStart w:id="175" w:name="_Toc227745946"/>
      <w:bookmarkStart w:id="176" w:name="_Toc227986067"/>
      <w:bookmarkStart w:id="177" w:name="_Toc228940035"/>
      <w:bookmarkStart w:id="178" w:name="_Toc241033620"/>
      <w:bookmarkStart w:id="179" w:name="_Toc241046595"/>
      <w:bookmarkStart w:id="180" w:name="_Toc262564656"/>
      <w:bookmarkEnd w:id="173"/>
      <w:r>
        <w:t>Notes</w:t>
      </w:r>
      <w:bookmarkEnd w:id="174"/>
      <w:bookmarkEnd w:id="175"/>
      <w:bookmarkEnd w:id="176"/>
      <w:bookmarkEnd w:id="177"/>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w:t>
      </w:r>
      <w:ins w:id="181" w:author="svcMRProcess" w:date="2015-10-27T07:32:00Z">
        <w:r>
          <w:rPr>
            <w:snapToGrid w:val="0"/>
            <w:vertAlign w:val="superscript"/>
          </w:rPr>
          <w:t>, 1a</w:t>
        </w:r>
      </w:ins>
      <w:r>
        <w:rPr>
          <w:snapToGrid w:val="0"/>
        </w:rPr>
        <w:t>.  The table also contains information about any reprint.</w:t>
      </w:r>
    </w:p>
    <w:p>
      <w:pPr>
        <w:pStyle w:val="nHeading3"/>
        <w:rPr>
          <w:snapToGrid w:val="0"/>
        </w:rPr>
      </w:pPr>
      <w:bookmarkStart w:id="182" w:name="_Toc262564657"/>
      <w:bookmarkStart w:id="183" w:name="_Toc241046596"/>
      <w:r>
        <w:rPr>
          <w:snapToGrid w:val="0"/>
        </w:rPr>
        <w:t>Compilation table</w:t>
      </w:r>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rPr>
          <w:ins w:id="184" w:author="svcMRProcess" w:date="2015-10-27T07:32:00Z"/>
        </w:rPr>
      </w:pPr>
      <w:ins w:id="185" w:author="svcMRProcess" w:date="2015-10-27T07:32:00Z">
        <w:r>
          <w:rPr>
            <w:vertAlign w:val="superscript"/>
          </w:rPr>
          <w:t>1a</w:t>
        </w:r>
        <w:r>
          <w:tab/>
          <w:t>On the date as at which thi</w:t>
        </w:r>
        <w:bookmarkStart w:id="186" w:name="_Hlt507390729"/>
        <w:bookmarkEnd w:id="186"/>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7" w:author="svcMRProcess" w:date="2015-10-27T07:32:00Z"/>
          <w:snapToGrid w:val="0"/>
        </w:rPr>
      </w:pPr>
      <w:bookmarkStart w:id="188" w:name="_Toc534778309"/>
      <w:bookmarkStart w:id="189" w:name="_Toc7405063"/>
      <w:bookmarkStart w:id="190" w:name="_Toc116703346"/>
      <w:bookmarkStart w:id="191" w:name="_Toc131396797"/>
      <w:bookmarkStart w:id="192" w:name="_Toc262562158"/>
      <w:bookmarkStart w:id="193" w:name="_Toc262564658"/>
      <w:ins w:id="194" w:author="svcMRProcess" w:date="2015-10-27T07:32:00Z">
        <w:r>
          <w:rPr>
            <w:snapToGrid w:val="0"/>
          </w:rPr>
          <w:t>Provisions that have not come into operation</w:t>
        </w:r>
        <w:bookmarkEnd w:id="188"/>
        <w:bookmarkEnd w:id="189"/>
        <w:bookmarkEnd w:id="190"/>
        <w:bookmarkEnd w:id="191"/>
        <w:bookmarkEnd w:id="192"/>
        <w:bookmarkEnd w:id="193"/>
      </w:ins>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rPr>
          <w:ins w:id="195" w:author="svcMRProcess" w:date="2015-10-27T07:32:00Z"/>
        </w:trPr>
        <w:tc>
          <w:tcPr>
            <w:tcW w:w="2269" w:type="dxa"/>
            <w:tcBorders>
              <w:top w:val="single" w:sz="8" w:space="0" w:color="auto"/>
              <w:bottom w:val="single" w:sz="4" w:space="0" w:color="auto"/>
            </w:tcBorders>
          </w:tcPr>
          <w:p>
            <w:pPr>
              <w:pStyle w:val="nTable"/>
              <w:spacing w:after="40"/>
              <w:rPr>
                <w:ins w:id="196" w:author="svcMRProcess" w:date="2015-10-27T07:32:00Z"/>
                <w:b/>
                <w:snapToGrid w:val="0"/>
                <w:sz w:val="19"/>
                <w:lang w:val="en-US"/>
              </w:rPr>
            </w:pPr>
            <w:ins w:id="197" w:author="svcMRProcess" w:date="2015-10-27T07:32:00Z">
              <w:r>
                <w:rPr>
                  <w:b/>
                  <w:snapToGrid w:val="0"/>
                  <w:sz w:val="19"/>
                  <w:lang w:val="en-US"/>
                </w:rPr>
                <w:t>Short title</w:t>
              </w:r>
            </w:ins>
          </w:p>
        </w:tc>
        <w:tc>
          <w:tcPr>
            <w:tcW w:w="1133" w:type="dxa"/>
            <w:tcBorders>
              <w:top w:val="single" w:sz="8" w:space="0" w:color="auto"/>
              <w:bottom w:val="single" w:sz="4" w:space="0" w:color="auto"/>
            </w:tcBorders>
          </w:tcPr>
          <w:p>
            <w:pPr>
              <w:pStyle w:val="nTable"/>
              <w:spacing w:after="40"/>
              <w:rPr>
                <w:ins w:id="198" w:author="svcMRProcess" w:date="2015-10-27T07:32:00Z"/>
                <w:b/>
                <w:snapToGrid w:val="0"/>
                <w:sz w:val="19"/>
                <w:lang w:val="en-US"/>
              </w:rPr>
            </w:pPr>
            <w:ins w:id="199" w:author="svcMRProcess" w:date="2015-10-27T07:32:00Z">
              <w:r>
                <w:rPr>
                  <w:b/>
                  <w:snapToGrid w:val="0"/>
                  <w:sz w:val="19"/>
                  <w:lang w:val="en-US"/>
                </w:rPr>
                <w:t>Number and year</w:t>
              </w:r>
            </w:ins>
          </w:p>
        </w:tc>
        <w:tc>
          <w:tcPr>
            <w:tcW w:w="1133" w:type="dxa"/>
            <w:tcBorders>
              <w:top w:val="single" w:sz="8" w:space="0" w:color="auto"/>
              <w:bottom w:val="single" w:sz="4" w:space="0" w:color="auto"/>
            </w:tcBorders>
          </w:tcPr>
          <w:p>
            <w:pPr>
              <w:pStyle w:val="nTable"/>
              <w:spacing w:after="40"/>
              <w:rPr>
                <w:ins w:id="200" w:author="svcMRProcess" w:date="2015-10-27T07:32:00Z"/>
                <w:b/>
                <w:snapToGrid w:val="0"/>
                <w:sz w:val="19"/>
                <w:lang w:val="en-US"/>
              </w:rPr>
            </w:pPr>
            <w:ins w:id="201" w:author="svcMRProcess" w:date="2015-10-27T07:32:00Z">
              <w:r>
                <w:rPr>
                  <w:b/>
                  <w:snapToGrid w:val="0"/>
                  <w:sz w:val="19"/>
                  <w:lang w:val="en-US"/>
                </w:rPr>
                <w:t>Assent</w:t>
              </w:r>
            </w:ins>
          </w:p>
        </w:tc>
        <w:tc>
          <w:tcPr>
            <w:tcW w:w="2552" w:type="dxa"/>
            <w:tcBorders>
              <w:top w:val="single" w:sz="8" w:space="0" w:color="auto"/>
              <w:bottom w:val="single" w:sz="4" w:space="0" w:color="auto"/>
            </w:tcBorders>
          </w:tcPr>
          <w:p>
            <w:pPr>
              <w:pStyle w:val="nTable"/>
              <w:spacing w:after="40"/>
              <w:rPr>
                <w:ins w:id="202" w:author="svcMRProcess" w:date="2015-10-27T07:32:00Z"/>
                <w:b/>
                <w:snapToGrid w:val="0"/>
                <w:sz w:val="19"/>
                <w:lang w:val="en-US"/>
              </w:rPr>
            </w:pPr>
            <w:ins w:id="203" w:author="svcMRProcess" w:date="2015-10-27T07:32:00Z">
              <w:r>
                <w:rPr>
                  <w:b/>
                  <w:snapToGrid w:val="0"/>
                  <w:sz w:val="19"/>
                  <w:lang w:val="en-US"/>
                </w:rPr>
                <w:t>Commencement</w:t>
              </w:r>
            </w:ins>
          </w:p>
        </w:tc>
      </w:tr>
      <w:tr>
        <w:trPr>
          <w:ins w:id="204" w:author="svcMRProcess" w:date="2015-10-27T07:32:00Z"/>
        </w:trPr>
        <w:tc>
          <w:tcPr>
            <w:tcW w:w="2269" w:type="dxa"/>
            <w:tcBorders>
              <w:top w:val="nil"/>
              <w:bottom w:val="single" w:sz="4" w:space="0" w:color="auto"/>
            </w:tcBorders>
          </w:tcPr>
          <w:p>
            <w:pPr>
              <w:pStyle w:val="nTable"/>
              <w:spacing w:after="40"/>
              <w:rPr>
                <w:ins w:id="205" w:author="svcMRProcess" w:date="2015-10-27T07:32:00Z"/>
                <w:i/>
                <w:iCs/>
                <w:sz w:val="19"/>
                <w:vertAlign w:val="superscript"/>
              </w:rPr>
            </w:pPr>
            <w:ins w:id="206" w:author="svcMRProcess" w:date="2015-10-27T07:32:00Z">
              <w:r>
                <w:rPr>
                  <w:i/>
                  <w:snapToGrid w:val="0"/>
                </w:rPr>
                <w:t xml:space="preserve">Aboriginal Housing Legislation Amendment Act 2010 </w:t>
              </w:r>
              <w:r>
                <w:rPr>
                  <w:iCs/>
                  <w:snapToGrid w:val="0"/>
                </w:rPr>
                <w:t>Pt. 3 </w:t>
              </w:r>
              <w:r>
                <w:rPr>
                  <w:iCs/>
                  <w:snapToGrid w:val="0"/>
                  <w:vertAlign w:val="superscript"/>
                </w:rPr>
                <w:t>8</w:t>
              </w:r>
            </w:ins>
          </w:p>
        </w:tc>
        <w:tc>
          <w:tcPr>
            <w:tcW w:w="1133" w:type="dxa"/>
            <w:tcBorders>
              <w:top w:val="nil"/>
              <w:bottom w:val="single" w:sz="4" w:space="0" w:color="auto"/>
            </w:tcBorders>
          </w:tcPr>
          <w:p>
            <w:pPr>
              <w:pStyle w:val="nTable"/>
              <w:spacing w:after="40"/>
              <w:rPr>
                <w:ins w:id="207" w:author="svcMRProcess" w:date="2015-10-27T07:32:00Z"/>
                <w:sz w:val="19"/>
              </w:rPr>
            </w:pPr>
            <w:ins w:id="208" w:author="svcMRProcess" w:date="2015-10-27T07:32:00Z">
              <w:r>
                <w:rPr>
                  <w:sz w:val="19"/>
                </w:rPr>
                <w:t>6 of 2010</w:t>
              </w:r>
            </w:ins>
          </w:p>
        </w:tc>
        <w:tc>
          <w:tcPr>
            <w:tcW w:w="1133" w:type="dxa"/>
            <w:tcBorders>
              <w:top w:val="nil"/>
              <w:bottom w:val="single" w:sz="4" w:space="0" w:color="auto"/>
            </w:tcBorders>
          </w:tcPr>
          <w:p>
            <w:pPr>
              <w:pStyle w:val="nTable"/>
              <w:spacing w:after="40"/>
              <w:rPr>
                <w:ins w:id="209" w:author="svcMRProcess" w:date="2015-10-27T07:32:00Z"/>
                <w:sz w:val="19"/>
              </w:rPr>
            </w:pPr>
            <w:ins w:id="210" w:author="svcMRProcess" w:date="2015-10-27T07:32:00Z">
              <w:r>
                <w:rPr>
                  <w:sz w:val="19"/>
                </w:rPr>
                <w:t>25 May 2010</w:t>
              </w:r>
            </w:ins>
          </w:p>
        </w:tc>
        <w:tc>
          <w:tcPr>
            <w:tcW w:w="2552" w:type="dxa"/>
            <w:tcBorders>
              <w:top w:val="nil"/>
              <w:bottom w:val="single" w:sz="4" w:space="0" w:color="auto"/>
            </w:tcBorders>
          </w:tcPr>
          <w:p>
            <w:pPr>
              <w:pStyle w:val="nTable"/>
              <w:spacing w:after="40"/>
              <w:rPr>
                <w:ins w:id="211" w:author="svcMRProcess" w:date="2015-10-27T07:32:00Z"/>
                <w:sz w:val="19"/>
              </w:rPr>
            </w:pPr>
            <w:ins w:id="212" w:author="svcMRProcess" w:date="2015-10-27T07:32:00Z">
              <w:r>
                <w:rPr>
                  <w:sz w:val="19"/>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rPr>
          <w:ins w:id="213" w:author="svcMRProcess" w:date="2015-10-27T07:32:00Z"/>
        </w:rPr>
      </w:pPr>
      <w:ins w:id="214" w:author="svcMRProcess" w:date="2015-10-27T07:32:00Z">
        <w:r>
          <w:rPr>
            <w:vertAlign w:val="superscript"/>
          </w:rPr>
          <w:t>8</w:t>
        </w:r>
        <w:r>
          <w:tab/>
        </w:r>
        <w:r>
          <w:rPr>
            <w:snapToGrid w:val="0"/>
          </w:rPr>
          <w:t xml:space="preserve">On the date as at which this compilation was prepared, the </w:t>
        </w:r>
        <w:r>
          <w:rPr>
            <w:i/>
            <w:snapToGrid w:val="0"/>
          </w:rPr>
          <w:t xml:space="preserve">Aboriginal Housing Legislation Amendment Act 2010 </w:t>
        </w:r>
        <w:r>
          <w:rPr>
            <w:iCs/>
            <w:snapToGrid w:val="0"/>
          </w:rPr>
          <w:t>Pt. 3 had</w:t>
        </w:r>
        <w:r>
          <w:rPr>
            <w:snapToGrid w:val="0"/>
          </w:rPr>
          <w:t xml:space="preserve"> not come into operation.  It reads as follows:</w:t>
        </w:r>
      </w:ins>
    </w:p>
    <w:p>
      <w:pPr>
        <w:pStyle w:val="nzHeading2"/>
        <w:rPr>
          <w:ins w:id="215" w:author="svcMRProcess" w:date="2015-10-27T07:32:00Z"/>
        </w:rPr>
      </w:pPr>
      <w:ins w:id="216" w:author="svcMRProcess" w:date="2015-10-27T07:32:00Z">
        <w:r>
          <w:rPr>
            <w:rStyle w:val="CharPartNo"/>
          </w:rPr>
          <w:t>Part 3</w:t>
        </w:r>
        <w:r>
          <w:rPr>
            <w:rStyle w:val="CharDivNo"/>
          </w:rPr>
          <w:t> </w:t>
        </w:r>
        <w:r>
          <w:t>—</w:t>
        </w:r>
        <w:r>
          <w:rPr>
            <w:rStyle w:val="CharDivText"/>
          </w:rPr>
          <w:t> </w:t>
        </w:r>
        <w:r>
          <w:rPr>
            <w:rStyle w:val="CharPartText"/>
            <w:i/>
            <w:iCs/>
          </w:rPr>
          <w:t>Aboriginal Affairs Planning Authority Act </w:t>
        </w:r>
        <w:r>
          <w:rPr>
            <w:rStyle w:val="CharPartText"/>
            <w:i/>
          </w:rPr>
          <w:t>1972</w:t>
        </w:r>
        <w:r>
          <w:rPr>
            <w:rStyle w:val="CharPartText"/>
            <w:iCs/>
          </w:rPr>
          <w:t xml:space="preserve"> </w:t>
        </w:r>
        <w:r>
          <w:rPr>
            <w:rStyle w:val="CharPartText"/>
          </w:rPr>
          <w:t>amended</w:t>
        </w:r>
      </w:ins>
    </w:p>
    <w:p>
      <w:pPr>
        <w:pStyle w:val="nzHeading5"/>
        <w:rPr>
          <w:ins w:id="217" w:author="svcMRProcess" w:date="2015-10-27T07:32:00Z"/>
          <w:snapToGrid w:val="0"/>
        </w:rPr>
      </w:pPr>
      <w:ins w:id="218" w:author="svcMRProcess" w:date="2015-10-27T07:32:00Z">
        <w:r>
          <w:rPr>
            <w:rStyle w:val="CharSectno"/>
          </w:rPr>
          <w:t>10</w:t>
        </w:r>
        <w:r>
          <w:rPr>
            <w:snapToGrid w:val="0"/>
          </w:rPr>
          <w:t>.</w:t>
        </w:r>
        <w:r>
          <w:rPr>
            <w:snapToGrid w:val="0"/>
          </w:rPr>
          <w:tab/>
          <w:t>Act amended</w:t>
        </w:r>
      </w:ins>
    </w:p>
    <w:p>
      <w:pPr>
        <w:pStyle w:val="nzSubsection"/>
        <w:rPr>
          <w:ins w:id="219" w:author="svcMRProcess" w:date="2015-10-27T07:32:00Z"/>
        </w:rPr>
      </w:pPr>
      <w:ins w:id="220" w:author="svcMRProcess" w:date="2015-10-27T07:32:00Z">
        <w:r>
          <w:tab/>
        </w:r>
        <w:r>
          <w:tab/>
          <w:t xml:space="preserve">This Part amends the </w:t>
        </w:r>
        <w:r>
          <w:rPr>
            <w:i/>
          </w:rPr>
          <w:t>Aboriginal Affairs Planning Authority Act 1972</w:t>
        </w:r>
        <w:r>
          <w:t>.</w:t>
        </w:r>
      </w:ins>
    </w:p>
    <w:p>
      <w:pPr>
        <w:pStyle w:val="nzHeading5"/>
        <w:rPr>
          <w:ins w:id="221" w:author="svcMRProcess" w:date="2015-10-27T07:32:00Z"/>
        </w:rPr>
      </w:pPr>
      <w:ins w:id="222" w:author="svcMRProcess" w:date="2015-10-27T07:32:00Z">
        <w:r>
          <w:rPr>
            <w:rStyle w:val="CharSectno"/>
          </w:rPr>
          <w:t>11</w:t>
        </w:r>
        <w:r>
          <w:t>.</w:t>
        </w:r>
        <w:r>
          <w:tab/>
          <w:t>Section 33A inserted</w:t>
        </w:r>
      </w:ins>
    </w:p>
    <w:p>
      <w:pPr>
        <w:pStyle w:val="nzSubsection"/>
        <w:rPr>
          <w:ins w:id="223" w:author="svcMRProcess" w:date="2015-10-27T07:32:00Z"/>
        </w:rPr>
      </w:pPr>
      <w:ins w:id="224" w:author="svcMRProcess" w:date="2015-10-27T07:32:00Z">
        <w:r>
          <w:tab/>
        </w:r>
        <w:r>
          <w:tab/>
          <w:t>At the end of Part III insert:</w:t>
        </w:r>
      </w:ins>
    </w:p>
    <w:p>
      <w:pPr>
        <w:pStyle w:val="BlankOpen"/>
        <w:tabs>
          <w:tab w:val="left" w:pos="3119"/>
        </w:tabs>
        <w:rPr>
          <w:ins w:id="225" w:author="svcMRProcess" w:date="2015-10-27T07:32:00Z"/>
        </w:rPr>
      </w:pPr>
    </w:p>
    <w:p>
      <w:pPr>
        <w:pStyle w:val="nzHeading5"/>
        <w:rPr>
          <w:ins w:id="226" w:author="svcMRProcess" w:date="2015-10-27T07:32:00Z"/>
        </w:rPr>
      </w:pPr>
      <w:ins w:id="227" w:author="svcMRProcess" w:date="2015-10-27T07:32:00Z">
        <w:r>
          <w:t>33A.</w:t>
        </w:r>
        <w:r>
          <w:tab/>
          <w:t>Power to grant leases over Part III land</w:t>
        </w:r>
      </w:ins>
    </w:p>
    <w:p>
      <w:pPr>
        <w:pStyle w:val="nzSubsection"/>
        <w:rPr>
          <w:ins w:id="228" w:author="svcMRProcess" w:date="2015-10-27T07:32:00Z"/>
        </w:rPr>
      </w:pPr>
      <w:ins w:id="229" w:author="svcMRProcess" w:date="2015-10-27T07:32:00Z">
        <w:r>
          <w:tab/>
          <w:t>(1)</w:t>
        </w:r>
        <w:r>
          <w:tab/>
          <w:t>To avoid doubt, it is declared that the Authority has, and has always had, power to grant a lease over land whenever vested in the Authority under section 27.</w:t>
        </w:r>
      </w:ins>
    </w:p>
    <w:p>
      <w:pPr>
        <w:pStyle w:val="nzSubsection"/>
        <w:rPr>
          <w:ins w:id="230" w:author="svcMRProcess" w:date="2015-10-27T07:32:00Z"/>
        </w:rPr>
      </w:pPr>
      <w:ins w:id="231" w:author="svcMRProcess" w:date="2015-10-27T07:32:00Z">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ins>
    </w:p>
    <w:p>
      <w:pPr>
        <w:pStyle w:val="BlankClose"/>
        <w:tabs>
          <w:tab w:val="left" w:pos="3119"/>
        </w:tabs>
        <w:rPr>
          <w:ins w:id="232" w:author="svcMRProcess" w:date="2015-10-27T07:32: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9807</Words>
  <Characters>46196</Characters>
  <Application>Microsoft Office Word</Application>
  <DocSecurity>0</DocSecurity>
  <Lines>1248</Lines>
  <Paragraphs>629</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55374</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04-c0-02 - 04-d0-01</dc:title>
  <dc:subject/>
  <dc:creator/>
  <cp:keywords/>
  <dc:description/>
  <cp:lastModifiedBy>svcMRProcess</cp:lastModifiedBy>
  <cp:revision>2</cp:revision>
  <cp:lastPrinted>2009-05-15T03:44:00Z</cp:lastPrinted>
  <dcterms:created xsi:type="dcterms:W3CDTF">2015-10-26T23:32:00Z</dcterms:created>
  <dcterms:modified xsi:type="dcterms:W3CDTF">2015-10-26T23:32:00Z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20100525</vt:lpwstr>
  </property>
  <property fmtid="{D5CDD505-2E9C-101B-9397-08002B2CF9AE}" pid="4" name="DocumentType">
    <vt:lpwstr>Act</vt:lpwstr>
  </property>
  <property fmtid="{D5CDD505-2E9C-101B-9397-08002B2CF9AE}" pid="5" name="OwlsUID">
    <vt:i4>1</vt:i4>
  </property>
  <property fmtid="{D5CDD505-2E9C-101B-9397-08002B2CF9AE}" pid="6" name="ReprintNo">
    <vt:lpwstr>4</vt:lpwstr>
  </property>
  <property fmtid="{D5CDD505-2E9C-101B-9397-08002B2CF9AE}" pid="7" name="ReprintedAsAt">
    <vt:filetime>2009-05-07T16:00:00Z</vt:filetime>
  </property>
  <property fmtid="{D5CDD505-2E9C-101B-9397-08002B2CF9AE}" pid="8" name="FromSuffix">
    <vt:lpwstr>04-c0-02</vt:lpwstr>
  </property>
  <property fmtid="{D5CDD505-2E9C-101B-9397-08002B2CF9AE}" pid="9" name="FromAsAtDate">
    <vt:lpwstr>01 Nov 2009</vt:lpwstr>
  </property>
  <property fmtid="{D5CDD505-2E9C-101B-9397-08002B2CF9AE}" pid="10" name="ToSuffix">
    <vt:lpwstr>04-d0-01</vt:lpwstr>
  </property>
  <property fmtid="{D5CDD505-2E9C-101B-9397-08002B2CF9AE}" pid="11" name="ToAsAtDate">
    <vt:lpwstr>25 May 2010</vt:lpwstr>
  </property>
</Properties>
</file>