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Jun 2010</w:t>
      </w:r>
      <w:r>
        <w:fldChar w:fldCharType="end"/>
      </w:r>
      <w:r>
        <w:t xml:space="preserve">, </w:t>
      </w:r>
      <w:r>
        <w:fldChar w:fldCharType="begin"/>
      </w:r>
      <w:r>
        <w:instrText xml:space="preserve"> DocProperty FromSuffix </w:instrText>
      </w:r>
      <w:r>
        <w:fldChar w:fldCharType="separate"/>
      </w:r>
      <w:r>
        <w:t>00-e0-06</w:t>
      </w:r>
      <w:r>
        <w:fldChar w:fldCharType="end"/>
      </w:r>
      <w:r>
        <w:t>] and [</w:t>
      </w:r>
      <w:r>
        <w:fldChar w:fldCharType="begin"/>
      </w:r>
      <w:r>
        <w:instrText xml:space="preserve"> DocProperty ToAsAtDate</w:instrText>
      </w:r>
      <w:r>
        <w:fldChar w:fldCharType="separate"/>
      </w:r>
      <w:r>
        <w:t>25 Jun 2010</w:t>
      </w:r>
      <w:r>
        <w:fldChar w:fldCharType="end"/>
      </w:r>
      <w:r>
        <w:t xml:space="preserve">, </w:t>
      </w:r>
      <w:r>
        <w:fldChar w:fldCharType="begin"/>
      </w:r>
      <w:r>
        <w:instrText xml:space="preserve"> DocProperty ToSuffix</w:instrText>
      </w:r>
      <w:r>
        <w:fldChar w:fldCharType="separate"/>
      </w:r>
      <w:r>
        <w:t>00-f0-04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Duties Act 2008</w:t>
      </w:r>
    </w:p>
    <w:p>
      <w:pPr>
        <w:pStyle w:val="LongTitle"/>
        <w:suppressLineNumbers/>
      </w:pPr>
      <w:bookmarkStart w:id="0" w:name="BillCited"/>
      <w:bookmarkEnd w:id="0"/>
      <w:r>
        <w:rPr>
          <w:snapToGrid w:val="0"/>
        </w:rPr>
        <w:t>A</w:t>
      </w:r>
      <w:bookmarkStart w:id="1" w:name="_GoBack"/>
      <w:bookmarkEnd w:id="1"/>
      <w:r>
        <w:rPr>
          <w:snapToGrid w:val="0"/>
        </w:rPr>
        <w:t>n Act dealing with the imposition of a number of kinds of duty</w:t>
      </w:r>
      <w:r>
        <w:t>.</w:t>
      </w:r>
    </w:p>
    <w:p>
      <w:pPr>
        <w:pStyle w:val="Enactment"/>
      </w:pPr>
      <w:r>
        <w:t>The Parliament of Western Australia enacts as follows:</w:t>
      </w:r>
    </w:p>
    <w:p>
      <w:pPr>
        <w:pStyle w:val="Heading2"/>
        <w:rPr>
          <w:sz w:val="32"/>
        </w:rPr>
      </w:pPr>
      <w:bookmarkStart w:id="2" w:name="_Toc183919142"/>
      <w:bookmarkStart w:id="3" w:name="_Toc183920021"/>
      <w:bookmarkStart w:id="4" w:name="_Toc183935623"/>
      <w:bookmarkStart w:id="5" w:name="_Toc193050100"/>
      <w:bookmarkStart w:id="6" w:name="_Toc195080425"/>
      <w:bookmarkStart w:id="7" w:name="_Toc195081093"/>
      <w:bookmarkStart w:id="8" w:name="_Toc195423446"/>
      <w:bookmarkStart w:id="9" w:name="_Toc195423851"/>
      <w:bookmarkStart w:id="10" w:name="_Toc196004472"/>
      <w:bookmarkStart w:id="11" w:name="_Toc196040504"/>
      <w:bookmarkStart w:id="12" w:name="_Toc196111652"/>
      <w:bookmarkStart w:id="13" w:name="_Toc201999439"/>
      <w:bookmarkStart w:id="14" w:name="_Toc202171958"/>
      <w:bookmarkStart w:id="15" w:name="_Toc202172366"/>
      <w:bookmarkStart w:id="16" w:name="_Toc202428596"/>
      <w:bookmarkStart w:id="17" w:name="_Toc264020456"/>
      <w:bookmarkStart w:id="18" w:name="_Toc264024809"/>
      <w:bookmarkStart w:id="19" w:name="_Toc265579821"/>
      <w:bookmarkStart w:id="20" w:name="_Toc265587903"/>
      <w:bookmarkStart w:id="21" w:name="_Toc265588321"/>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pPr>
      <w:bookmarkStart w:id="22" w:name="_Toc196004473"/>
      <w:bookmarkStart w:id="23" w:name="_Toc265588322"/>
      <w:bookmarkStart w:id="24" w:name="_Toc265579822"/>
      <w:r>
        <w:rPr>
          <w:rStyle w:val="CharSectno"/>
        </w:rPr>
        <w:t>1</w:t>
      </w:r>
      <w:r>
        <w:t>.</w:t>
      </w:r>
      <w:r>
        <w:tab/>
      </w:r>
      <w:r>
        <w:rPr>
          <w:snapToGrid w:val="0"/>
        </w:rPr>
        <w:t>Short title</w:t>
      </w:r>
      <w:bookmarkEnd w:id="22"/>
      <w:bookmarkEnd w:id="23"/>
      <w:bookmarkEnd w:id="24"/>
    </w:p>
    <w:p>
      <w:pPr>
        <w:pStyle w:val="Subsection"/>
      </w:pPr>
      <w:r>
        <w:tab/>
      </w:r>
      <w:r>
        <w:tab/>
        <w:t>This</w:t>
      </w:r>
      <w:r>
        <w:rPr>
          <w:snapToGrid w:val="0"/>
        </w:rPr>
        <w:t xml:space="preserve"> is the</w:t>
      </w:r>
      <w:r>
        <w:rPr>
          <w:i/>
          <w:snapToGrid w:val="0"/>
        </w:rPr>
        <w:t xml:space="preserve"> Duties Act 2008</w:t>
      </w:r>
      <w:r>
        <w:rPr>
          <w:snapToGrid w:val="0"/>
        </w:rPr>
        <w:t>.</w:t>
      </w:r>
    </w:p>
    <w:p>
      <w:pPr>
        <w:pStyle w:val="Heading5"/>
        <w:rPr>
          <w:snapToGrid w:val="0"/>
        </w:rPr>
      </w:pPr>
      <w:bookmarkStart w:id="25" w:name="_Toc196004474"/>
      <w:bookmarkStart w:id="26" w:name="_Toc265588323"/>
      <w:bookmarkStart w:id="27" w:name="_Toc265579823"/>
      <w:r>
        <w:rPr>
          <w:rStyle w:val="CharSectno"/>
        </w:rPr>
        <w:t>2</w:t>
      </w:r>
      <w:r>
        <w:rPr>
          <w:snapToGrid w:val="0"/>
        </w:rPr>
        <w:t>.</w:t>
      </w:r>
      <w:r>
        <w:rPr>
          <w:snapToGrid w:val="0"/>
        </w:rPr>
        <w:tab/>
      </w:r>
      <w:r>
        <w:t>Commencement</w:t>
      </w:r>
      <w:bookmarkEnd w:id="25"/>
      <w:bookmarkEnd w:id="26"/>
      <w:bookmarkEnd w:id="27"/>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1 July 2008.</w:t>
      </w:r>
    </w:p>
    <w:p>
      <w:pPr>
        <w:pStyle w:val="Heading5"/>
        <w:rPr>
          <w:snapToGrid w:val="0"/>
        </w:rPr>
      </w:pPr>
      <w:bookmarkStart w:id="28" w:name="_Toc201998186"/>
      <w:bookmarkStart w:id="29" w:name="_Toc265588324"/>
      <w:bookmarkStart w:id="30" w:name="_Toc265579824"/>
      <w:r>
        <w:rPr>
          <w:rStyle w:val="CharSectno"/>
        </w:rPr>
        <w:t>3</w:t>
      </w:r>
      <w:r>
        <w:rPr>
          <w:snapToGrid w:val="0"/>
        </w:rPr>
        <w:t>.</w:t>
      </w:r>
      <w:r>
        <w:rPr>
          <w:snapToGrid w:val="0"/>
        </w:rPr>
        <w:tab/>
        <w:t>Terms used in this Act</w:t>
      </w:r>
      <w:bookmarkEnd w:id="28"/>
      <w:bookmarkEnd w:id="29"/>
      <w:bookmarkEnd w:id="30"/>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lastRenderedPageBreak/>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lastRenderedPageBreak/>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the State of Western Australia;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w:t>
      </w:r>
      <w:r>
        <w:tab/>
        <w:t xml:space="preserve">a licence under the </w:t>
      </w:r>
      <w:r>
        <w:rPr>
          <w:i/>
          <w:iCs/>
        </w:rPr>
        <w:t>Petroleum Pipelines Act 1969</w:t>
      </w:r>
      <w:r>
        <w: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keepNext/>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w:t>
      </w:r>
    </w:p>
    <w:p>
      <w:pPr>
        <w:pStyle w:val="Defstart"/>
      </w:pPr>
      <w:r>
        <w:rPr>
          <w:b/>
        </w:rPr>
        <w:tab/>
      </w:r>
      <w:r>
        <w:rPr>
          <w:rStyle w:val="CharDefText"/>
        </w:rPr>
        <w:t>majority shareholder</w:t>
      </w:r>
      <w:r>
        <w:rPr>
          <w:bCs/>
        </w:rPr>
        <w:t xml:space="preserve">, </w:t>
      </w:r>
      <w:r>
        <w:t>in relation to a corporation, means a person that would have a substantial holding in the corporation under the definition of “substantial holding”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rPr>
          <w:b/>
        </w:rPr>
        <w:tab/>
      </w:r>
      <w:r>
        <w:rPr>
          <w:rStyle w:val="CharDefText"/>
        </w:rPr>
        <w:t>primary production</w:t>
      </w:r>
      <w:r>
        <w:t xml:space="preserve"> means any of the following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any of the following purposes —</w:t>
      </w:r>
    </w:p>
    <w:p>
      <w:pPr>
        <w:pStyle w:val="Defsubpara"/>
      </w:pPr>
      <w:r>
        <w:tab/>
        <w:t>(i)</w:t>
      </w:r>
      <w:r>
        <w:tab/>
        <w:t>selling them (or their progeny) for food;</w:t>
      </w:r>
    </w:p>
    <w:p>
      <w:pPr>
        <w:pStyle w:val="Defsubpara"/>
      </w:pPr>
      <w:r>
        <w:tab/>
        <w:t>(ii)</w:t>
      </w:r>
      <w:r>
        <w:tab/>
        <w:t>the production or collection of their skins, shells or bodily produce;</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tab/>
      </w:r>
      <w:r>
        <w:rPr>
          <w:rStyle w:val="CharDefText"/>
        </w:rPr>
        <w:t>public authority</w:t>
      </w:r>
      <w:r>
        <w:t xml:space="preserve"> means — </w:t>
      </w:r>
    </w:p>
    <w:p>
      <w:pPr>
        <w:pStyle w:val="Defpara"/>
      </w:pPr>
      <w:r>
        <w:tab/>
        <w:t>(a)</w:t>
      </w:r>
      <w:r>
        <w:tab/>
        <w:t>a trading concern, instrumentality or public utility of the State; or</w:t>
      </w:r>
    </w:p>
    <w:p>
      <w:pPr>
        <w:pStyle w:val="Defpara"/>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Heading5"/>
        <w:rPr>
          <w:snapToGrid w:val="0"/>
        </w:rPr>
      </w:pPr>
      <w:bookmarkStart w:id="31" w:name="_Toc201998187"/>
      <w:bookmarkStart w:id="32" w:name="_Toc265588325"/>
      <w:bookmarkStart w:id="33" w:name="_Toc265579825"/>
      <w:r>
        <w:rPr>
          <w:rStyle w:val="CharSectno"/>
        </w:rPr>
        <w:t>4</w:t>
      </w:r>
      <w:r>
        <w:rPr>
          <w:snapToGrid w:val="0"/>
        </w:rPr>
        <w:t>.</w:t>
      </w:r>
      <w:r>
        <w:rPr>
          <w:snapToGrid w:val="0"/>
        </w:rPr>
        <w:tab/>
        <w:t xml:space="preserve">Relationship with </w:t>
      </w:r>
      <w:r>
        <w:rPr>
          <w:i/>
          <w:iCs/>
          <w:snapToGrid w:val="0"/>
        </w:rPr>
        <w:t>Taxation Administration Act 2003</w:t>
      </w:r>
      <w:bookmarkEnd w:id="31"/>
      <w:bookmarkEnd w:id="32"/>
      <w:bookmarkEnd w:id="33"/>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34" w:name="_Toc201998188"/>
      <w:bookmarkStart w:id="35" w:name="_Toc265588326"/>
      <w:bookmarkStart w:id="36" w:name="_Toc265579826"/>
      <w:r>
        <w:rPr>
          <w:rStyle w:val="CharSectno"/>
        </w:rPr>
        <w:t>5</w:t>
      </w:r>
      <w:r>
        <w:t>.</w:t>
      </w:r>
      <w:r>
        <w:tab/>
        <w:t>GST and value or consideration</w:t>
      </w:r>
      <w:bookmarkEnd w:id="34"/>
      <w:bookmarkEnd w:id="35"/>
      <w:bookmarkEnd w:id="36"/>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37" w:name="_Toc201998189"/>
      <w:bookmarkStart w:id="38" w:name="_Toc265588327"/>
      <w:bookmarkStart w:id="39" w:name="_Toc265579827"/>
      <w:r>
        <w:rPr>
          <w:rStyle w:val="CharSectno"/>
        </w:rPr>
        <w:t>6</w:t>
      </w:r>
      <w:r>
        <w:t>.</w:t>
      </w:r>
      <w:r>
        <w:tab/>
        <w:t>Family relationships</w:t>
      </w:r>
      <w:bookmarkEnd w:id="37"/>
      <w:bookmarkEnd w:id="38"/>
      <w:bookmarkEnd w:id="39"/>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40" w:name="_Toc201998190"/>
      <w:bookmarkStart w:id="41" w:name="_Toc265588328"/>
      <w:bookmarkStart w:id="42" w:name="_Toc265579828"/>
      <w:r>
        <w:rPr>
          <w:rStyle w:val="CharSectno"/>
        </w:rPr>
        <w:t>7</w:t>
      </w:r>
      <w:r>
        <w:t>.</w:t>
      </w:r>
      <w:r>
        <w:tab/>
        <w:t>The term “wound up”</w:t>
      </w:r>
      <w:bookmarkEnd w:id="40"/>
      <w:bookmarkEnd w:id="41"/>
      <w:bookmarkEnd w:id="42"/>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43" w:name="_Toc201998191"/>
      <w:bookmarkStart w:id="44" w:name="_Toc265588329"/>
      <w:bookmarkStart w:id="45" w:name="_Toc265579829"/>
      <w:r>
        <w:rPr>
          <w:rStyle w:val="CharSectno"/>
        </w:rPr>
        <w:t>8</w:t>
      </w:r>
      <w:r>
        <w:rPr>
          <w:snapToGrid w:val="0"/>
        </w:rPr>
        <w:t>.</w:t>
      </w:r>
      <w:r>
        <w:rPr>
          <w:snapToGrid w:val="0"/>
        </w:rPr>
        <w:tab/>
        <w:t>Notes in the text</w:t>
      </w:r>
      <w:bookmarkEnd w:id="43"/>
      <w:bookmarkEnd w:id="44"/>
      <w:bookmarkEnd w:id="45"/>
    </w:p>
    <w:p>
      <w:pPr>
        <w:pStyle w:val="Subsection"/>
      </w:pPr>
      <w:r>
        <w:tab/>
      </w:r>
      <w:r>
        <w:tab/>
        <w:t>A note included in this Act is explanatory and is not part of this Act.</w:t>
      </w:r>
    </w:p>
    <w:p>
      <w:pPr>
        <w:pStyle w:val="Heading2"/>
        <w:rPr>
          <w:sz w:val="32"/>
        </w:rPr>
      </w:pPr>
      <w:bookmarkStart w:id="46" w:name="_Toc201998192"/>
      <w:bookmarkStart w:id="47" w:name="_Toc201999448"/>
      <w:bookmarkStart w:id="48" w:name="_Toc202171967"/>
      <w:bookmarkStart w:id="49" w:name="_Toc202172375"/>
      <w:bookmarkStart w:id="50" w:name="_Toc202428605"/>
      <w:bookmarkStart w:id="51" w:name="_Toc264020465"/>
      <w:bookmarkStart w:id="52" w:name="_Toc264024818"/>
      <w:bookmarkStart w:id="53" w:name="_Toc265579830"/>
      <w:bookmarkStart w:id="54" w:name="_Toc265587912"/>
      <w:bookmarkStart w:id="55" w:name="_Toc265588330"/>
      <w:r>
        <w:rPr>
          <w:rStyle w:val="CharPartNo"/>
          <w:sz w:val="32"/>
        </w:rPr>
        <w:t>Chapter 2</w:t>
      </w:r>
      <w:r>
        <w:rPr>
          <w:sz w:val="32"/>
        </w:rPr>
        <w:t> — </w:t>
      </w:r>
      <w:r>
        <w:rPr>
          <w:rStyle w:val="CharPartText"/>
          <w:sz w:val="32"/>
        </w:rPr>
        <w:t>Transfer duty</w:t>
      </w:r>
      <w:bookmarkEnd w:id="46"/>
      <w:bookmarkEnd w:id="47"/>
      <w:bookmarkEnd w:id="48"/>
      <w:bookmarkEnd w:id="49"/>
      <w:bookmarkEnd w:id="50"/>
      <w:bookmarkEnd w:id="51"/>
      <w:bookmarkEnd w:id="52"/>
      <w:bookmarkEnd w:id="53"/>
      <w:bookmarkEnd w:id="54"/>
      <w:bookmarkEnd w:id="55"/>
    </w:p>
    <w:p>
      <w:pPr>
        <w:pStyle w:val="Heading3"/>
        <w:rPr>
          <w:sz w:val="28"/>
        </w:rPr>
      </w:pPr>
      <w:bookmarkStart w:id="56" w:name="_Toc201998193"/>
      <w:bookmarkStart w:id="57" w:name="_Toc201999449"/>
      <w:bookmarkStart w:id="58" w:name="_Toc202171968"/>
      <w:bookmarkStart w:id="59" w:name="_Toc202172376"/>
      <w:bookmarkStart w:id="60" w:name="_Toc202428606"/>
      <w:bookmarkStart w:id="61" w:name="_Toc264020466"/>
      <w:bookmarkStart w:id="62" w:name="_Toc264024819"/>
      <w:bookmarkStart w:id="63" w:name="_Toc265579831"/>
      <w:bookmarkStart w:id="64" w:name="_Toc265587913"/>
      <w:bookmarkStart w:id="65" w:name="_Toc265588331"/>
      <w:r>
        <w:rPr>
          <w:rStyle w:val="CharDivNo"/>
          <w:sz w:val="28"/>
        </w:rPr>
        <w:t>Part 1</w:t>
      </w:r>
      <w:r>
        <w:rPr>
          <w:sz w:val="28"/>
        </w:rPr>
        <w:t> — </w:t>
      </w:r>
      <w:r>
        <w:rPr>
          <w:rStyle w:val="CharDivText"/>
          <w:sz w:val="28"/>
        </w:rPr>
        <w:t>Preliminary</w:t>
      </w:r>
      <w:bookmarkEnd w:id="56"/>
      <w:bookmarkEnd w:id="57"/>
      <w:bookmarkEnd w:id="58"/>
      <w:bookmarkEnd w:id="59"/>
      <w:bookmarkEnd w:id="60"/>
      <w:bookmarkEnd w:id="61"/>
      <w:bookmarkEnd w:id="62"/>
      <w:bookmarkEnd w:id="63"/>
      <w:bookmarkEnd w:id="64"/>
      <w:bookmarkEnd w:id="65"/>
    </w:p>
    <w:p>
      <w:pPr>
        <w:pStyle w:val="Heading5"/>
      </w:pPr>
      <w:bookmarkStart w:id="66" w:name="_Toc201998194"/>
      <w:bookmarkStart w:id="67" w:name="_Toc265588332"/>
      <w:bookmarkStart w:id="68" w:name="_Toc265579832"/>
      <w:r>
        <w:rPr>
          <w:rStyle w:val="CharSectno"/>
        </w:rPr>
        <w:t>9</w:t>
      </w:r>
      <w:r>
        <w:t>.</w:t>
      </w:r>
      <w:r>
        <w:tab/>
        <w:t>Terms used in this Chapter</w:t>
      </w:r>
      <w:bookmarkEnd w:id="66"/>
      <w:bookmarkEnd w:id="67"/>
      <w:bookmarkEnd w:id="68"/>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off</w:t>
      </w:r>
      <w:r>
        <w:noBreakHyphen/>
        <w:t>the</w:t>
      </w:r>
      <w:r>
        <w:noBreakHyphen/>
        <w:t>plan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tab/>
      </w:r>
      <w:r>
        <w:rPr>
          <w:rStyle w:val="CharDefText"/>
        </w:rPr>
        <w:t>off</w:t>
      </w:r>
      <w:r>
        <w:rPr>
          <w:rStyle w:val="CharDefText"/>
        </w:rPr>
        <w:noBreakHyphen/>
        <w:t>the</w:t>
      </w:r>
      <w:r>
        <w:rPr>
          <w:rStyle w:val="CharDefText"/>
        </w:rPr>
        <w:noBreakHyphen/>
        <w:t>plan conditional agreement</w:t>
      </w:r>
      <w:r>
        <w:t xml:space="preserve"> has the meaning given in section 90;</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87(3);</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unconditional</w:t>
      </w:r>
      <w:r>
        <w:rPr>
          <w:bCs/>
        </w:rPr>
        <w:t xml:space="preserve">, in relation to a conditional agreement, </w:t>
      </w:r>
      <w:r>
        <w:t>has the meaning given in section 87(4);</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Heading3"/>
        <w:rPr>
          <w:sz w:val="28"/>
        </w:rPr>
      </w:pPr>
      <w:bookmarkStart w:id="69" w:name="_Toc201998195"/>
      <w:bookmarkStart w:id="70" w:name="_Toc201999451"/>
      <w:bookmarkStart w:id="71" w:name="_Toc202171970"/>
      <w:bookmarkStart w:id="72" w:name="_Toc202172378"/>
      <w:bookmarkStart w:id="73" w:name="_Toc202428608"/>
      <w:bookmarkStart w:id="74" w:name="_Toc264020468"/>
      <w:bookmarkStart w:id="75" w:name="_Toc264024821"/>
      <w:bookmarkStart w:id="76" w:name="_Toc265579833"/>
      <w:bookmarkStart w:id="77" w:name="_Toc265587915"/>
      <w:bookmarkStart w:id="78" w:name="_Toc265588333"/>
      <w:r>
        <w:rPr>
          <w:rStyle w:val="CharDivNo"/>
          <w:sz w:val="28"/>
        </w:rPr>
        <w:t>Part 2</w:t>
      </w:r>
      <w:r>
        <w:rPr>
          <w:sz w:val="28"/>
        </w:rPr>
        <w:t> — </w:t>
      </w:r>
      <w:r>
        <w:rPr>
          <w:rStyle w:val="CharDivText"/>
          <w:sz w:val="28"/>
        </w:rPr>
        <w:t>Imposition of transfer duty</w:t>
      </w:r>
      <w:bookmarkEnd w:id="69"/>
      <w:bookmarkEnd w:id="70"/>
      <w:bookmarkEnd w:id="71"/>
      <w:bookmarkEnd w:id="72"/>
      <w:bookmarkEnd w:id="73"/>
      <w:bookmarkEnd w:id="74"/>
      <w:bookmarkEnd w:id="75"/>
      <w:bookmarkEnd w:id="76"/>
      <w:bookmarkEnd w:id="77"/>
      <w:bookmarkEnd w:id="78"/>
    </w:p>
    <w:p>
      <w:pPr>
        <w:pStyle w:val="Heading5"/>
      </w:pPr>
      <w:bookmarkStart w:id="79" w:name="_Toc201998196"/>
      <w:bookmarkStart w:id="80" w:name="_Toc265588334"/>
      <w:bookmarkStart w:id="81" w:name="_Toc265579834"/>
      <w:r>
        <w:rPr>
          <w:rStyle w:val="CharSectno"/>
        </w:rPr>
        <w:t>10</w:t>
      </w:r>
      <w:r>
        <w:t>.</w:t>
      </w:r>
      <w:r>
        <w:tab/>
        <w:t>Transfer duty imposed</w:t>
      </w:r>
      <w:bookmarkEnd w:id="79"/>
      <w:bookmarkEnd w:id="80"/>
      <w:bookmarkEnd w:id="81"/>
    </w:p>
    <w:p>
      <w:pPr>
        <w:pStyle w:val="Subsection"/>
      </w:pPr>
      <w:r>
        <w:tab/>
      </w:r>
      <w:r>
        <w:tab/>
        <w:t>Duty is imposed on dutiable transactions.</w:t>
      </w:r>
    </w:p>
    <w:p>
      <w:pPr>
        <w:pStyle w:val="Heading3"/>
        <w:rPr>
          <w:sz w:val="28"/>
        </w:rPr>
      </w:pPr>
      <w:bookmarkStart w:id="82" w:name="_Toc201998197"/>
      <w:bookmarkStart w:id="83" w:name="_Toc201999453"/>
      <w:bookmarkStart w:id="84" w:name="_Toc202171972"/>
      <w:bookmarkStart w:id="85" w:name="_Toc202172380"/>
      <w:bookmarkStart w:id="86" w:name="_Toc202428610"/>
      <w:bookmarkStart w:id="87" w:name="_Toc264020470"/>
      <w:bookmarkStart w:id="88" w:name="_Toc264024823"/>
      <w:bookmarkStart w:id="89" w:name="_Toc265579835"/>
      <w:bookmarkStart w:id="90" w:name="_Toc265587917"/>
      <w:bookmarkStart w:id="91" w:name="_Toc265588335"/>
      <w:r>
        <w:rPr>
          <w:rStyle w:val="CharDivNo"/>
          <w:sz w:val="28"/>
        </w:rPr>
        <w:t>Part 3</w:t>
      </w:r>
      <w:r>
        <w:rPr>
          <w:sz w:val="28"/>
        </w:rPr>
        <w:t> — </w:t>
      </w:r>
      <w:r>
        <w:rPr>
          <w:rStyle w:val="CharDivText"/>
          <w:sz w:val="28"/>
        </w:rPr>
        <w:t>Dutiable transactions and dutiable property</w:t>
      </w:r>
      <w:bookmarkEnd w:id="82"/>
      <w:bookmarkEnd w:id="83"/>
      <w:bookmarkEnd w:id="84"/>
      <w:bookmarkEnd w:id="85"/>
      <w:bookmarkEnd w:id="86"/>
      <w:bookmarkEnd w:id="87"/>
      <w:bookmarkEnd w:id="88"/>
      <w:bookmarkEnd w:id="89"/>
      <w:bookmarkEnd w:id="90"/>
      <w:bookmarkEnd w:id="91"/>
    </w:p>
    <w:p>
      <w:pPr>
        <w:pStyle w:val="Heading4"/>
        <w:rPr>
          <w:sz w:val="26"/>
        </w:rPr>
      </w:pPr>
      <w:bookmarkStart w:id="92" w:name="_Toc201998198"/>
      <w:bookmarkStart w:id="93" w:name="_Toc201999454"/>
      <w:bookmarkStart w:id="94" w:name="_Toc202171973"/>
      <w:bookmarkStart w:id="95" w:name="_Toc202172381"/>
      <w:bookmarkStart w:id="96" w:name="_Toc202428611"/>
      <w:bookmarkStart w:id="97" w:name="_Toc264020471"/>
      <w:bookmarkStart w:id="98" w:name="_Toc264024824"/>
      <w:bookmarkStart w:id="99" w:name="_Toc265579836"/>
      <w:bookmarkStart w:id="100" w:name="_Toc265587918"/>
      <w:bookmarkStart w:id="101" w:name="_Toc265588336"/>
      <w:r>
        <w:rPr>
          <w:sz w:val="26"/>
        </w:rPr>
        <w:t>Division 1 — Dutiable transactions</w:t>
      </w:r>
      <w:bookmarkEnd w:id="92"/>
      <w:bookmarkEnd w:id="93"/>
      <w:bookmarkEnd w:id="94"/>
      <w:bookmarkEnd w:id="95"/>
      <w:bookmarkEnd w:id="96"/>
      <w:bookmarkEnd w:id="97"/>
      <w:bookmarkEnd w:id="98"/>
      <w:bookmarkEnd w:id="99"/>
      <w:bookmarkEnd w:id="100"/>
      <w:bookmarkEnd w:id="101"/>
    </w:p>
    <w:p>
      <w:pPr>
        <w:pStyle w:val="Heading5"/>
      </w:pPr>
      <w:bookmarkStart w:id="102" w:name="_Toc201998199"/>
      <w:bookmarkStart w:id="103" w:name="_Toc265588337"/>
      <w:bookmarkStart w:id="104" w:name="_Toc265579837"/>
      <w:r>
        <w:rPr>
          <w:rStyle w:val="CharSectno"/>
        </w:rPr>
        <w:t>11</w:t>
      </w:r>
      <w:r>
        <w:t>.</w:t>
      </w:r>
      <w:r>
        <w:tab/>
        <w:t>The term “dutiable transaction”</w:t>
      </w:r>
      <w:bookmarkEnd w:id="102"/>
      <w:bookmarkEnd w:id="103"/>
      <w:bookmarkEnd w:id="104"/>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105" w:name="_Toc201998200"/>
      <w:bookmarkStart w:id="106" w:name="_Toc265588338"/>
      <w:bookmarkStart w:id="107" w:name="_Toc265579838"/>
      <w:r>
        <w:rPr>
          <w:rStyle w:val="CharSectno"/>
        </w:rPr>
        <w:t>12</w:t>
      </w:r>
      <w:r>
        <w:t>.</w:t>
      </w:r>
      <w:r>
        <w:tab/>
        <w:t>Vesting of property in Western Australia by statute law — section 11(1)(d)(i)</w:t>
      </w:r>
      <w:bookmarkEnd w:id="105"/>
      <w:bookmarkEnd w:id="106"/>
      <w:bookmarkEnd w:id="107"/>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be a vesting of the property in Western Australia of the merging corporations in company C by statute law.</w:t>
      </w:r>
    </w:p>
    <w:p>
      <w:pPr>
        <w:pStyle w:val="Subsection"/>
      </w:pPr>
      <w:r>
        <w:tab/>
        <w:t>(5)</w:t>
      </w:r>
      <w:r>
        <w:tab/>
        <w:t xml:space="preserve">A merger of corporations (the </w:t>
      </w:r>
      <w:r>
        <w:rPr>
          <w:rStyle w:val="CharDefText"/>
        </w:rPr>
        <w:t>merging corporations</w:t>
      </w:r>
      <w:r>
        <w:t>) with and into each other in circumstances where each of the merging corporations continues in existence is taken to be a vesting in the merging corporations, jointly, of 50% (in value) of the property in Western Australia of the merging corporations by statute law.</w:t>
      </w:r>
    </w:p>
    <w:p>
      <w:pPr>
        <w:pStyle w:val="Heading5"/>
      </w:pPr>
      <w:bookmarkStart w:id="108" w:name="_Toc201998201"/>
      <w:bookmarkStart w:id="109" w:name="_Toc265588339"/>
      <w:bookmarkStart w:id="110" w:name="_Toc265579839"/>
      <w:r>
        <w:rPr>
          <w:rStyle w:val="CharSectno"/>
        </w:rPr>
        <w:t>13</w:t>
      </w:r>
      <w:r>
        <w:t>.</w:t>
      </w:r>
      <w:r>
        <w:tab/>
        <w:t>The term “farm</w:t>
      </w:r>
      <w:r>
        <w:noBreakHyphen/>
        <w:t>in agreement” — section 11(1)(j)</w:t>
      </w:r>
      <w:bookmarkEnd w:id="108"/>
      <w:bookmarkEnd w:id="109"/>
      <w:bookmarkEnd w:id="110"/>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spacing w:before="40"/>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pPr>
      <w:bookmarkStart w:id="111" w:name="_Toc201998202"/>
      <w:bookmarkStart w:id="112" w:name="_Toc265588340"/>
      <w:bookmarkStart w:id="113" w:name="_Toc265579840"/>
      <w:r>
        <w:rPr>
          <w:rStyle w:val="CharSectno"/>
        </w:rPr>
        <w:t>14</w:t>
      </w:r>
      <w:r>
        <w:t>.</w:t>
      </w:r>
      <w:r>
        <w:tab/>
        <w:t>Transactions for chattels alone not usually dutiable transactions</w:t>
      </w:r>
      <w:bookmarkEnd w:id="111"/>
      <w:bookmarkEnd w:id="112"/>
      <w:bookmarkEnd w:id="113"/>
    </w:p>
    <w:p>
      <w:pPr>
        <w:pStyle w:val="Subsection"/>
        <w:spacing w:before="120"/>
      </w:pPr>
      <w:r>
        <w:tab/>
        <w:t>(1)</w:t>
      </w:r>
      <w:r>
        <w:tab/>
        <w:t>Subject to subsection (2), a transaction is not a dutiable transaction if the only dutiable property the subject of the transaction is a chattel in Western Australia.</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114" w:name="_Toc201998203"/>
      <w:bookmarkStart w:id="115" w:name="_Toc201999459"/>
      <w:bookmarkStart w:id="116" w:name="_Toc202171978"/>
      <w:bookmarkStart w:id="117" w:name="_Toc202172386"/>
      <w:bookmarkStart w:id="118" w:name="_Toc202428616"/>
      <w:bookmarkStart w:id="119" w:name="_Toc264020476"/>
      <w:bookmarkStart w:id="120" w:name="_Toc264024829"/>
      <w:bookmarkStart w:id="121" w:name="_Toc265579841"/>
      <w:bookmarkStart w:id="122" w:name="_Toc265587923"/>
      <w:bookmarkStart w:id="123" w:name="_Toc265588341"/>
      <w:r>
        <w:rPr>
          <w:sz w:val="26"/>
        </w:rPr>
        <w:t>Division 2 — Dutiable property</w:t>
      </w:r>
      <w:bookmarkEnd w:id="114"/>
      <w:bookmarkEnd w:id="115"/>
      <w:bookmarkEnd w:id="116"/>
      <w:bookmarkEnd w:id="117"/>
      <w:bookmarkEnd w:id="118"/>
      <w:bookmarkEnd w:id="119"/>
      <w:bookmarkEnd w:id="120"/>
      <w:bookmarkEnd w:id="121"/>
      <w:bookmarkEnd w:id="122"/>
      <w:bookmarkEnd w:id="123"/>
    </w:p>
    <w:p>
      <w:pPr>
        <w:pStyle w:val="Heading5"/>
      </w:pPr>
      <w:bookmarkStart w:id="124" w:name="_Toc201998204"/>
      <w:bookmarkStart w:id="125" w:name="_Toc265588342"/>
      <w:bookmarkStart w:id="126" w:name="_Toc265579842"/>
      <w:r>
        <w:rPr>
          <w:rStyle w:val="CharSectno"/>
        </w:rPr>
        <w:t>15</w:t>
      </w:r>
      <w:r>
        <w:t>.</w:t>
      </w:r>
      <w:r>
        <w:tab/>
        <w:t>The term “dutiable property”</w:t>
      </w:r>
      <w:bookmarkEnd w:id="124"/>
      <w:bookmarkEnd w:id="125"/>
      <w:bookmarkEnd w:id="126"/>
    </w:p>
    <w:p>
      <w:pPr>
        <w:pStyle w:val="Subsection"/>
      </w:pPr>
      <w:r>
        <w:tab/>
      </w:r>
      <w:r>
        <w:tab/>
        <w:t xml:space="preserve">Any of the following is </w:t>
      </w:r>
      <w:r>
        <w:rPr>
          <w:rStyle w:val="CharDefText"/>
        </w:rPr>
        <w:t>dutiable property</w:t>
      </w:r>
      <w:r>
        <w:t xml:space="preserve"> — </w:t>
      </w:r>
    </w:p>
    <w:p>
      <w:pPr>
        <w:pStyle w:val="Indenta"/>
      </w:pPr>
      <w:r>
        <w:tab/>
        <w:t>(a)</w:t>
      </w:r>
      <w:r>
        <w:tab/>
        <w:t>land in Western Australia;</w:t>
      </w:r>
    </w:p>
    <w:p>
      <w:pPr>
        <w:pStyle w:val="Indenta"/>
      </w:pPr>
      <w:r>
        <w:tab/>
        <w:t>(b)</w:t>
      </w:r>
      <w:r>
        <w:tab/>
        <w:t>a right;</w:t>
      </w:r>
    </w:p>
    <w:p>
      <w:pPr>
        <w:pStyle w:val="Indenta"/>
      </w:pPr>
      <w:r>
        <w:tab/>
        <w:t>(c)</w:t>
      </w:r>
      <w:r>
        <w:tab/>
        <w:t>a chattel in Western Australia;</w:t>
      </w:r>
    </w:p>
    <w:p>
      <w:pPr>
        <w:pStyle w:val="Indenta"/>
      </w:pPr>
      <w:r>
        <w:tab/>
        <w:t>(d)</w:t>
      </w:r>
      <w:r>
        <w:tab/>
        <w:t>a Western Australian business asset.</w:t>
      </w:r>
    </w:p>
    <w:p>
      <w:pPr>
        <w:pStyle w:val="Heading5"/>
      </w:pPr>
      <w:bookmarkStart w:id="127" w:name="_Toc201998205"/>
      <w:bookmarkStart w:id="128" w:name="_Toc265588343"/>
      <w:bookmarkStart w:id="129" w:name="_Toc265579843"/>
      <w:r>
        <w:rPr>
          <w:rStyle w:val="CharSectno"/>
        </w:rPr>
        <w:t>16</w:t>
      </w:r>
      <w:r>
        <w:t>.</w:t>
      </w:r>
      <w:r>
        <w:tab/>
        <w:t>The term “right”</w:t>
      </w:r>
      <w:bookmarkEnd w:id="127"/>
      <w:bookmarkEnd w:id="128"/>
      <w:bookmarkEnd w:id="129"/>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rPr>
          <w:lang w:val="en-US"/>
        </w:rPr>
      </w:pPr>
      <w:r>
        <w:rPr>
          <w:lang w:val="en-US"/>
        </w:rPr>
        <w:tab/>
        <w:t>(a)</w:t>
      </w:r>
      <w:r>
        <w:rPr>
          <w:lang w:val="en-US"/>
        </w:rPr>
        <w:tab/>
        <w:t xml:space="preserve">a right under an application under the </w:t>
      </w:r>
      <w:r>
        <w:rPr>
          <w:i/>
          <w:iCs/>
          <w:lang w:val="en-US"/>
        </w:rPr>
        <w:t>Mining Act 1978</w:t>
      </w:r>
      <w:r>
        <w:rPr>
          <w:lang w:val="en-US"/>
        </w:rPr>
        <w:t xml:space="preserve"> for a mining tenement;</w:t>
      </w:r>
    </w:p>
    <w:p>
      <w:pPr>
        <w:pStyle w:val="Indenta"/>
        <w:rPr>
          <w:lang w:val="en-US"/>
        </w:rPr>
      </w:pPr>
      <w:r>
        <w:rPr>
          <w:lang w:val="en-US"/>
        </w:rPr>
        <w:tab/>
        <w:t>(b)</w:t>
      </w:r>
      <w:r>
        <w:rPr>
          <w:lang w:val="en-US"/>
        </w:rPr>
        <w:tab/>
        <w:t xml:space="preserve">a licence, or a water entitlement under a licence, under the </w:t>
      </w:r>
      <w:r>
        <w:rPr>
          <w:i/>
          <w:iCs/>
          <w:lang w:val="en-US"/>
        </w:rPr>
        <w:t>Rights in Water and Irrigation Act 1914</w:t>
      </w:r>
      <w:r>
        <w:rPr>
          <w:lang w:val="en-US"/>
        </w:rPr>
        <w:t xml:space="preserve"> section 5C;</w:t>
      </w:r>
    </w:p>
    <w:p>
      <w:pPr>
        <w:pStyle w:val="Indenta"/>
      </w:pPr>
      <w:r>
        <w:tab/>
        <w:t>(c)</w:t>
      </w:r>
      <w:r>
        <w:tab/>
        <w:t>any other thing prescribed for the purposes of this section.</w:t>
      </w:r>
    </w:p>
    <w:p>
      <w:pPr>
        <w:pStyle w:val="Heading5"/>
      </w:pPr>
      <w:bookmarkStart w:id="130" w:name="_Toc201998206"/>
      <w:bookmarkStart w:id="131" w:name="_Toc265588344"/>
      <w:bookmarkStart w:id="132" w:name="_Toc265579844"/>
      <w:r>
        <w:rPr>
          <w:rStyle w:val="CharSectno"/>
        </w:rPr>
        <w:t>17</w:t>
      </w:r>
      <w:r>
        <w:t>.</w:t>
      </w:r>
      <w:r>
        <w:tab/>
        <w:t>The term “new dutiable property”</w:t>
      </w:r>
      <w:bookmarkEnd w:id="130"/>
      <w:bookmarkEnd w:id="131"/>
      <w:bookmarkEnd w:id="132"/>
    </w:p>
    <w:p>
      <w:pPr>
        <w:pStyle w:val="Subsection"/>
      </w:pPr>
      <w:r>
        <w:tab/>
        <w:t>(1)</w:t>
      </w:r>
      <w:r>
        <w:tab/>
        <w:t xml:space="preserve">Any of the following is </w:t>
      </w:r>
      <w:r>
        <w:rPr>
          <w:rStyle w:val="CharDefText"/>
        </w:rPr>
        <w:t>new dutiable property</w:t>
      </w:r>
      <w:r>
        <w:t xml:space="preserve"> — </w:t>
      </w:r>
    </w:p>
    <w:p>
      <w:pPr>
        <w:pStyle w:val="Indenta"/>
      </w:pPr>
      <w:r>
        <w:tab/>
        <w:t>(a)</w:t>
      </w:r>
      <w:r>
        <w:tab/>
        <w:t>land in Western Australia;</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a licence</w:t>
      </w:r>
      <w:r>
        <w:rPr>
          <w:lang w:val="en-US"/>
        </w:rPr>
        <w:t xml:space="preserve">, or a water entitlement under a licence, </w:t>
      </w:r>
      <w:r>
        <w:t xml:space="preserve">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r>
        <w:rPr>
          <w:i/>
          <w:iCs/>
        </w:rPr>
        <w:t>Forest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Tree Plantation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133" w:name="_Toc201998207"/>
      <w:bookmarkStart w:id="134" w:name="_Toc265588345"/>
      <w:bookmarkStart w:id="135" w:name="_Toc265579845"/>
      <w:r>
        <w:rPr>
          <w:rStyle w:val="CharSectno"/>
        </w:rPr>
        <w:t>18</w:t>
      </w:r>
      <w:r>
        <w:t>.</w:t>
      </w:r>
      <w:r>
        <w:tab/>
        <w:t>The term “special dutiable property”</w:t>
      </w:r>
      <w:bookmarkEnd w:id="133"/>
      <w:bookmarkEnd w:id="134"/>
      <w:bookmarkEnd w:id="135"/>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136" w:name="_Toc201998208"/>
      <w:bookmarkStart w:id="137" w:name="_Toc201999464"/>
      <w:bookmarkStart w:id="138" w:name="_Toc202171983"/>
      <w:bookmarkStart w:id="139" w:name="_Toc202172391"/>
      <w:bookmarkStart w:id="140" w:name="_Toc202428621"/>
      <w:bookmarkStart w:id="141" w:name="_Toc264020481"/>
      <w:bookmarkStart w:id="142" w:name="_Toc264024834"/>
      <w:bookmarkStart w:id="143" w:name="_Toc265579846"/>
      <w:bookmarkStart w:id="144" w:name="_Toc265587928"/>
      <w:bookmarkStart w:id="145" w:name="_Toc265588346"/>
      <w:r>
        <w:rPr>
          <w:rStyle w:val="CharDivNo"/>
          <w:sz w:val="28"/>
        </w:rPr>
        <w:t>Part 4</w:t>
      </w:r>
      <w:r>
        <w:rPr>
          <w:sz w:val="28"/>
        </w:rPr>
        <w:t> — </w:t>
      </w:r>
      <w:r>
        <w:rPr>
          <w:rStyle w:val="CharDivText"/>
          <w:sz w:val="28"/>
        </w:rPr>
        <w:t>Collection of transfer duty</w:t>
      </w:r>
      <w:bookmarkEnd w:id="136"/>
      <w:bookmarkEnd w:id="137"/>
      <w:bookmarkEnd w:id="138"/>
      <w:bookmarkEnd w:id="139"/>
      <w:bookmarkEnd w:id="140"/>
      <w:bookmarkEnd w:id="141"/>
      <w:bookmarkEnd w:id="142"/>
      <w:bookmarkEnd w:id="143"/>
      <w:bookmarkEnd w:id="144"/>
      <w:bookmarkEnd w:id="145"/>
    </w:p>
    <w:p>
      <w:pPr>
        <w:pStyle w:val="Heading4"/>
        <w:rPr>
          <w:sz w:val="26"/>
        </w:rPr>
      </w:pPr>
      <w:bookmarkStart w:id="146" w:name="_Toc201998209"/>
      <w:bookmarkStart w:id="147" w:name="_Toc201999465"/>
      <w:bookmarkStart w:id="148" w:name="_Toc202171984"/>
      <w:bookmarkStart w:id="149" w:name="_Toc202172392"/>
      <w:bookmarkStart w:id="150" w:name="_Toc202428622"/>
      <w:bookmarkStart w:id="151" w:name="_Toc264020482"/>
      <w:bookmarkStart w:id="152" w:name="_Toc264024835"/>
      <w:bookmarkStart w:id="153" w:name="_Toc265579847"/>
      <w:bookmarkStart w:id="154" w:name="_Toc265587929"/>
      <w:bookmarkStart w:id="155" w:name="_Toc265588347"/>
      <w:r>
        <w:rPr>
          <w:sz w:val="26"/>
        </w:rPr>
        <w:t>Division 1 — Liability for transfer duty</w:t>
      </w:r>
      <w:bookmarkEnd w:id="146"/>
      <w:bookmarkEnd w:id="147"/>
      <w:bookmarkEnd w:id="148"/>
      <w:bookmarkEnd w:id="149"/>
      <w:bookmarkEnd w:id="150"/>
      <w:bookmarkEnd w:id="151"/>
      <w:bookmarkEnd w:id="152"/>
      <w:bookmarkEnd w:id="153"/>
      <w:bookmarkEnd w:id="154"/>
      <w:bookmarkEnd w:id="155"/>
    </w:p>
    <w:p>
      <w:pPr>
        <w:pStyle w:val="Heading5"/>
      </w:pPr>
      <w:bookmarkStart w:id="156" w:name="_Toc201998210"/>
      <w:bookmarkStart w:id="157" w:name="_Toc265588348"/>
      <w:bookmarkStart w:id="158" w:name="_Toc265579848"/>
      <w:r>
        <w:rPr>
          <w:rStyle w:val="CharSectno"/>
        </w:rPr>
        <w:t>19</w:t>
      </w:r>
      <w:r>
        <w:t>.</w:t>
      </w:r>
      <w:r>
        <w:tab/>
        <w:t>When liability for duty arises</w:t>
      </w:r>
      <w:bookmarkEnd w:id="156"/>
      <w:bookmarkEnd w:id="157"/>
      <w:bookmarkEnd w:id="158"/>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 transaction record for it is required to be lodged under section 23 then liability for duty does not arise in respect of the general conditional agreement.</w:t>
      </w:r>
    </w:p>
    <w:p>
      <w:pPr>
        <w:pStyle w:val="Heading5"/>
      </w:pPr>
      <w:bookmarkStart w:id="159" w:name="_Toc201998211"/>
      <w:bookmarkStart w:id="160" w:name="_Toc265588349"/>
      <w:bookmarkStart w:id="161" w:name="_Toc265579849"/>
      <w:r>
        <w:rPr>
          <w:rStyle w:val="CharSectno"/>
        </w:rPr>
        <w:t>20</w:t>
      </w:r>
      <w:r>
        <w:t>.</w:t>
      </w:r>
      <w:r>
        <w:tab/>
        <w:t>Person liable to pay duty</w:t>
      </w:r>
      <w:bookmarkEnd w:id="159"/>
      <w:bookmarkEnd w:id="160"/>
      <w:bookmarkEnd w:id="161"/>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162" w:name="_Toc201998212"/>
      <w:bookmarkStart w:id="163" w:name="_Toc265588350"/>
      <w:bookmarkStart w:id="164" w:name="_Toc265579850"/>
      <w:r>
        <w:rPr>
          <w:rStyle w:val="CharSectno"/>
        </w:rPr>
        <w:t>21</w:t>
      </w:r>
      <w:r>
        <w:t>.</w:t>
      </w:r>
      <w:r>
        <w:tab/>
        <w:t>Joint tenants to be treated as tenants in common in equal shares</w:t>
      </w:r>
      <w:bookmarkEnd w:id="162"/>
      <w:bookmarkEnd w:id="163"/>
      <w:bookmarkEnd w:id="164"/>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165" w:name="_Toc201998213"/>
      <w:bookmarkStart w:id="166" w:name="_Toc201999469"/>
      <w:bookmarkStart w:id="167" w:name="_Toc202171988"/>
      <w:bookmarkStart w:id="168" w:name="_Toc202172396"/>
      <w:bookmarkStart w:id="169" w:name="_Toc202428626"/>
      <w:bookmarkStart w:id="170" w:name="_Toc264020486"/>
      <w:bookmarkStart w:id="171" w:name="_Toc264024839"/>
      <w:bookmarkStart w:id="172" w:name="_Toc265579851"/>
      <w:bookmarkStart w:id="173" w:name="_Toc265587933"/>
      <w:bookmarkStart w:id="174" w:name="_Toc265588351"/>
      <w:r>
        <w:rPr>
          <w:sz w:val="26"/>
        </w:rPr>
        <w:t>Division 2 — Lodging transaction records</w:t>
      </w:r>
      <w:bookmarkEnd w:id="165"/>
      <w:bookmarkEnd w:id="166"/>
      <w:bookmarkEnd w:id="167"/>
      <w:bookmarkEnd w:id="168"/>
      <w:bookmarkEnd w:id="169"/>
      <w:bookmarkEnd w:id="170"/>
      <w:bookmarkEnd w:id="171"/>
      <w:bookmarkEnd w:id="172"/>
      <w:bookmarkEnd w:id="173"/>
      <w:bookmarkEnd w:id="174"/>
    </w:p>
    <w:p>
      <w:pPr>
        <w:pStyle w:val="Heading5"/>
      </w:pPr>
      <w:bookmarkStart w:id="175" w:name="_Toc201998214"/>
      <w:bookmarkStart w:id="176" w:name="_Toc265588352"/>
      <w:bookmarkStart w:id="177" w:name="_Toc265579852"/>
      <w:r>
        <w:rPr>
          <w:rStyle w:val="CharSectno"/>
        </w:rPr>
        <w:t>22</w:t>
      </w:r>
      <w:r>
        <w:t>.</w:t>
      </w:r>
      <w:r>
        <w:tab/>
        <w:t>Transfer duty statement to be made if no instrument</w:t>
      </w:r>
      <w:bookmarkEnd w:id="175"/>
      <w:bookmarkEnd w:id="176"/>
      <w:bookmarkEnd w:id="177"/>
    </w:p>
    <w:p>
      <w:pPr>
        <w:pStyle w:val="Subsection"/>
      </w:pPr>
      <w:r>
        <w:tab/>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Heading5"/>
      </w:pPr>
      <w:bookmarkStart w:id="178" w:name="_Toc201998215"/>
      <w:bookmarkStart w:id="179" w:name="_Toc265588353"/>
      <w:bookmarkStart w:id="180" w:name="_Toc265579853"/>
      <w:r>
        <w:rPr>
          <w:rStyle w:val="CharSectno"/>
        </w:rPr>
        <w:t>23</w:t>
      </w:r>
      <w:r>
        <w:t>.</w:t>
      </w:r>
      <w:r>
        <w:tab/>
        <w:t>Lodging instrument or statement</w:t>
      </w:r>
      <w:bookmarkEnd w:id="178"/>
      <w:bookmarkEnd w:id="179"/>
      <w:bookmarkEnd w:id="180"/>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 xml:space="preserve">within — </w:t>
      </w:r>
    </w:p>
    <w:p>
      <w:pPr>
        <w:pStyle w:val="Indenta"/>
      </w:pPr>
      <w:r>
        <w:tab/>
        <w:t>(c)</w:t>
      </w:r>
      <w:r>
        <w:tab/>
        <w:t>2 months after the day on which liability for duty on the transaction arises; or</w:t>
      </w:r>
    </w:p>
    <w:p>
      <w:pPr>
        <w:pStyle w:val="Indenta"/>
      </w:pPr>
      <w:r>
        <w:tab/>
        <w:t>(d)</w:t>
      </w:r>
      <w:r>
        <w:tab/>
        <w:t>in accordance with subsection (3), in respect of an instrument in hard copy form that effects or evidences a general conditional agreement.</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 xml:space="preserve">For the purposes of subsection (1), a person liable to pay duty on a general conditional agreement must lodge the instrument, or instruments, in hard copy form that effect or evidence the agreement within — </w:t>
      </w:r>
    </w:p>
    <w:p>
      <w:pPr>
        <w:pStyle w:val="Indenta"/>
      </w:pPr>
      <w:r>
        <w:tab/>
        <w:t>(a)</w:t>
      </w:r>
      <w:r>
        <w:tab/>
        <w:t xml:space="preserve">2 months after the day on which liability for duty on the agreement arose if — </w:t>
      </w:r>
    </w:p>
    <w:p>
      <w:pPr>
        <w:pStyle w:val="Indenti"/>
      </w:pPr>
      <w:r>
        <w:tab/>
        <w:t>(i)</w:t>
      </w:r>
      <w:r>
        <w:tab/>
        <w:t>the agreement became unconditional within one month after the day on which liability for duty on the agreement arose; or</w:t>
      </w:r>
    </w:p>
    <w:p>
      <w:pPr>
        <w:pStyle w:val="Indenti"/>
      </w:pPr>
      <w:r>
        <w:tab/>
        <w:t>(ii)</w:t>
      </w:r>
      <w:r>
        <w:tab/>
        <w:t>a vendor under the agreement is related (within the meaning given in section 87(5)) to a purchaser under the agreement;</w:t>
      </w:r>
    </w:p>
    <w:p>
      <w:pPr>
        <w:pStyle w:val="Indenta"/>
      </w:pPr>
      <w:r>
        <w:tab/>
      </w:r>
      <w:r>
        <w:tab/>
        <w:t>or</w:t>
      </w:r>
    </w:p>
    <w:p>
      <w:pPr>
        <w:pStyle w:val="Indenta"/>
      </w:pPr>
      <w:r>
        <w:tab/>
        <w:t>(b)</w:t>
      </w:r>
      <w:r>
        <w:tab/>
        <w:t xml:space="preserve">otherwise, whichever is the earlier of — </w:t>
      </w:r>
    </w:p>
    <w:p>
      <w:pPr>
        <w:pStyle w:val="Indenti"/>
      </w:pPr>
      <w:r>
        <w:tab/>
        <w:t>(i)</w:t>
      </w:r>
      <w:r>
        <w:tab/>
        <w:t>12 months after the day on which liability for duty on the agreement arose; or</w:t>
      </w:r>
    </w:p>
    <w:p>
      <w:pPr>
        <w:pStyle w:val="Indenti"/>
      </w:pPr>
      <w:r>
        <w:tab/>
        <w:t>(ii)</w:t>
      </w:r>
      <w:r>
        <w:tab/>
        <w:t>2 months after the day on which the agreement became unconditional.</w:t>
      </w:r>
    </w:p>
    <w:p>
      <w:pPr>
        <w:pStyle w:val="Heading5"/>
      </w:pPr>
      <w:bookmarkStart w:id="181" w:name="_Toc201998216"/>
      <w:bookmarkStart w:id="182" w:name="_Toc265588354"/>
      <w:bookmarkStart w:id="183" w:name="_Toc265579854"/>
      <w:r>
        <w:rPr>
          <w:rStyle w:val="CharSectno"/>
        </w:rPr>
        <w:t>24</w:t>
      </w:r>
      <w:r>
        <w:t>.</w:t>
      </w:r>
      <w:r>
        <w:tab/>
        <w:t>Form of a dutiable transaction</w:t>
      </w:r>
      <w:bookmarkEnd w:id="181"/>
      <w:bookmarkEnd w:id="182"/>
      <w:bookmarkEnd w:id="183"/>
    </w:p>
    <w:p>
      <w:pPr>
        <w:pStyle w:val="Subsection"/>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184" w:name="_Toc201998217"/>
      <w:bookmarkStart w:id="185" w:name="_Toc201999473"/>
      <w:bookmarkStart w:id="186" w:name="_Toc202171992"/>
      <w:bookmarkStart w:id="187" w:name="_Toc202172400"/>
      <w:bookmarkStart w:id="188" w:name="_Toc202428630"/>
      <w:bookmarkStart w:id="189" w:name="_Toc264020490"/>
      <w:bookmarkStart w:id="190" w:name="_Toc264024843"/>
      <w:bookmarkStart w:id="191" w:name="_Toc265579855"/>
      <w:bookmarkStart w:id="192" w:name="_Toc265587937"/>
      <w:bookmarkStart w:id="193" w:name="_Toc265588355"/>
      <w:r>
        <w:rPr>
          <w:sz w:val="26"/>
        </w:rPr>
        <w:t>Division 3 — Payment of transfer duty</w:t>
      </w:r>
      <w:bookmarkEnd w:id="184"/>
      <w:bookmarkEnd w:id="185"/>
      <w:bookmarkEnd w:id="186"/>
      <w:bookmarkEnd w:id="187"/>
      <w:bookmarkEnd w:id="188"/>
      <w:bookmarkEnd w:id="189"/>
      <w:bookmarkEnd w:id="190"/>
      <w:bookmarkEnd w:id="191"/>
      <w:bookmarkEnd w:id="192"/>
      <w:bookmarkEnd w:id="193"/>
    </w:p>
    <w:p>
      <w:pPr>
        <w:pStyle w:val="Heading5"/>
      </w:pPr>
      <w:bookmarkStart w:id="194" w:name="_Toc201998218"/>
      <w:bookmarkStart w:id="195" w:name="_Toc265588356"/>
      <w:bookmarkStart w:id="196" w:name="_Toc265579856"/>
      <w:r>
        <w:rPr>
          <w:rStyle w:val="CharSectno"/>
        </w:rPr>
        <w:t>25</w:t>
      </w:r>
      <w:r>
        <w:t>.</w:t>
      </w:r>
      <w:r>
        <w:tab/>
        <w:t>Payment of duty</w:t>
      </w:r>
      <w:bookmarkEnd w:id="194"/>
      <w:bookmarkEnd w:id="195"/>
      <w:bookmarkEnd w:id="196"/>
    </w:p>
    <w:p>
      <w:pPr>
        <w:pStyle w:val="Subsection"/>
      </w:pPr>
      <w:r>
        <w:tab/>
        <w:t>(1)</w:t>
      </w:r>
      <w:r>
        <w:tab/>
        <w:t xml:space="preserve">A person liable to pay duty on a dutiable transaction is to pay the duty within one month after the date of the assessment notice in relation to the dutiable transaction or, if it is later in time — </w:t>
      </w:r>
    </w:p>
    <w:p>
      <w:pPr>
        <w:pStyle w:val="Indenta"/>
      </w:pPr>
      <w:r>
        <w:tab/>
        <w:t>(a)</w:t>
      </w:r>
      <w:r>
        <w:tab/>
        <w:t xml:space="preserve">within 12 months after the day on which liability for duty arose, in relation to — </w:t>
      </w:r>
    </w:p>
    <w:p>
      <w:pPr>
        <w:pStyle w:val="Indenti"/>
      </w:pPr>
      <w:r>
        <w:tab/>
        <w:t>(i)</w:t>
      </w:r>
      <w:r>
        <w:tab/>
        <w:t>a farming land conditional agreement; or</w:t>
      </w:r>
    </w:p>
    <w:p>
      <w:pPr>
        <w:pStyle w:val="Indenti"/>
      </w:pPr>
      <w:r>
        <w:tab/>
        <w:t>(ii)</w:t>
      </w:r>
      <w:r>
        <w:tab/>
        <w:t>a mining tenement conditional agreement; or</w:t>
      </w:r>
    </w:p>
    <w:p>
      <w:pPr>
        <w:pStyle w:val="Indenti"/>
      </w:pPr>
      <w:r>
        <w:tab/>
        <w:t>(iii)</w:t>
      </w:r>
      <w:r>
        <w:tab/>
        <w:t xml:space="preserve">an agreement for the transfer of dutiable property if — </w:t>
      </w:r>
    </w:p>
    <w:p>
      <w:pPr>
        <w:pStyle w:val="IndentI0"/>
      </w:pPr>
      <w:r>
        <w:tab/>
        <w:t>(I)</w:t>
      </w:r>
      <w:r>
        <w:tab/>
        <w:t>the subject of the agreement is, solely or dominantly, farming land within the meaning of section 99(1); and</w:t>
      </w:r>
    </w:p>
    <w:p>
      <w:pPr>
        <w:pStyle w:val="IndentI0"/>
      </w:pPr>
      <w:r>
        <w:tab/>
        <w:t>(II)</w:t>
      </w:r>
      <w:r>
        <w:tab/>
        <w:t>the completion of the agreement is affected by or subject to an activity that constitutes primary production;</w:t>
      </w:r>
    </w:p>
    <w:p>
      <w:pPr>
        <w:pStyle w:val="Indenta"/>
      </w:pPr>
      <w:r>
        <w:tab/>
      </w:r>
      <w:r>
        <w:tab/>
        <w:t>or</w:t>
      </w:r>
    </w:p>
    <w:p>
      <w:pPr>
        <w:pStyle w:val="Indenta"/>
      </w:pPr>
      <w:r>
        <w:tab/>
        <w:t>(b)</w:t>
      </w:r>
      <w:r>
        <w:tab/>
        <w:t xml:space="preserve">subject to subsection (2), within 2 years after the day on which liability for duty arose, in relation to — </w:t>
      </w:r>
    </w:p>
    <w:p>
      <w:pPr>
        <w:pStyle w:val="Indenti"/>
      </w:pPr>
      <w:r>
        <w:tab/>
        <w:t>(i)</w:t>
      </w:r>
      <w:r>
        <w:tab/>
        <w:t>an off</w:t>
      </w:r>
      <w:r>
        <w:noBreakHyphen/>
        <w:t>the</w:t>
      </w:r>
      <w:r>
        <w:noBreakHyphen/>
        <w:t>plan conditional agreement; or</w:t>
      </w:r>
    </w:p>
    <w:p>
      <w:pPr>
        <w:pStyle w:val="Indenti"/>
      </w:pPr>
      <w:r>
        <w:tab/>
        <w:t>(ii)</w:t>
      </w:r>
      <w:r>
        <w:tab/>
        <w:t>a subdivision conditional agreement.</w:t>
      </w:r>
    </w:p>
    <w:p>
      <w:pPr>
        <w:pStyle w:val="Subsection"/>
      </w:pPr>
      <w:r>
        <w:tab/>
        <w:t>(2)</w:t>
      </w:r>
      <w:r>
        <w:tab/>
        <w:t xml:space="preserve">Subsection (1)(b) does not apply in respect of a conditional agreement referred to in that paragraph (the </w:t>
      </w:r>
      <w:r>
        <w:rPr>
          <w:rStyle w:val="CharDefText"/>
        </w:rPr>
        <w:t>original agreement</w:t>
      </w:r>
      <w:r>
        <w:rPr>
          <w:bCs/>
        </w:rPr>
        <w:t xml:space="preserve">) if, before that agreement is duty endorsed, the person liable to pay duty under that agreement enters into a further dutiable transaction (the </w:t>
      </w:r>
      <w:r>
        <w:rPr>
          <w:rStyle w:val="CharDefText"/>
        </w:rPr>
        <w:t>new transaction</w:t>
      </w:r>
      <w:r>
        <w:t>) in respect of the dutiable property, or part of the dutiable property, the subject of the original agreement.</w:t>
      </w:r>
    </w:p>
    <w:p>
      <w:pPr>
        <w:pStyle w:val="Subsection"/>
      </w:pPr>
      <w:r>
        <w:tab/>
        <w:t>(3)</w:t>
      </w:r>
      <w:r>
        <w:tab/>
        <w:t>A person liable to pay duty under an original agreement must notify the Commissioner of a new transaction in the approved form within 2 months of entering into that transaction.</w:t>
      </w:r>
    </w:p>
    <w:p>
      <w:pPr>
        <w:pStyle w:val="Penstart"/>
      </w:pPr>
      <w:r>
        <w:tab/>
        <w:t>Penalty: a fine of $20 000.</w:t>
      </w:r>
    </w:p>
    <w:p>
      <w:pPr>
        <w:pStyle w:val="Heading4"/>
        <w:rPr>
          <w:sz w:val="26"/>
        </w:rPr>
      </w:pPr>
      <w:bookmarkStart w:id="197" w:name="_Toc201998219"/>
      <w:bookmarkStart w:id="198" w:name="_Toc201999475"/>
      <w:bookmarkStart w:id="199" w:name="_Toc202171994"/>
      <w:bookmarkStart w:id="200" w:name="_Toc202172402"/>
      <w:bookmarkStart w:id="201" w:name="_Toc202428632"/>
      <w:bookmarkStart w:id="202" w:name="_Toc264020492"/>
      <w:bookmarkStart w:id="203" w:name="_Toc264024845"/>
      <w:bookmarkStart w:id="204" w:name="_Toc265579857"/>
      <w:bookmarkStart w:id="205" w:name="_Toc265587939"/>
      <w:bookmarkStart w:id="206" w:name="_Toc265588357"/>
      <w:r>
        <w:rPr>
          <w:sz w:val="26"/>
        </w:rPr>
        <w:t>Division 4 — Rate of transfer duty</w:t>
      </w:r>
      <w:bookmarkEnd w:id="197"/>
      <w:bookmarkEnd w:id="198"/>
      <w:bookmarkEnd w:id="199"/>
      <w:bookmarkEnd w:id="200"/>
      <w:bookmarkEnd w:id="201"/>
      <w:bookmarkEnd w:id="202"/>
      <w:bookmarkEnd w:id="203"/>
      <w:bookmarkEnd w:id="204"/>
      <w:bookmarkEnd w:id="205"/>
      <w:bookmarkEnd w:id="206"/>
    </w:p>
    <w:p>
      <w:pPr>
        <w:pStyle w:val="Heading5"/>
      </w:pPr>
      <w:bookmarkStart w:id="207" w:name="_Toc201998220"/>
      <w:bookmarkStart w:id="208" w:name="_Toc265588358"/>
      <w:bookmarkStart w:id="209" w:name="_Toc265579858"/>
      <w:r>
        <w:rPr>
          <w:rStyle w:val="CharSectno"/>
        </w:rPr>
        <w:t>26</w:t>
      </w:r>
      <w:r>
        <w:t>.</w:t>
      </w:r>
      <w:r>
        <w:tab/>
        <w:t>Rate of transfer duty</w:t>
      </w:r>
      <w:bookmarkEnd w:id="207"/>
      <w:bookmarkEnd w:id="208"/>
      <w:bookmarkEnd w:id="209"/>
    </w:p>
    <w:p>
      <w:pPr>
        <w:pStyle w:val="Subsection"/>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210" w:name="_Toc201998221"/>
      <w:bookmarkStart w:id="211" w:name="_Toc201999477"/>
      <w:bookmarkStart w:id="212" w:name="_Toc202171996"/>
      <w:bookmarkStart w:id="213" w:name="_Toc202172404"/>
      <w:bookmarkStart w:id="214" w:name="_Toc202428634"/>
      <w:bookmarkStart w:id="215" w:name="_Toc264020494"/>
      <w:bookmarkStart w:id="216" w:name="_Toc264024847"/>
      <w:bookmarkStart w:id="217" w:name="_Toc265579859"/>
      <w:bookmarkStart w:id="218" w:name="_Toc265587941"/>
      <w:bookmarkStart w:id="219" w:name="_Toc265588359"/>
      <w:r>
        <w:rPr>
          <w:sz w:val="26"/>
        </w:rPr>
        <w:t>Division 5 — Dutiable value</w:t>
      </w:r>
      <w:bookmarkEnd w:id="210"/>
      <w:bookmarkEnd w:id="211"/>
      <w:bookmarkEnd w:id="212"/>
      <w:bookmarkEnd w:id="213"/>
      <w:bookmarkEnd w:id="214"/>
      <w:bookmarkEnd w:id="215"/>
      <w:bookmarkEnd w:id="216"/>
      <w:bookmarkEnd w:id="217"/>
      <w:bookmarkEnd w:id="218"/>
      <w:bookmarkEnd w:id="219"/>
    </w:p>
    <w:p>
      <w:pPr>
        <w:pStyle w:val="MiscellaneousHeading"/>
        <w:rPr>
          <w:b/>
          <w:bCs/>
        </w:rPr>
      </w:pPr>
      <w:r>
        <w:rPr>
          <w:b/>
          <w:bCs/>
        </w:rPr>
        <w:t>Subdivision 1 — Dutiable value</w:t>
      </w:r>
    </w:p>
    <w:p>
      <w:pPr>
        <w:pStyle w:val="Heading5"/>
      </w:pPr>
      <w:bookmarkStart w:id="220" w:name="_Toc201998222"/>
      <w:bookmarkStart w:id="221" w:name="_Toc265588360"/>
      <w:bookmarkStart w:id="222" w:name="_Toc265579860"/>
      <w:r>
        <w:rPr>
          <w:rStyle w:val="CharSectno"/>
        </w:rPr>
        <w:t>27</w:t>
      </w:r>
      <w:r>
        <w:t>.</w:t>
      </w:r>
      <w:r>
        <w:tab/>
        <w:t>Dutiable value of dutiable transactions, unless otherwise provided</w:t>
      </w:r>
      <w:bookmarkEnd w:id="220"/>
      <w:bookmarkEnd w:id="221"/>
      <w:bookmarkEnd w:id="222"/>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223" w:name="_Toc201998223"/>
      <w:bookmarkStart w:id="224" w:name="_Toc265588361"/>
      <w:bookmarkStart w:id="225" w:name="_Toc265579861"/>
      <w:r>
        <w:rPr>
          <w:rStyle w:val="CharSectno"/>
        </w:rPr>
        <w:t>28</w:t>
      </w:r>
      <w:r>
        <w:t>.</w:t>
      </w:r>
      <w:r>
        <w:tab/>
        <w:t>Dutiable value of certain dutiable transactions</w:t>
      </w:r>
      <w:bookmarkEnd w:id="223"/>
      <w:bookmarkEnd w:id="224"/>
      <w:bookmarkEnd w:id="225"/>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127(b), is the amount by which the unencumbered value of the dutiable property transferred exceeds the value of the member’s interest in the superannuation fund.</w:t>
      </w:r>
    </w:p>
    <w:p>
      <w:pPr>
        <w:pStyle w:val="Footnotesection"/>
      </w:pPr>
      <w:r>
        <w:tab/>
        <w:t>[Section 28 amended by No. 30 of 2008 s. 24.]</w:t>
      </w:r>
    </w:p>
    <w:p>
      <w:pPr>
        <w:pStyle w:val="Heading5"/>
      </w:pPr>
      <w:bookmarkStart w:id="226" w:name="_Toc201998224"/>
      <w:bookmarkStart w:id="227" w:name="_Toc265588362"/>
      <w:bookmarkStart w:id="228" w:name="_Toc265579862"/>
      <w:r>
        <w:rPr>
          <w:rStyle w:val="CharSectno"/>
        </w:rPr>
        <w:t>29</w:t>
      </w:r>
      <w:r>
        <w:t>.</w:t>
      </w:r>
      <w:r>
        <w:tab/>
        <w:t>Dutiable value of certain dutiable transactions relating to corporation or unit trust scheme property on winding up</w:t>
      </w:r>
      <w:bookmarkEnd w:id="226"/>
      <w:bookmarkEnd w:id="227"/>
      <w:bookmarkEnd w:id="228"/>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Equation"/>
        <w:ind w:left="1560"/>
        <w:rPr>
          <w:del w:id="229" w:author="svcMRProcess" w:date="2020-02-15T03:25:00Z"/>
        </w:rPr>
      </w:pPr>
      <w:del w:id="230" w:author="svcMRProcess" w:date="2020-02-15T03:25:00Z">
        <w:r>
          <w:rPr>
            <w:position w:val="-24"/>
            <w:lang w:eastAsia="en-AU"/>
          </w:rPr>
          <w:drawing>
            <wp:inline distT="0" distB="0" distL="0" distR="0">
              <wp:extent cx="810895" cy="396875"/>
              <wp:effectExtent l="0" t="0" r="8255"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10895" cy="396875"/>
                      </a:xfrm>
                      <a:prstGeom prst="rect">
                        <a:avLst/>
                      </a:prstGeom>
                      <a:noFill/>
                      <a:ln>
                        <a:noFill/>
                      </a:ln>
                    </pic:spPr>
                  </pic:pic>
                </a:graphicData>
              </a:graphic>
            </wp:inline>
          </w:drawing>
        </w:r>
      </w:del>
    </w:p>
    <w:p>
      <w:pPr>
        <w:pStyle w:val="Equation"/>
        <w:ind w:left="1560"/>
        <w:rPr>
          <w:ins w:id="231" w:author="svcMRProcess" w:date="2020-02-15T03:25:00Z"/>
        </w:rPr>
      </w:pPr>
      <w:ins w:id="232" w:author="svcMRProcess" w:date="2020-02-15T03:25:00Z">
        <w:r>
          <w:rPr>
            <w:position w:val="-24"/>
            <w:lang w:eastAsia="en-AU"/>
          </w:rPr>
          <w:drawing>
            <wp:inline distT="0" distB="0" distL="0" distR="0">
              <wp:extent cx="812165" cy="394970"/>
              <wp:effectExtent l="0" t="0" r="698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12165" cy="394970"/>
                      </a:xfrm>
                      <a:prstGeom prst="rect">
                        <a:avLst/>
                      </a:prstGeom>
                      <a:noFill/>
                      <a:ln>
                        <a:noFill/>
                      </a:ln>
                    </pic:spPr>
                  </pic:pic>
                </a:graphicData>
              </a:graphic>
            </wp:inline>
          </w:drawing>
        </w:r>
      </w:ins>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Equation"/>
        <w:ind w:left="1560"/>
        <w:rPr>
          <w:del w:id="233" w:author="svcMRProcess" w:date="2020-02-15T03:25:00Z"/>
        </w:rPr>
      </w:pPr>
      <w:del w:id="234" w:author="svcMRProcess" w:date="2020-02-15T03:25:00Z">
        <w:r>
          <w:rPr>
            <w:position w:val="-24"/>
            <w:lang w:eastAsia="en-AU"/>
          </w:rPr>
          <w:drawing>
            <wp:inline distT="0" distB="0" distL="0" distR="0">
              <wp:extent cx="810895" cy="396875"/>
              <wp:effectExtent l="0" t="0" r="8255"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10895" cy="396875"/>
                      </a:xfrm>
                      <a:prstGeom prst="rect">
                        <a:avLst/>
                      </a:prstGeom>
                      <a:noFill/>
                      <a:ln>
                        <a:noFill/>
                      </a:ln>
                    </pic:spPr>
                  </pic:pic>
                </a:graphicData>
              </a:graphic>
            </wp:inline>
          </w:drawing>
        </w:r>
      </w:del>
    </w:p>
    <w:p>
      <w:pPr>
        <w:pStyle w:val="Equation"/>
        <w:ind w:left="1560"/>
        <w:rPr>
          <w:ins w:id="235" w:author="svcMRProcess" w:date="2020-02-15T03:25:00Z"/>
        </w:rPr>
      </w:pPr>
      <w:ins w:id="236" w:author="svcMRProcess" w:date="2020-02-15T03:25:00Z">
        <w:r>
          <w:rPr>
            <w:position w:val="-24"/>
            <w:lang w:eastAsia="en-AU"/>
          </w:rPr>
          <w:drawing>
            <wp:inline distT="0" distB="0" distL="0" distR="0">
              <wp:extent cx="812165" cy="394970"/>
              <wp:effectExtent l="0" t="0" r="6985"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12165" cy="394970"/>
                      </a:xfrm>
                      <a:prstGeom prst="rect">
                        <a:avLst/>
                      </a:prstGeom>
                      <a:noFill/>
                      <a:ln>
                        <a:noFill/>
                      </a:ln>
                    </pic:spPr>
                  </pic:pic>
                </a:graphicData>
              </a:graphic>
            </wp:inline>
          </w:drawing>
        </w:r>
      </w:ins>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8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8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8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80"/>
        <w:ind w:left="1418" w:hanging="1106"/>
        <w:rPr>
          <w:snapToGrid w:val="0"/>
        </w:rPr>
      </w:pPr>
      <w:r>
        <w:rPr>
          <w:snapToGrid w:val="0"/>
        </w:rPr>
        <w:tab/>
      </w:r>
      <w:r>
        <w:rPr>
          <w:snapToGrid w:val="0"/>
        </w:rPr>
        <w:tab/>
        <w:t>Transfer duty is charged on $88 888.</w:t>
      </w:r>
    </w:p>
    <w:p>
      <w:pPr>
        <w:pStyle w:val="NotesPerm"/>
        <w:tabs>
          <w:tab w:val="left" w:pos="1418"/>
        </w:tabs>
        <w:spacing w:before="80"/>
        <w:ind w:left="1418" w:hanging="1106"/>
        <w:rPr>
          <w:snapToGrid w:val="0"/>
        </w:rPr>
      </w:pPr>
      <w:r>
        <w:rPr>
          <w:snapToGrid w:val="0"/>
        </w:rPr>
        <w:tab/>
      </w:r>
      <w:r>
        <w:rPr>
          <w:snapToGrid w:val="0"/>
        </w:rPr>
        <w:tab/>
        <w:t>B’s duty assessment:</w:t>
      </w:r>
    </w:p>
    <w:p>
      <w:pPr>
        <w:pStyle w:val="NotesPerm"/>
        <w:tabs>
          <w:tab w:val="left" w:pos="1418"/>
        </w:tabs>
        <w:spacing w:before="8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pPr>
      <w:r>
        <w:tab/>
        <w:t>(3)</w:t>
      </w:r>
      <w:r>
        <w:tab/>
        <w:t xml:space="preserve">In subsection (2) — </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rPr>
          <w:lang w:val="en-US"/>
        </w:rPr>
      </w:pPr>
      <w:r>
        <w:rPr>
          <w:lang w:val="en-US"/>
        </w:rPr>
        <w:tab/>
        <w:t>(4)</w:t>
      </w:r>
      <w:r>
        <w:rPr>
          <w:lang w:val="en-US"/>
        </w:rPr>
        <w:tab/>
        <w:t xml:space="preserve">Subject to subsection (2), nominal duty is chargeable on a dutiable transaction that is a transfer of corporation or unit trust scheme property if — </w:t>
      </w:r>
    </w:p>
    <w:p>
      <w:pPr>
        <w:pStyle w:val="Indenta"/>
        <w:rPr>
          <w:lang w:val="en-US"/>
        </w:rPr>
      </w:pPr>
      <w:r>
        <w:rPr>
          <w:lang w:val="en-US"/>
        </w:rPr>
        <w:tab/>
        <w:t>(a)</w:t>
      </w:r>
      <w:r>
        <w:rPr>
          <w:lang w:val="en-US"/>
        </w:rPr>
        <w:tab/>
      </w:r>
      <w:r>
        <w:t xml:space="preserve">in relation to a transfer of corporation property — </w:t>
      </w:r>
      <w:r>
        <w:rPr>
          <w:lang w:val="en-US"/>
        </w:rPr>
        <w:t>the total value of the transaction to the shareholder,</w:t>
      </w:r>
      <w:r>
        <w:t xml:space="preserve"> when the winding up begins,</w:t>
      </w:r>
      <w:r>
        <w:rPr>
          <w:lang w:val="en-US"/>
        </w:rPr>
        <w:t xml:space="preserve">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w:t>
      </w:r>
      <w:r>
        <w:rPr>
          <w:lang w:val="en-US"/>
        </w:rPr>
        <w:t>,</w:t>
      </w:r>
      <w:r>
        <w:t xml:space="preserve"> when the winding up begins, is equal to or less than the value of the unit holder’s entitlement to the net assets held in the unit trust scheme </w:t>
      </w:r>
      <w:r>
        <w:rPr>
          <w:lang w:val="en-US"/>
        </w:rPr>
        <w:t>at that time</w:t>
      </w:r>
      <w:r>
        <w:t>.</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keepNext/>
        <w:keepLines/>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keepLines/>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MiscellaneousHeading"/>
        <w:rPr>
          <w:b/>
          <w:bCs/>
        </w:rPr>
      </w:pPr>
      <w:r>
        <w:rPr>
          <w:b/>
          <w:bCs/>
        </w:rPr>
        <w:t>Subdivision 2 — Consideration</w:t>
      </w:r>
    </w:p>
    <w:p>
      <w:pPr>
        <w:pStyle w:val="Heading5"/>
      </w:pPr>
      <w:bookmarkStart w:id="237" w:name="_Toc201998225"/>
      <w:bookmarkStart w:id="238" w:name="_Toc265588363"/>
      <w:bookmarkStart w:id="239" w:name="_Toc265579863"/>
      <w:r>
        <w:rPr>
          <w:rStyle w:val="CharSectno"/>
        </w:rPr>
        <w:t>30</w:t>
      </w:r>
      <w:r>
        <w:t>.</w:t>
      </w:r>
      <w:r>
        <w:tab/>
        <w:t>Consideration for a dutiable transaction</w:t>
      </w:r>
      <w:bookmarkEnd w:id="237"/>
      <w:bookmarkEnd w:id="238"/>
      <w:bookmarkEnd w:id="239"/>
    </w:p>
    <w:p>
      <w:pPr>
        <w:pStyle w:val="Subsection"/>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pPr>
      <w:r>
        <w:tab/>
        <w:t>(3)</w:t>
      </w:r>
      <w:r>
        <w:tab/>
        <w:t>It does not matter whether the consideration for a transaction on which duty is chargeable is paid or given or is required to be paid or given.</w:t>
      </w:r>
    </w:p>
    <w:p>
      <w:pPr>
        <w:pStyle w:val="Heading5"/>
      </w:pPr>
      <w:bookmarkStart w:id="240" w:name="_Toc201998226"/>
      <w:bookmarkStart w:id="241" w:name="_Toc265588364"/>
      <w:bookmarkStart w:id="242" w:name="_Toc265579864"/>
      <w:r>
        <w:rPr>
          <w:rStyle w:val="CharSectno"/>
        </w:rPr>
        <w:t>31</w:t>
      </w:r>
      <w:r>
        <w:t>.</w:t>
      </w:r>
      <w:r>
        <w:tab/>
        <w:t>Assessment or reassessment if consideration is altered</w:t>
      </w:r>
      <w:bookmarkEnd w:id="240"/>
      <w:bookmarkEnd w:id="241"/>
      <w:bookmarkEnd w:id="242"/>
    </w:p>
    <w:p>
      <w:pPr>
        <w:pStyle w:val="Subsection"/>
        <w:spacing w:before="10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60"/>
      </w:pPr>
      <w:r>
        <w:tab/>
      </w:r>
      <w:r>
        <w:tab/>
        <w:t>the Commissioner is to assess or, on the application of the taxpayer, reassess the liability to duty of the agreement in accordance with the reduced consideration.</w:t>
      </w:r>
    </w:p>
    <w:p>
      <w:pPr>
        <w:pStyle w:val="Subsection"/>
        <w:spacing w:before="100"/>
      </w:pPr>
      <w:r>
        <w:tab/>
        <w:t>(2)</w:t>
      </w:r>
      <w:r>
        <w:tab/>
        <w:t>Subsection (1) does not apply in respect of an agreement to which section 32 applies.</w:t>
      </w:r>
    </w:p>
    <w:p>
      <w:pPr>
        <w:pStyle w:val="Subsection"/>
      </w:pPr>
      <w:r>
        <w:tab/>
        <w:t>(3)</w:t>
      </w:r>
      <w:r>
        <w:tab/>
        <w:t xml:space="preserve">If after an agreement for the transfer of dutiable property is entered into and before the property is transferred — </w:t>
      </w:r>
    </w:p>
    <w:p>
      <w:pPr>
        <w:pStyle w:val="Indenta"/>
        <w:spacing w:before="60"/>
      </w:pPr>
      <w:r>
        <w:tab/>
        <w:t>(a)</w:t>
      </w:r>
      <w:r>
        <w:tab/>
        <w:t>the consideration under the agreement is reduced and the reduced consideration is less than the unencumbered value of the dutiable property when the consideration was reduced; or</w:t>
      </w:r>
    </w:p>
    <w:p>
      <w:pPr>
        <w:pStyle w:val="Indenta"/>
        <w:spacing w:before="6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spacing w:before="120"/>
      </w:pPr>
      <w:r>
        <w:tab/>
        <w:t>(4)</w:t>
      </w:r>
      <w:r>
        <w:tab/>
        <w:t xml:space="preserve">If after an agreement for the transfer of dutiable property is entered into and before the property is transferred — </w:t>
      </w:r>
    </w:p>
    <w:p>
      <w:pPr>
        <w:pStyle w:val="Indenta"/>
        <w:spacing w:before="60"/>
      </w:pPr>
      <w:r>
        <w:tab/>
        <w:t>(a)</w:t>
      </w:r>
      <w:r>
        <w:tab/>
        <w:t>the consideration under the agreement is increased; and</w:t>
      </w:r>
    </w:p>
    <w:p>
      <w:pPr>
        <w:pStyle w:val="Indenta"/>
        <w:spacing w:before="60"/>
      </w:pPr>
      <w:r>
        <w:tab/>
        <w:t>(b)</w:t>
      </w:r>
      <w:r>
        <w:tab/>
        <w:t>the increased consideration is not less than the unencumbered value of the dutiable property when the agreement was entered into,</w:t>
      </w:r>
    </w:p>
    <w:p>
      <w:pPr>
        <w:pStyle w:val="Subsection"/>
        <w:spacing w:before="120"/>
      </w:pPr>
      <w:r>
        <w:tab/>
      </w:r>
      <w:r>
        <w:tab/>
        <w:t>the Commissioner is to assess or reassess the liability to duty of the agreement in accordance with the increased consideration.</w:t>
      </w:r>
    </w:p>
    <w:p>
      <w:pPr>
        <w:pStyle w:val="Subsection"/>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pPr>
      <w:r>
        <w:tab/>
        <w:t>(6)</w:t>
      </w:r>
      <w:r>
        <w:tab/>
        <w:t>Duty is chargeable on a reassessment under this section in relation to a transaction at the same rate and using the same thresholds that applied when liability for duty on the transaction initially arose.</w:t>
      </w:r>
    </w:p>
    <w:p>
      <w:pPr>
        <w:pStyle w:val="Heading5"/>
      </w:pPr>
      <w:bookmarkStart w:id="243" w:name="_Toc201998227"/>
      <w:bookmarkStart w:id="244" w:name="_Toc265588365"/>
      <w:bookmarkStart w:id="245" w:name="_Toc265579865"/>
      <w:r>
        <w:rPr>
          <w:rStyle w:val="CharSectno"/>
        </w:rPr>
        <w:t>32</w:t>
      </w:r>
      <w:r>
        <w:t>.</w:t>
      </w:r>
      <w:r>
        <w:tab/>
        <w:t>Reassessment if contingent consideration is not paid</w:t>
      </w:r>
      <w:bookmarkEnd w:id="243"/>
      <w:bookmarkEnd w:id="244"/>
      <w:bookmarkEnd w:id="245"/>
    </w:p>
    <w:p>
      <w:pPr>
        <w:pStyle w:val="Subsection"/>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spacing w:before="100"/>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spacing w:before="120"/>
      </w:pPr>
      <w:bookmarkStart w:id="246" w:name="_Toc201998228"/>
      <w:bookmarkStart w:id="247" w:name="_Toc265588366"/>
      <w:bookmarkStart w:id="248" w:name="_Toc265579866"/>
      <w:r>
        <w:rPr>
          <w:rStyle w:val="CharSectno"/>
        </w:rPr>
        <w:t>33</w:t>
      </w:r>
      <w:r>
        <w:t>.</w:t>
      </w:r>
      <w:r>
        <w:tab/>
        <w:t>Reassessment if agreement determined with consideration only partly paid</w:t>
      </w:r>
      <w:bookmarkEnd w:id="246"/>
      <w:bookmarkEnd w:id="247"/>
      <w:bookmarkEnd w:id="248"/>
    </w:p>
    <w:p>
      <w:pPr>
        <w:pStyle w:val="Subsection"/>
        <w:spacing w:before="10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249" w:name="_Toc201998229"/>
      <w:bookmarkStart w:id="250" w:name="_Toc265588367"/>
      <w:bookmarkStart w:id="251" w:name="_Toc265579867"/>
      <w:r>
        <w:rPr>
          <w:rStyle w:val="CharSectno"/>
        </w:rPr>
        <w:t>34</w:t>
      </w:r>
      <w:r>
        <w:t>.</w:t>
      </w:r>
      <w:r>
        <w:tab/>
        <w:t>Reassessment if option exercised or not renewed</w:t>
      </w:r>
      <w:bookmarkEnd w:id="249"/>
      <w:bookmarkEnd w:id="250"/>
      <w:bookmarkEnd w:id="251"/>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252" w:name="_Toc201998230"/>
      <w:bookmarkStart w:id="253" w:name="_Toc265588368"/>
      <w:bookmarkStart w:id="254" w:name="_Toc265579868"/>
      <w:r>
        <w:rPr>
          <w:rStyle w:val="CharSectno"/>
        </w:rPr>
        <w:t>35</w:t>
      </w:r>
      <w:r>
        <w:t>.</w:t>
      </w:r>
      <w:r>
        <w:tab/>
        <w:t>Credit for duty already paid on option to acquire dutiable property</w:t>
      </w:r>
      <w:bookmarkEnd w:id="252"/>
      <w:bookmarkEnd w:id="253"/>
      <w:bookmarkEnd w:id="254"/>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rPr>
          <w:b/>
          <w:bCs/>
        </w:rPr>
      </w:pPr>
      <w:r>
        <w:rPr>
          <w:b/>
          <w:bCs/>
        </w:rPr>
        <w:t>Subdivision 3 — Unencumbered value</w:t>
      </w:r>
    </w:p>
    <w:p>
      <w:pPr>
        <w:pStyle w:val="Heading5"/>
      </w:pPr>
      <w:bookmarkStart w:id="255" w:name="_Toc201998231"/>
      <w:bookmarkStart w:id="256" w:name="_Toc265588369"/>
      <w:bookmarkStart w:id="257" w:name="_Toc265579869"/>
      <w:r>
        <w:rPr>
          <w:rStyle w:val="CharSectno"/>
        </w:rPr>
        <w:t>36</w:t>
      </w:r>
      <w:r>
        <w:t>.</w:t>
      </w:r>
      <w:r>
        <w:tab/>
        <w:t>Unencumbered value of property</w:t>
      </w:r>
      <w:bookmarkEnd w:id="255"/>
      <w:bookmarkEnd w:id="256"/>
      <w:bookmarkEnd w:id="257"/>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spacing w:before="80"/>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spacing w:before="80"/>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in applying the ordinary principles of valuation —</w:t>
      </w:r>
    </w:p>
    <w:p>
      <w:pPr>
        <w:pStyle w:val="Indenti"/>
      </w:pPr>
      <w:r>
        <w:tab/>
        <w:t>(i)</w:t>
      </w:r>
      <w:r>
        <w:tab/>
        <w:t>it is to be assumed that a hypothetical purchaser would, when negotiating the price of property, have knowledge of all existing information relating to the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property;</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MiscellaneousHeading"/>
        <w:rPr>
          <w:b/>
          <w:bCs/>
        </w:rPr>
      </w:pPr>
      <w:r>
        <w:rPr>
          <w:b/>
          <w:bCs/>
        </w:rPr>
        <w:t>Subdivision 4 — Miscellaneous</w:t>
      </w:r>
    </w:p>
    <w:p>
      <w:pPr>
        <w:pStyle w:val="Heading5"/>
      </w:pPr>
      <w:bookmarkStart w:id="258" w:name="_Toc201998232"/>
      <w:bookmarkStart w:id="259" w:name="_Toc265588370"/>
      <w:bookmarkStart w:id="260" w:name="_Toc265579870"/>
      <w:r>
        <w:rPr>
          <w:rStyle w:val="CharSectno"/>
        </w:rPr>
        <w:t>37</w:t>
      </w:r>
      <w:r>
        <w:t>.</w:t>
      </w:r>
      <w:r>
        <w:tab/>
        <w:t>Aggregation of dutiable transactions</w:t>
      </w:r>
      <w:bookmarkEnd w:id="258"/>
      <w:bookmarkEnd w:id="259"/>
      <w:bookmarkEnd w:id="260"/>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pPr>
      <w:bookmarkStart w:id="261" w:name="_Toc201998233"/>
      <w:bookmarkStart w:id="262" w:name="_Toc265588371"/>
      <w:bookmarkStart w:id="263" w:name="_Toc265579871"/>
      <w:r>
        <w:rPr>
          <w:rStyle w:val="CharSectno"/>
        </w:rPr>
        <w:t>38</w:t>
      </w:r>
      <w:r>
        <w:t>.</w:t>
      </w:r>
      <w:r>
        <w:tab/>
        <w:t>Apportionment</w:t>
      </w:r>
      <w:bookmarkEnd w:id="261"/>
      <w:bookmarkEnd w:id="262"/>
      <w:bookmarkEnd w:id="263"/>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pPr>
      <w:bookmarkStart w:id="264" w:name="_Toc201998234"/>
      <w:bookmarkStart w:id="265" w:name="_Toc265588372"/>
      <w:bookmarkStart w:id="266" w:name="_Toc265579872"/>
      <w:r>
        <w:rPr>
          <w:rStyle w:val="CharSectno"/>
        </w:rPr>
        <w:t>39</w:t>
      </w:r>
      <w:r>
        <w:t>.</w:t>
      </w:r>
      <w:r>
        <w:tab/>
        <w:t>Partitions</w:t>
      </w:r>
      <w:bookmarkEnd w:id="264"/>
      <w:bookmarkEnd w:id="265"/>
      <w:bookmarkEnd w:id="266"/>
    </w:p>
    <w:p>
      <w:pPr>
        <w:pStyle w:val="Subsection"/>
        <w:keepLines/>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pPr>
      <w:r>
        <w:tab/>
        <w:t>(2)</w:t>
      </w:r>
      <w:r>
        <w:tab/>
        <w:t xml:space="preserve">The dutiable value of a partition is to be determined in accordance with the following formula — </w:t>
      </w:r>
    </w:p>
    <w:p>
      <w:pPr>
        <w:pStyle w:val="Equation"/>
        <w:ind w:firstLine="879"/>
        <w:rPr>
          <w:del w:id="267" w:author="svcMRProcess" w:date="2020-02-15T03:25:00Z"/>
        </w:rPr>
      </w:pPr>
      <w:del w:id="268" w:author="svcMRProcess" w:date="2020-02-15T03:25:00Z">
        <w:r>
          <w:rPr>
            <w:position w:val="-24"/>
            <w:lang w:eastAsia="en-AU"/>
          </w:rPr>
          <w:drawing>
            <wp:inline distT="0" distB="0" distL="0" distR="0">
              <wp:extent cx="810895" cy="396875"/>
              <wp:effectExtent l="0" t="0" r="8255"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10895" cy="396875"/>
                      </a:xfrm>
                      <a:prstGeom prst="rect">
                        <a:avLst/>
                      </a:prstGeom>
                      <a:noFill/>
                      <a:ln>
                        <a:noFill/>
                      </a:ln>
                    </pic:spPr>
                  </pic:pic>
                </a:graphicData>
              </a:graphic>
            </wp:inline>
          </w:drawing>
        </w:r>
      </w:del>
    </w:p>
    <w:p>
      <w:pPr>
        <w:pStyle w:val="Equation"/>
        <w:ind w:firstLine="879"/>
        <w:rPr>
          <w:ins w:id="269" w:author="svcMRProcess" w:date="2020-02-15T03:25:00Z"/>
        </w:rPr>
      </w:pPr>
      <w:ins w:id="270" w:author="svcMRProcess" w:date="2020-02-15T03:25:00Z">
        <w:r>
          <w:rPr>
            <w:position w:val="-24"/>
            <w:lang w:eastAsia="en-AU"/>
          </w:rPr>
          <w:drawing>
            <wp:inline distT="0" distB="0" distL="0" distR="0">
              <wp:extent cx="812165" cy="394970"/>
              <wp:effectExtent l="0" t="0" r="6985"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12165" cy="394970"/>
                      </a:xfrm>
                      <a:prstGeom prst="rect">
                        <a:avLst/>
                      </a:prstGeom>
                      <a:noFill/>
                      <a:ln>
                        <a:noFill/>
                      </a:ln>
                    </pic:spPr>
                  </pic:pic>
                </a:graphicData>
              </a:graphic>
            </wp:inline>
          </w:drawing>
        </w:r>
      </w:ins>
    </w:p>
    <w:p>
      <w:pPr>
        <w:pStyle w:val="Subsection"/>
      </w:pPr>
      <w:r>
        <w:tab/>
      </w:r>
      <w:r>
        <w:tab/>
        <w:t xml:space="preserve">where — </w:t>
      </w:r>
    </w:p>
    <w:p>
      <w:pPr>
        <w:pStyle w:val="Subsection"/>
      </w:pPr>
      <w:r>
        <w:tab/>
      </w:r>
      <w:r>
        <w:tab/>
        <w:t>DV is the dutiable value;</w:t>
      </w:r>
    </w:p>
    <w:p>
      <w:pPr>
        <w:pStyle w:val="Subsection"/>
      </w:pPr>
      <w:r>
        <w:tab/>
      </w:r>
      <w:r>
        <w:tab/>
        <w:t xml:space="preserve">A is the greater of the following amounts — </w:t>
      </w:r>
    </w:p>
    <w:p>
      <w:pPr>
        <w:pStyle w:val="Indenta"/>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rPr>
          <w:lang w:val="en-US"/>
        </w:rPr>
      </w:pPr>
      <w:r>
        <w:tab/>
        <w:t>(3)</w:t>
      </w:r>
      <w:r>
        <w:tab/>
      </w:r>
      <w:r>
        <w:rPr>
          <w:lang w:val="en-US"/>
        </w:rPr>
        <w:t>The minimum amount of duty payable on a transaction that effects a partition is the amount of nominal duty.</w:t>
      </w:r>
    </w:p>
    <w:p>
      <w:pPr>
        <w:pStyle w:val="NotesPerm"/>
        <w:tabs>
          <w:tab w:val="left" w:pos="1418"/>
        </w:tabs>
        <w:ind w:left="1418" w:hanging="1418"/>
        <w:rPr>
          <w:lang w:val="en-US"/>
        </w:rPr>
      </w:pPr>
      <w:r>
        <w:rPr>
          <w:lang w:val="en-US"/>
        </w:rPr>
        <w:tab/>
        <w:t>Note:</w:t>
      </w:r>
      <w:r>
        <w:rPr>
          <w:lang w:val="en-US"/>
        </w:rPr>
        <w:tab/>
        <w:t>For example, A and B own lot 1 which has an unencumbered value of $400 000 and a boat that has an unencumbered value of $300 000.</w:t>
      </w:r>
    </w:p>
    <w:p>
      <w:pPr>
        <w:pStyle w:val="NotesPerm"/>
        <w:tabs>
          <w:tab w:val="left" w:pos="1418"/>
        </w:tabs>
        <w:ind w:left="1418"/>
        <w:rPr>
          <w:lang w:val="en-US"/>
        </w:rPr>
      </w:pPr>
      <w:r>
        <w:rPr>
          <w:lang w:val="en-US"/>
        </w:rPr>
        <w:tab/>
      </w:r>
      <w:r>
        <w:rPr>
          <w:lang w:val="en-US"/>
        </w:rPr>
        <w:tab/>
        <w:t>The total value of the property being partitioned is $700 000 and A and B are each entitled to $350 000.</w:t>
      </w:r>
    </w:p>
    <w:p>
      <w:pPr>
        <w:pStyle w:val="NotesPerm"/>
        <w:tabs>
          <w:tab w:val="left" w:pos="1418"/>
        </w:tabs>
        <w:ind w:left="1418"/>
        <w:rPr>
          <w:lang w:val="en-US"/>
        </w:rPr>
      </w:pPr>
      <w:r>
        <w:rPr>
          <w:lang w:val="en-US"/>
        </w:rPr>
        <w:tab/>
      </w:r>
      <w:r>
        <w:rPr>
          <w:lang w:val="en-US"/>
        </w:rPr>
        <w:tab/>
        <w:t>A is taking lot 1 by way of partition and the value of that lot exceeds A’s entitlement by $50 000.</w:t>
      </w:r>
    </w:p>
    <w:p>
      <w:pPr>
        <w:pStyle w:val="NotesPerm"/>
        <w:tabs>
          <w:tab w:val="left" w:pos="1418"/>
        </w:tabs>
        <w:ind w:left="1418"/>
        <w:rPr>
          <w:lang w:val="en-US"/>
        </w:rPr>
      </w:pPr>
      <w:r>
        <w:rPr>
          <w:lang w:val="en-US"/>
        </w:rPr>
        <w:tab/>
      </w:r>
      <w:r>
        <w:rPr>
          <w:lang w:val="en-US"/>
        </w:rPr>
        <w:tab/>
        <w:t>A’s duty assessment:</w:t>
      </w:r>
    </w:p>
    <w:p>
      <w:pPr>
        <w:pStyle w:val="NotesPerm"/>
        <w:tabs>
          <w:tab w:val="left" w:pos="1276"/>
        </w:tabs>
        <w:ind w:left="1418"/>
        <w:jc w:val="center"/>
        <w:rPr>
          <w:lang w:val="en-US"/>
        </w:rPr>
      </w:pPr>
      <w:r>
        <w:rPr>
          <w:lang w:val="en-US"/>
        </w:rPr>
        <w:tab/>
      </w:r>
      <w:r>
        <w:rPr>
          <w:lang w:val="en-US"/>
        </w:rPr>
        <w:tab/>
      </w:r>
      <w:r>
        <w:rPr>
          <w:u w:val="single"/>
          <w:lang w:val="en-US"/>
        </w:rPr>
        <w:t>$50 000 (excess entitlement) x $400 000 (value of dutiable property)</w:t>
      </w:r>
      <w:r>
        <w:rPr>
          <w:u w:val="single"/>
          <w:lang w:val="en-US"/>
        </w:rPr>
        <w:br/>
      </w:r>
      <w:r>
        <w:rPr>
          <w:lang w:val="en-US"/>
        </w:rPr>
        <w:t>$700 000 (value of all property)</w:t>
      </w:r>
    </w:p>
    <w:p>
      <w:pPr>
        <w:pStyle w:val="NotesPerm"/>
        <w:tabs>
          <w:tab w:val="left" w:pos="1418"/>
        </w:tabs>
        <w:ind w:left="1418"/>
        <w:rPr>
          <w:lang w:val="en-US"/>
        </w:rPr>
      </w:pPr>
      <w:r>
        <w:rPr>
          <w:lang w:val="en-US"/>
        </w:rPr>
        <w:tab/>
      </w:r>
      <w:r>
        <w:rPr>
          <w:lang w:val="en-US"/>
        </w:rPr>
        <w:tab/>
        <w:t>The dutiable value for the transfer of land to A is $28 571.</w:t>
      </w:r>
    </w:p>
    <w:p>
      <w:pPr>
        <w:pStyle w:val="Heading5"/>
      </w:pPr>
      <w:bookmarkStart w:id="271" w:name="_Toc201998235"/>
      <w:bookmarkStart w:id="272" w:name="_Toc265588373"/>
      <w:bookmarkStart w:id="273" w:name="_Toc265579873"/>
      <w:r>
        <w:rPr>
          <w:rStyle w:val="CharSectno"/>
        </w:rPr>
        <w:t>40</w:t>
      </w:r>
      <w:r>
        <w:t>.</w:t>
      </w:r>
      <w:r>
        <w:tab/>
        <w:t>Exchanges</w:t>
      </w:r>
      <w:bookmarkEnd w:id="271"/>
      <w:bookmarkEnd w:id="272"/>
      <w:bookmarkEnd w:id="273"/>
    </w:p>
    <w:p>
      <w:pPr>
        <w:pStyle w:val="Subsection"/>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pPr>
      <w:r>
        <w:tab/>
        <w:t>(b)</w:t>
      </w:r>
      <w:r>
        <w:tab/>
        <w:t>the transfer of the second</w:t>
      </w:r>
      <w:r>
        <w:noBreakHyphen/>
        <w:t>mentioned property for consideration equal to the unencumbered value of that property.</w:t>
      </w:r>
    </w:p>
    <w:p>
      <w:pPr>
        <w:pStyle w:val="Heading4"/>
        <w:rPr>
          <w:sz w:val="26"/>
        </w:rPr>
      </w:pPr>
      <w:bookmarkStart w:id="274" w:name="_Toc201998236"/>
      <w:bookmarkStart w:id="275" w:name="_Toc201999492"/>
      <w:bookmarkStart w:id="276" w:name="_Toc202172011"/>
      <w:bookmarkStart w:id="277" w:name="_Toc202172419"/>
      <w:bookmarkStart w:id="278" w:name="_Toc202428649"/>
      <w:bookmarkStart w:id="279" w:name="_Toc264020509"/>
      <w:bookmarkStart w:id="280" w:name="_Toc264024862"/>
      <w:bookmarkStart w:id="281" w:name="_Toc265579874"/>
      <w:bookmarkStart w:id="282" w:name="_Toc265587956"/>
      <w:bookmarkStart w:id="283" w:name="_Toc265588374"/>
      <w:r>
        <w:rPr>
          <w:sz w:val="26"/>
        </w:rPr>
        <w:t>Division 6 — No double duty</w:t>
      </w:r>
      <w:bookmarkEnd w:id="274"/>
      <w:bookmarkEnd w:id="275"/>
      <w:bookmarkEnd w:id="276"/>
      <w:bookmarkEnd w:id="277"/>
      <w:bookmarkEnd w:id="278"/>
      <w:bookmarkEnd w:id="279"/>
      <w:bookmarkEnd w:id="280"/>
      <w:bookmarkEnd w:id="281"/>
      <w:bookmarkEnd w:id="282"/>
      <w:bookmarkEnd w:id="283"/>
    </w:p>
    <w:p>
      <w:pPr>
        <w:pStyle w:val="Heading5"/>
      </w:pPr>
      <w:bookmarkStart w:id="284" w:name="_Toc201998237"/>
      <w:bookmarkStart w:id="285" w:name="_Toc265588375"/>
      <w:bookmarkStart w:id="286" w:name="_Toc265579875"/>
      <w:r>
        <w:rPr>
          <w:rStyle w:val="CharSectno"/>
        </w:rPr>
        <w:t>41</w:t>
      </w:r>
      <w:r>
        <w:t>.</w:t>
      </w:r>
      <w:r>
        <w:tab/>
        <w:t>No double duty — general</w:t>
      </w:r>
      <w:bookmarkEnd w:id="284"/>
      <w:bookmarkEnd w:id="285"/>
      <w:bookmarkEnd w:id="286"/>
    </w:p>
    <w:p>
      <w:pPr>
        <w:pStyle w:val="Subsection"/>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pPr>
      <w:bookmarkStart w:id="287" w:name="_Toc201998238"/>
      <w:bookmarkStart w:id="288" w:name="_Toc265588376"/>
      <w:bookmarkStart w:id="289" w:name="_Toc265579876"/>
      <w:r>
        <w:rPr>
          <w:rStyle w:val="CharSectno"/>
        </w:rPr>
        <w:t>42</w:t>
      </w:r>
      <w:r>
        <w:t>.</w:t>
      </w:r>
      <w:r>
        <w:tab/>
        <w:t>No double duty — particular dutiable transactions</w:t>
      </w:r>
      <w:bookmarkEnd w:id="287"/>
      <w:bookmarkEnd w:id="288"/>
      <w:bookmarkEnd w:id="289"/>
    </w:p>
    <w:p>
      <w:pPr>
        <w:pStyle w:val="Subsection"/>
      </w:pPr>
      <w:r>
        <w:tab/>
        <w:t>(1)</w:t>
      </w:r>
      <w:r>
        <w:tab/>
        <w:t>Duty is not chargeable on the transfer of dutiable property to a transferee in conformity with an agreement for the transfer of dutiable property if that agreement is duty endorsed.</w:t>
      </w:r>
    </w:p>
    <w:p>
      <w:pPr>
        <w:pStyle w:val="Subsection"/>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pPr>
      <w:r>
        <w:tab/>
        <w:t>(12)</w:t>
      </w:r>
      <w:r>
        <w:tab/>
        <w:t>Duty is not chargeable on a transfer of dutiable property resulting from a dutiable transaction referred to in section 11(1)(d) if the vesting of the dutiable property is duty endorsed.</w:t>
      </w:r>
    </w:p>
    <w:p>
      <w:pPr>
        <w:pStyle w:val="Subsection"/>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Heading5"/>
      </w:pPr>
      <w:bookmarkStart w:id="290" w:name="_Toc201998239"/>
      <w:bookmarkStart w:id="291" w:name="_Toc265588377"/>
      <w:bookmarkStart w:id="292" w:name="_Toc265579877"/>
      <w:r>
        <w:rPr>
          <w:rStyle w:val="CharSectno"/>
        </w:rPr>
        <w:t>43</w:t>
      </w:r>
      <w:r>
        <w:t>.</w:t>
      </w:r>
      <w:r>
        <w:tab/>
        <w:t>Purchaser and transferee related for the purpose of section 42(2)(a)</w:t>
      </w:r>
      <w:bookmarkEnd w:id="290"/>
      <w:bookmarkEnd w:id="291"/>
      <w:bookmarkEnd w:id="292"/>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as a trustee other than a trustee referred to in paragraph (a) or (b), unless the beneficiary and the trustee are also related.</w:t>
      </w:r>
    </w:p>
    <w:p>
      <w:pPr>
        <w:pStyle w:val="Heading3"/>
        <w:rPr>
          <w:sz w:val="28"/>
        </w:rPr>
      </w:pPr>
      <w:bookmarkStart w:id="293" w:name="_Toc201998240"/>
      <w:bookmarkStart w:id="294" w:name="_Toc201999496"/>
      <w:bookmarkStart w:id="295" w:name="_Toc202172015"/>
      <w:bookmarkStart w:id="296" w:name="_Toc202172423"/>
      <w:bookmarkStart w:id="297" w:name="_Toc202428653"/>
      <w:bookmarkStart w:id="298" w:name="_Toc264020513"/>
      <w:bookmarkStart w:id="299" w:name="_Toc264024866"/>
      <w:bookmarkStart w:id="300" w:name="_Toc265579878"/>
      <w:bookmarkStart w:id="301" w:name="_Toc265587960"/>
      <w:bookmarkStart w:id="302" w:name="_Toc265588378"/>
      <w:r>
        <w:rPr>
          <w:rStyle w:val="CharDivNo"/>
          <w:sz w:val="28"/>
        </w:rPr>
        <w:t>Part 5</w:t>
      </w:r>
      <w:r>
        <w:rPr>
          <w:sz w:val="28"/>
        </w:rPr>
        <w:t> — </w:t>
      </w:r>
      <w:r>
        <w:rPr>
          <w:rStyle w:val="CharDivText"/>
          <w:sz w:val="28"/>
        </w:rPr>
        <w:t>Application of this Chapter to certain transactions</w:t>
      </w:r>
      <w:bookmarkEnd w:id="293"/>
      <w:bookmarkEnd w:id="294"/>
      <w:bookmarkEnd w:id="295"/>
      <w:bookmarkEnd w:id="296"/>
      <w:bookmarkEnd w:id="297"/>
      <w:bookmarkEnd w:id="298"/>
      <w:bookmarkEnd w:id="299"/>
      <w:bookmarkEnd w:id="300"/>
      <w:bookmarkEnd w:id="301"/>
      <w:bookmarkEnd w:id="302"/>
    </w:p>
    <w:p>
      <w:pPr>
        <w:pStyle w:val="Heading4"/>
        <w:rPr>
          <w:sz w:val="26"/>
        </w:rPr>
      </w:pPr>
      <w:bookmarkStart w:id="303" w:name="_Toc201998241"/>
      <w:bookmarkStart w:id="304" w:name="_Toc201999497"/>
      <w:bookmarkStart w:id="305" w:name="_Toc202172016"/>
      <w:bookmarkStart w:id="306" w:name="_Toc202172424"/>
      <w:bookmarkStart w:id="307" w:name="_Toc202428654"/>
      <w:bookmarkStart w:id="308" w:name="_Toc264020514"/>
      <w:bookmarkStart w:id="309" w:name="_Toc264024867"/>
      <w:bookmarkStart w:id="310" w:name="_Toc265579879"/>
      <w:bookmarkStart w:id="311" w:name="_Toc265587961"/>
      <w:bookmarkStart w:id="312" w:name="_Toc265588379"/>
      <w:r>
        <w:rPr>
          <w:sz w:val="26"/>
        </w:rPr>
        <w:t>Division 1 — Simultaneous put and call options</w:t>
      </w:r>
      <w:bookmarkEnd w:id="303"/>
      <w:bookmarkEnd w:id="304"/>
      <w:bookmarkEnd w:id="305"/>
      <w:bookmarkEnd w:id="306"/>
      <w:bookmarkEnd w:id="307"/>
      <w:bookmarkEnd w:id="308"/>
      <w:bookmarkEnd w:id="309"/>
      <w:bookmarkEnd w:id="310"/>
      <w:bookmarkEnd w:id="311"/>
      <w:bookmarkEnd w:id="312"/>
    </w:p>
    <w:p>
      <w:pPr>
        <w:pStyle w:val="MiscellaneousHeading"/>
        <w:rPr>
          <w:b/>
          <w:bCs/>
        </w:rPr>
      </w:pPr>
      <w:r>
        <w:rPr>
          <w:b/>
          <w:bCs/>
        </w:rPr>
        <w:t>Subdivision 1 — Terms used in this Division</w:t>
      </w:r>
    </w:p>
    <w:p>
      <w:pPr>
        <w:pStyle w:val="Heading5"/>
      </w:pPr>
      <w:bookmarkStart w:id="313" w:name="_Toc201998242"/>
      <w:bookmarkStart w:id="314" w:name="_Toc265588380"/>
      <w:bookmarkStart w:id="315" w:name="_Toc265579880"/>
      <w:r>
        <w:rPr>
          <w:rStyle w:val="CharSectno"/>
        </w:rPr>
        <w:t>44</w:t>
      </w:r>
      <w:r>
        <w:t>.</w:t>
      </w:r>
      <w:r>
        <w:tab/>
        <w:t>Terms used in this Division</w:t>
      </w:r>
      <w:bookmarkEnd w:id="313"/>
      <w:bookmarkEnd w:id="314"/>
      <w:bookmarkEnd w:id="315"/>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316" w:name="_Toc201998243"/>
      <w:bookmarkStart w:id="317" w:name="_Toc265588381"/>
      <w:bookmarkStart w:id="318" w:name="_Toc265579881"/>
      <w:r>
        <w:rPr>
          <w:rStyle w:val="CharSectno"/>
        </w:rPr>
        <w:t>45</w:t>
      </w:r>
      <w:r>
        <w:t>.</w:t>
      </w:r>
      <w:r>
        <w:tab/>
        <w:t>Call option of simultaneous put and call option to be taken to be an agreement for the transfer of the option property</w:t>
      </w:r>
      <w:bookmarkEnd w:id="316"/>
      <w:bookmarkEnd w:id="317"/>
      <w:bookmarkEnd w:id="318"/>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319" w:name="_Toc201998244"/>
      <w:bookmarkStart w:id="320" w:name="_Toc265588382"/>
      <w:bookmarkStart w:id="321" w:name="_Toc265579882"/>
      <w:r>
        <w:rPr>
          <w:rStyle w:val="CharSectno"/>
        </w:rPr>
        <w:t>46</w:t>
      </w:r>
      <w:r>
        <w:t>.</w:t>
      </w:r>
      <w:r>
        <w:tab/>
        <w:t>Dutiable value of simultaneous put and call option</w:t>
      </w:r>
      <w:bookmarkEnd w:id="319"/>
      <w:bookmarkEnd w:id="320"/>
      <w:bookmarkEnd w:id="321"/>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pPr>
      <w:bookmarkStart w:id="322" w:name="_Toc201998245"/>
      <w:bookmarkStart w:id="323" w:name="_Toc265588383"/>
      <w:bookmarkStart w:id="324" w:name="_Toc265579883"/>
      <w:r>
        <w:rPr>
          <w:rStyle w:val="CharSectno"/>
        </w:rPr>
        <w:t>47</w:t>
      </w:r>
      <w:r>
        <w:t>.</w:t>
      </w:r>
      <w:r>
        <w:tab/>
        <w:t>Credit if duty paid on a dutiable transaction referred to in section 45</w:t>
      </w:r>
      <w:bookmarkEnd w:id="322"/>
      <w:bookmarkEnd w:id="323"/>
      <w:bookmarkEnd w:id="324"/>
    </w:p>
    <w:p>
      <w:pPr>
        <w:pStyle w:val="Subsection"/>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325" w:name="_Toc201998246"/>
      <w:bookmarkStart w:id="326" w:name="_Toc265588384"/>
      <w:bookmarkStart w:id="327" w:name="_Toc265579884"/>
      <w:r>
        <w:rPr>
          <w:rStyle w:val="CharSectno"/>
        </w:rPr>
        <w:t>48</w:t>
      </w:r>
      <w:r>
        <w:t>.</w:t>
      </w:r>
      <w:r>
        <w:tab/>
        <w:t>Assessment or reassessment if simultaneous put and call option not exercised or assigned</w:t>
      </w:r>
      <w:bookmarkEnd w:id="325"/>
      <w:bookmarkEnd w:id="326"/>
      <w:bookmarkEnd w:id="327"/>
    </w:p>
    <w:p>
      <w:pPr>
        <w:pStyle w:val="Subsection"/>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pPr>
      <w:r>
        <w:tab/>
      </w:r>
      <w:r>
        <w:tab/>
        <w:t>this Division does not apply and the Commissioner, on the application of the taxpayer, is to assess or reassess the liability to duty of the call option.</w:t>
      </w:r>
    </w:p>
    <w:p>
      <w:pPr>
        <w:pStyle w:val="Subsection"/>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rPr>
          <w:b/>
          <w:bCs/>
        </w:rPr>
      </w:pPr>
      <w:r>
        <w:rPr>
          <w:b/>
          <w:bCs/>
        </w:rPr>
        <w:t>Subdivision 3 — Assignment of call option</w:t>
      </w:r>
    </w:p>
    <w:p>
      <w:pPr>
        <w:pStyle w:val="Heading5"/>
        <w:spacing w:before="120"/>
      </w:pPr>
      <w:bookmarkStart w:id="328" w:name="_Toc201998247"/>
      <w:bookmarkStart w:id="329" w:name="_Toc265588385"/>
      <w:bookmarkStart w:id="330" w:name="_Toc265579885"/>
      <w:r>
        <w:rPr>
          <w:rStyle w:val="CharSectno"/>
        </w:rPr>
        <w:t>49</w:t>
      </w:r>
      <w:r>
        <w:t>.</w:t>
      </w:r>
      <w:r>
        <w:tab/>
        <w:t>Assignment of call option to be taken to be an agreement for the transfer of the option property</w:t>
      </w:r>
      <w:bookmarkEnd w:id="328"/>
      <w:bookmarkEnd w:id="329"/>
      <w:bookmarkEnd w:id="330"/>
    </w:p>
    <w:p>
      <w:pPr>
        <w:pStyle w:val="Subsection"/>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spacing w:before="120"/>
      </w:pPr>
      <w:bookmarkStart w:id="331" w:name="_Toc201998248"/>
      <w:bookmarkStart w:id="332" w:name="_Toc265588386"/>
      <w:bookmarkStart w:id="333" w:name="_Toc265579886"/>
      <w:r>
        <w:rPr>
          <w:rStyle w:val="CharSectno"/>
        </w:rPr>
        <w:t>50</w:t>
      </w:r>
      <w:r>
        <w:t>.</w:t>
      </w:r>
      <w:r>
        <w:tab/>
        <w:t>Dutiable value of assignment of call option</w:t>
      </w:r>
      <w:bookmarkEnd w:id="331"/>
      <w:bookmarkEnd w:id="332"/>
      <w:bookmarkEnd w:id="333"/>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334" w:name="_Toc201998249"/>
      <w:bookmarkStart w:id="335" w:name="_Toc265588387"/>
      <w:bookmarkStart w:id="336" w:name="_Toc265579887"/>
      <w:r>
        <w:rPr>
          <w:rStyle w:val="CharSectno"/>
        </w:rPr>
        <w:t>51</w:t>
      </w:r>
      <w:r>
        <w:t>.</w:t>
      </w:r>
      <w:r>
        <w:tab/>
        <w:t>Credit if duty paid on a dutiable transaction referred to in section 49</w:t>
      </w:r>
      <w:bookmarkEnd w:id="334"/>
      <w:bookmarkEnd w:id="335"/>
      <w:bookmarkEnd w:id="336"/>
    </w:p>
    <w:p>
      <w:pPr>
        <w:pStyle w:val="Subsection"/>
        <w:spacing w:before="100"/>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00"/>
      </w:pPr>
      <w:r>
        <w:tab/>
      </w:r>
      <w:r>
        <w:tab/>
        <w:t>the amount of duty payable on the second dutiable transaction is to be reduced by the amount of duty paid on the first dutiable transaction.</w:t>
      </w:r>
    </w:p>
    <w:p>
      <w:pPr>
        <w:pStyle w:val="Heading5"/>
        <w:spacing w:before="120"/>
      </w:pPr>
      <w:bookmarkStart w:id="337" w:name="_Toc201998250"/>
      <w:bookmarkStart w:id="338" w:name="_Toc265588388"/>
      <w:bookmarkStart w:id="339" w:name="_Toc265579888"/>
      <w:r>
        <w:rPr>
          <w:rStyle w:val="CharSectno"/>
        </w:rPr>
        <w:t>52</w:t>
      </w:r>
      <w:r>
        <w:t>.</w:t>
      </w:r>
      <w:r>
        <w:tab/>
        <w:t>Assessment or reassessment if assigned call option not exercised or further assigned</w:t>
      </w:r>
      <w:bookmarkEnd w:id="337"/>
      <w:bookmarkEnd w:id="338"/>
      <w:bookmarkEnd w:id="339"/>
    </w:p>
    <w:p>
      <w:pPr>
        <w:pStyle w:val="Subsection"/>
        <w:spacing w:before="100"/>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pPr>
      <w:r>
        <w:tab/>
        <w:t>(b)</w:t>
      </w:r>
      <w:r>
        <w:tab/>
        <w:t>the call option has not been further assigned as referred to in section 49,</w:t>
      </w:r>
    </w:p>
    <w:p>
      <w:pPr>
        <w:pStyle w:val="Subsection"/>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340" w:name="_Toc201998251"/>
      <w:bookmarkStart w:id="341" w:name="_Toc201999507"/>
      <w:bookmarkStart w:id="342" w:name="_Toc202172026"/>
      <w:bookmarkStart w:id="343" w:name="_Toc202172434"/>
      <w:bookmarkStart w:id="344" w:name="_Toc202428664"/>
      <w:bookmarkStart w:id="345" w:name="_Toc264020524"/>
      <w:bookmarkStart w:id="346" w:name="_Toc264024877"/>
      <w:bookmarkStart w:id="347" w:name="_Toc265579889"/>
      <w:bookmarkStart w:id="348" w:name="_Toc265587971"/>
      <w:bookmarkStart w:id="349" w:name="_Toc265588389"/>
      <w:r>
        <w:rPr>
          <w:sz w:val="26"/>
        </w:rPr>
        <w:t>Division 2 — Discretionary trust acquisitions and surrenders</w:t>
      </w:r>
      <w:bookmarkEnd w:id="340"/>
      <w:bookmarkEnd w:id="341"/>
      <w:bookmarkEnd w:id="342"/>
      <w:bookmarkEnd w:id="343"/>
      <w:bookmarkEnd w:id="344"/>
      <w:bookmarkEnd w:id="345"/>
      <w:bookmarkEnd w:id="346"/>
      <w:bookmarkEnd w:id="347"/>
      <w:bookmarkEnd w:id="348"/>
      <w:bookmarkEnd w:id="349"/>
    </w:p>
    <w:p>
      <w:pPr>
        <w:pStyle w:val="MiscellaneousHeading"/>
        <w:rPr>
          <w:b/>
          <w:bCs/>
        </w:rPr>
      </w:pPr>
      <w:r>
        <w:rPr>
          <w:b/>
          <w:bCs/>
        </w:rPr>
        <w:t>Subdivision 1 — Terms used in this Division</w:t>
      </w:r>
    </w:p>
    <w:p>
      <w:pPr>
        <w:pStyle w:val="Heading5"/>
      </w:pPr>
      <w:bookmarkStart w:id="350" w:name="_Toc201998252"/>
      <w:bookmarkStart w:id="351" w:name="_Toc265588390"/>
      <w:bookmarkStart w:id="352" w:name="_Toc265579890"/>
      <w:r>
        <w:rPr>
          <w:rStyle w:val="CharSectno"/>
        </w:rPr>
        <w:t>53</w:t>
      </w:r>
      <w:r>
        <w:t>.</w:t>
      </w:r>
      <w:r>
        <w:tab/>
        <w:t>Property held by a partnership or trust</w:t>
      </w:r>
      <w:bookmarkEnd w:id="350"/>
      <w:bookmarkEnd w:id="351"/>
      <w:bookmarkEnd w:id="352"/>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353" w:name="_Toc201998253"/>
      <w:bookmarkStart w:id="354" w:name="_Toc265588391"/>
      <w:bookmarkStart w:id="355" w:name="_Toc265579891"/>
      <w:r>
        <w:rPr>
          <w:rStyle w:val="CharSectno"/>
        </w:rPr>
        <w:t>54</w:t>
      </w:r>
      <w:r>
        <w:t>.</w:t>
      </w:r>
      <w:r>
        <w:tab/>
        <w:t>The term “taker in default”</w:t>
      </w:r>
      <w:bookmarkEnd w:id="353"/>
      <w:bookmarkEnd w:id="354"/>
      <w:bookmarkEnd w:id="355"/>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356" w:name="_Toc201998254"/>
      <w:bookmarkStart w:id="357" w:name="_Toc265588392"/>
      <w:bookmarkStart w:id="358" w:name="_Toc265579892"/>
      <w:r>
        <w:rPr>
          <w:rStyle w:val="CharSectno"/>
        </w:rPr>
        <w:t>55</w:t>
      </w:r>
      <w:r>
        <w:t>.</w:t>
      </w:r>
      <w:r>
        <w:tab/>
        <w:t>The term “trust acquisition”</w:t>
      </w:r>
      <w:bookmarkEnd w:id="356"/>
      <w:bookmarkEnd w:id="357"/>
      <w:bookmarkEnd w:id="358"/>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359" w:name="_Toc201998255"/>
      <w:bookmarkStart w:id="360" w:name="_Toc265588393"/>
      <w:bookmarkStart w:id="361" w:name="_Toc265579893"/>
      <w:r>
        <w:rPr>
          <w:rStyle w:val="CharSectno"/>
        </w:rPr>
        <w:t>56</w:t>
      </w:r>
      <w:r>
        <w:t>.</w:t>
      </w:r>
      <w:r>
        <w:tab/>
        <w:t>The term “trust surrender”</w:t>
      </w:r>
      <w:bookmarkEnd w:id="359"/>
      <w:bookmarkEnd w:id="360"/>
      <w:bookmarkEnd w:id="361"/>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120"/>
      </w:pPr>
      <w:bookmarkStart w:id="362" w:name="_Toc201998256"/>
      <w:bookmarkStart w:id="363" w:name="_Toc265588394"/>
      <w:bookmarkStart w:id="364" w:name="_Toc265579894"/>
      <w:r>
        <w:rPr>
          <w:rStyle w:val="CharSectno"/>
        </w:rPr>
        <w:t>57</w:t>
      </w:r>
      <w:r>
        <w:t>.</w:t>
      </w:r>
      <w:r>
        <w:tab/>
        <w:t>When a discretionary trust holds an indirect interest in dutiable property</w:t>
      </w:r>
      <w:bookmarkEnd w:id="362"/>
      <w:bookmarkEnd w:id="363"/>
      <w:bookmarkEnd w:id="364"/>
    </w:p>
    <w:p>
      <w:pPr>
        <w:pStyle w:val="Subsection"/>
      </w:pPr>
      <w:r>
        <w:tab/>
        <w:t>(1)</w:t>
      </w:r>
      <w:r>
        <w:tab/>
        <w:t>A discretionary trust holds an indirect interest in dutiable property if an entity linked to the trustee of the discretionary trust is entitled to dutiable property.</w:t>
      </w:r>
    </w:p>
    <w:p>
      <w:pPr>
        <w:pStyle w:val="Subsection"/>
      </w:pPr>
      <w:r>
        <w:tab/>
        <w:t>(2)</w:t>
      </w:r>
      <w:r>
        <w:tab/>
        <w:t>Section 156 applies where it is necessary to determine whether an entity is linked to a trustee of a discretionary trust for the purposes of subsection (1) or section 59(a)(ii) or 61(b).</w:t>
      </w:r>
    </w:p>
    <w:p>
      <w:pPr>
        <w:pStyle w:val="Subsection"/>
      </w:pPr>
      <w:r>
        <w:tab/>
        <w:t>(3)</w:t>
      </w:r>
      <w:r>
        <w:tab/>
        <w:t>In applying section 156, the trustee of the discretionary trust is the main entity, despite section 152(2).</w:t>
      </w:r>
    </w:p>
    <w:p>
      <w:pPr>
        <w:pStyle w:val="MiscellaneousHeading"/>
        <w:rPr>
          <w:b/>
          <w:bCs/>
        </w:rPr>
      </w:pPr>
      <w:r>
        <w:rPr>
          <w:b/>
          <w:bCs/>
        </w:rPr>
        <w:t>Subdivision 2 — Trust acquisitions and trust surrenders</w:t>
      </w:r>
    </w:p>
    <w:p>
      <w:pPr>
        <w:pStyle w:val="Heading5"/>
        <w:spacing w:before="120"/>
      </w:pPr>
      <w:bookmarkStart w:id="365" w:name="_Toc201998257"/>
      <w:bookmarkStart w:id="366" w:name="_Toc265588395"/>
      <w:bookmarkStart w:id="367" w:name="_Toc265579895"/>
      <w:r>
        <w:rPr>
          <w:rStyle w:val="CharSectno"/>
        </w:rPr>
        <w:t>58</w:t>
      </w:r>
      <w:r>
        <w:t>.</w:t>
      </w:r>
      <w:r>
        <w:tab/>
        <w:t>Acquiring an interest in a discretionary trust</w:t>
      </w:r>
      <w:bookmarkEnd w:id="365"/>
      <w:bookmarkEnd w:id="366"/>
      <w:bookmarkEnd w:id="367"/>
    </w:p>
    <w:p>
      <w:pPr>
        <w:pStyle w:val="Subsection"/>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pPr>
      <w:bookmarkStart w:id="368" w:name="_Toc201998258"/>
      <w:bookmarkStart w:id="369" w:name="_Toc265588396"/>
      <w:bookmarkStart w:id="370" w:name="_Toc265579896"/>
      <w:r>
        <w:rPr>
          <w:rStyle w:val="CharSectno"/>
        </w:rPr>
        <w:t>59</w:t>
      </w:r>
      <w:r>
        <w:t>.</w:t>
      </w:r>
      <w:r>
        <w:tab/>
        <w:t>Dutiable value of a trust acquisition or trust surrender</w:t>
      </w:r>
      <w:bookmarkEnd w:id="368"/>
      <w:bookmarkEnd w:id="369"/>
      <w:bookmarkEnd w:id="370"/>
    </w:p>
    <w:p>
      <w:pPr>
        <w:pStyle w:val="Subsection"/>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371" w:name="_Toc201998259"/>
      <w:bookmarkStart w:id="372" w:name="_Toc265588397"/>
      <w:bookmarkStart w:id="373" w:name="_Toc265579897"/>
      <w:r>
        <w:rPr>
          <w:rStyle w:val="CharSectno"/>
        </w:rPr>
        <w:t>60</w:t>
      </w:r>
      <w:r>
        <w:t>.</w:t>
      </w:r>
      <w:r>
        <w:tab/>
        <w:t>Interest in a discretionary trust of a taker in default</w:t>
      </w:r>
      <w:bookmarkEnd w:id="371"/>
      <w:bookmarkEnd w:id="372"/>
      <w:bookmarkEnd w:id="373"/>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374" w:name="_Toc201998260"/>
      <w:bookmarkStart w:id="375" w:name="_Toc265588398"/>
      <w:bookmarkStart w:id="376" w:name="_Toc265579898"/>
      <w:r>
        <w:rPr>
          <w:rStyle w:val="CharSectno"/>
        </w:rPr>
        <w:t>61</w:t>
      </w:r>
      <w:r>
        <w:t>.</w:t>
      </w:r>
      <w:r>
        <w:tab/>
        <w:t>Value of a taker in default’s interest in a discretionary trust</w:t>
      </w:r>
      <w:bookmarkEnd w:id="374"/>
      <w:bookmarkEnd w:id="375"/>
      <w:bookmarkEnd w:id="376"/>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377" w:name="_Toc201998261"/>
      <w:bookmarkStart w:id="378" w:name="_Toc265588399"/>
      <w:bookmarkStart w:id="379" w:name="_Toc265579899"/>
      <w:r>
        <w:rPr>
          <w:rStyle w:val="CharSectno"/>
        </w:rPr>
        <w:t>62</w:t>
      </w:r>
      <w:r>
        <w:t>.</w:t>
      </w:r>
      <w:r>
        <w:tab/>
        <w:t>When a trust acquisition or trust surrender is not a dutiable transaction</w:t>
      </w:r>
      <w:bookmarkEnd w:id="377"/>
      <w:bookmarkEnd w:id="378"/>
      <w:bookmarkEnd w:id="379"/>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380" w:name="_Toc201998262"/>
      <w:bookmarkStart w:id="381" w:name="_Toc201999518"/>
      <w:bookmarkStart w:id="382" w:name="_Toc202172037"/>
      <w:bookmarkStart w:id="383" w:name="_Toc202172445"/>
      <w:bookmarkStart w:id="384" w:name="_Toc202428675"/>
      <w:bookmarkStart w:id="385" w:name="_Toc264020535"/>
      <w:bookmarkStart w:id="386" w:name="_Toc264024888"/>
      <w:bookmarkStart w:id="387" w:name="_Toc265579900"/>
      <w:bookmarkStart w:id="388" w:name="_Toc265587982"/>
      <w:bookmarkStart w:id="389" w:name="_Toc265588400"/>
      <w:r>
        <w:rPr>
          <w:sz w:val="26"/>
        </w:rPr>
        <w:t>Division 3 — Corporate trustees</w:t>
      </w:r>
      <w:bookmarkEnd w:id="380"/>
      <w:bookmarkEnd w:id="381"/>
      <w:bookmarkEnd w:id="382"/>
      <w:bookmarkEnd w:id="383"/>
      <w:bookmarkEnd w:id="384"/>
      <w:bookmarkEnd w:id="385"/>
      <w:bookmarkEnd w:id="386"/>
      <w:bookmarkEnd w:id="387"/>
      <w:bookmarkEnd w:id="388"/>
      <w:bookmarkEnd w:id="389"/>
    </w:p>
    <w:p>
      <w:pPr>
        <w:pStyle w:val="MiscellaneousHeading"/>
        <w:rPr>
          <w:b/>
          <w:bCs/>
        </w:rPr>
      </w:pPr>
      <w:r>
        <w:rPr>
          <w:b/>
          <w:bCs/>
        </w:rPr>
        <w:t>Subdivision 1 — Terms used in this Division</w:t>
      </w:r>
    </w:p>
    <w:p>
      <w:pPr>
        <w:pStyle w:val="Heading5"/>
      </w:pPr>
      <w:bookmarkStart w:id="390" w:name="_Toc201998263"/>
      <w:bookmarkStart w:id="391" w:name="_Toc265588401"/>
      <w:bookmarkStart w:id="392" w:name="_Toc265579901"/>
      <w:r>
        <w:rPr>
          <w:rStyle w:val="CharSectno"/>
        </w:rPr>
        <w:t>63</w:t>
      </w:r>
      <w:r>
        <w:t>.</w:t>
      </w:r>
      <w:r>
        <w:tab/>
        <w:t>Terms used in this Division</w:t>
      </w:r>
      <w:bookmarkEnd w:id="390"/>
      <w:bookmarkEnd w:id="391"/>
      <w:bookmarkEnd w:id="392"/>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393" w:name="_Toc201998264"/>
      <w:bookmarkStart w:id="394" w:name="_Toc265588402"/>
      <w:bookmarkStart w:id="395" w:name="_Toc265579902"/>
      <w:r>
        <w:rPr>
          <w:rStyle w:val="CharSectno"/>
        </w:rPr>
        <w:t>64</w:t>
      </w:r>
      <w:r>
        <w:t>.</w:t>
      </w:r>
      <w:r>
        <w:tab/>
        <w:t>Reference to property held by trustees</w:t>
      </w:r>
      <w:bookmarkEnd w:id="393"/>
      <w:bookmarkEnd w:id="394"/>
      <w:bookmarkEnd w:id="395"/>
    </w:p>
    <w:p>
      <w:pPr>
        <w:pStyle w:val="Subsection"/>
      </w:pPr>
      <w:r>
        <w:tab/>
      </w:r>
      <w:r>
        <w:tab/>
        <w:t>A reference to a trustee of a discretionary trust holding property is a reference to the holding of the property by the trustee under the trust.</w:t>
      </w:r>
    </w:p>
    <w:p>
      <w:pPr>
        <w:pStyle w:val="Heading5"/>
      </w:pPr>
      <w:bookmarkStart w:id="396" w:name="_Toc201998265"/>
      <w:bookmarkStart w:id="397" w:name="_Toc265588403"/>
      <w:bookmarkStart w:id="398" w:name="_Toc265579903"/>
      <w:r>
        <w:rPr>
          <w:rStyle w:val="CharSectno"/>
        </w:rPr>
        <w:t>65</w:t>
      </w:r>
      <w:r>
        <w:t>.</w:t>
      </w:r>
      <w:r>
        <w:tab/>
        <w:t>The term “corporate trustee”</w:t>
      </w:r>
      <w:bookmarkEnd w:id="396"/>
      <w:bookmarkEnd w:id="397"/>
      <w:bookmarkEnd w:id="398"/>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399" w:name="_Toc201998266"/>
      <w:bookmarkStart w:id="400" w:name="_Toc265588404"/>
      <w:bookmarkStart w:id="401" w:name="_Toc265579904"/>
      <w:r>
        <w:rPr>
          <w:rStyle w:val="CharSectno"/>
        </w:rPr>
        <w:t>66</w:t>
      </w:r>
      <w:r>
        <w:t>.</w:t>
      </w:r>
      <w:r>
        <w:tab/>
        <w:t>When a corporate trustee holds an indirect interest in dutiable property</w:t>
      </w:r>
      <w:bookmarkEnd w:id="399"/>
      <w:bookmarkEnd w:id="400"/>
      <w:bookmarkEnd w:id="401"/>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rPr>
          <w:b/>
          <w:bCs/>
        </w:rPr>
      </w:pPr>
      <w:r>
        <w:rPr>
          <w:b/>
          <w:bCs/>
        </w:rPr>
        <w:t>Subdivision 2 — Disposition of shares in a corporate trustee</w:t>
      </w:r>
    </w:p>
    <w:p>
      <w:pPr>
        <w:pStyle w:val="Heading5"/>
      </w:pPr>
      <w:bookmarkStart w:id="402" w:name="_Toc201998267"/>
      <w:bookmarkStart w:id="403" w:name="_Toc265588405"/>
      <w:bookmarkStart w:id="404" w:name="_Toc265579905"/>
      <w:r>
        <w:rPr>
          <w:rStyle w:val="CharSectno"/>
        </w:rPr>
        <w:t>67</w:t>
      </w:r>
      <w:r>
        <w:t>.</w:t>
      </w:r>
      <w:r>
        <w:tab/>
        <w:t xml:space="preserve">Share disposition taken to be an agreement </w:t>
      </w:r>
      <w:r>
        <w:rPr>
          <w:snapToGrid w:val="0"/>
        </w:rPr>
        <w:t>for the transfer of</w:t>
      </w:r>
      <w:r>
        <w:t xml:space="preserve"> trust property</w:t>
      </w:r>
      <w:bookmarkEnd w:id="402"/>
      <w:bookmarkEnd w:id="403"/>
      <w:bookmarkEnd w:id="404"/>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405" w:name="_Toc201998268"/>
      <w:bookmarkStart w:id="406" w:name="_Toc265588406"/>
      <w:bookmarkStart w:id="407" w:name="_Toc265579906"/>
      <w:r>
        <w:rPr>
          <w:rStyle w:val="CharSectno"/>
        </w:rPr>
        <w:t>68</w:t>
      </w:r>
      <w:r>
        <w:t>.</w:t>
      </w:r>
      <w:r>
        <w:tab/>
        <w:t>Dutiable value of a transaction referred to in section 67</w:t>
      </w:r>
      <w:bookmarkEnd w:id="405"/>
      <w:bookmarkEnd w:id="406"/>
      <w:bookmarkEnd w:id="407"/>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408" w:name="_Toc201998269"/>
      <w:bookmarkStart w:id="409" w:name="_Toc265588407"/>
      <w:bookmarkStart w:id="410" w:name="_Toc265579907"/>
      <w:r>
        <w:rPr>
          <w:rStyle w:val="CharSectno"/>
        </w:rPr>
        <w:t>69</w:t>
      </w:r>
      <w:r>
        <w:t>.</w:t>
      </w:r>
      <w:r>
        <w:tab/>
        <w:t>Person liable to pay duty on a disposition of a share</w:t>
      </w:r>
      <w:bookmarkEnd w:id="408"/>
      <w:bookmarkEnd w:id="409"/>
      <w:bookmarkEnd w:id="410"/>
    </w:p>
    <w:p>
      <w:pPr>
        <w:pStyle w:val="Subsection"/>
      </w:pPr>
      <w:r>
        <w:tab/>
      </w:r>
      <w:r>
        <w:tab/>
        <w:t>The person liable to pay duty on a disposition of a share in a corporate trustee referred to in section 67 is each person that holds a share in the corporate trustee.</w:t>
      </w:r>
    </w:p>
    <w:p>
      <w:pPr>
        <w:pStyle w:val="Heading4"/>
        <w:rPr>
          <w:sz w:val="26"/>
        </w:rPr>
      </w:pPr>
      <w:bookmarkStart w:id="411" w:name="_Toc201998270"/>
      <w:bookmarkStart w:id="412" w:name="_Toc201999526"/>
      <w:bookmarkStart w:id="413" w:name="_Toc202172045"/>
      <w:bookmarkStart w:id="414" w:name="_Toc202172453"/>
      <w:bookmarkStart w:id="415" w:name="_Toc202428683"/>
      <w:bookmarkStart w:id="416" w:name="_Toc264020543"/>
      <w:bookmarkStart w:id="417" w:name="_Toc264024896"/>
      <w:bookmarkStart w:id="418" w:name="_Toc265579908"/>
      <w:bookmarkStart w:id="419" w:name="_Toc265587990"/>
      <w:bookmarkStart w:id="420" w:name="_Toc265588408"/>
      <w:r>
        <w:rPr>
          <w:sz w:val="26"/>
        </w:rPr>
        <w:t>Division 4 — Partnerships</w:t>
      </w:r>
      <w:bookmarkEnd w:id="411"/>
      <w:bookmarkEnd w:id="412"/>
      <w:bookmarkEnd w:id="413"/>
      <w:bookmarkEnd w:id="414"/>
      <w:bookmarkEnd w:id="415"/>
      <w:bookmarkEnd w:id="416"/>
      <w:bookmarkEnd w:id="417"/>
      <w:bookmarkEnd w:id="418"/>
      <w:bookmarkEnd w:id="419"/>
      <w:bookmarkEnd w:id="420"/>
    </w:p>
    <w:p>
      <w:pPr>
        <w:pStyle w:val="MiscellaneousHeading"/>
        <w:rPr>
          <w:b/>
          <w:bCs/>
        </w:rPr>
      </w:pPr>
      <w:r>
        <w:rPr>
          <w:b/>
          <w:bCs/>
        </w:rPr>
        <w:t>Subdivision 1 — Terms used in this Division</w:t>
      </w:r>
    </w:p>
    <w:p>
      <w:pPr>
        <w:pStyle w:val="Heading5"/>
      </w:pPr>
      <w:bookmarkStart w:id="421" w:name="_Toc201998271"/>
      <w:bookmarkStart w:id="422" w:name="_Toc265588409"/>
      <w:bookmarkStart w:id="423" w:name="_Toc265579909"/>
      <w:r>
        <w:rPr>
          <w:rStyle w:val="CharSectno"/>
        </w:rPr>
        <w:t>70</w:t>
      </w:r>
      <w:del w:id="424" w:author="svcMRProcess" w:date="2020-02-15T03:25:00Z">
        <w:r>
          <w:rPr>
            <w:rStyle w:val="CharSectno"/>
            <w:vertAlign w:val="superscript"/>
          </w:rPr>
          <w:delText> 3</w:delText>
        </w:r>
      </w:del>
      <w:r>
        <w:t>.</w:t>
      </w:r>
      <w:r>
        <w:tab/>
        <w:t>The term “dutiable property”</w:t>
      </w:r>
      <w:bookmarkEnd w:id="421"/>
      <w:bookmarkEnd w:id="422"/>
      <w:bookmarkEnd w:id="423"/>
    </w:p>
    <w:p>
      <w:pPr>
        <w:pStyle w:val="Subsection"/>
      </w:pPr>
      <w:r>
        <w:tab/>
      </w:r>
      <w:r>
        <w:tab/>
        <w:t>In this Division</w:t>
      </w:r>
      <w:ins w:id="425" w:author="svcMRProcess" w:date="2020-02-15T03:25:00Z">
        <w:r>
          <w:t>, other than section 78</w:t>
        </w:r>
      </w:ins>
      <w:r>
        <w:t xml:space="preserve"> — </w:t>
      </w:r>
    </w:p>
    <w:p>
      <w:pPr>
        <w:pStyle w:val="Defstart"/>
      </w:pPr>
      <w:r>
        <w:rPr>
          <w:b/>
        </w:rPr>
        <w:tab/>
      </w:r>
      <w:r>
        <w:rPr>
          <w:rStyle w:val="CharDefText"/>
        </w:rPr>
        <w:t>dutiable property</w:t>
      </w:r>
      <w:r>
        <w:t xml:space="preserve"> means each of the following — </w:t>
      </w:r>
    </w:p>
    <w:p>
      <w:pPr>
        <w:pStyle w:val="Defpara"/>
      </w:pPr>
      <w:r>
        <w:tab/>
        <w:t>(a)</w:t>
      </w:r>
      <w:r>
        <w:tab/>
        <w:t>land in Western Australia;</w:t>
      </w:r>
    </w:p>
    <w:p>
      <w:pPr>
        <w:pStyle w:val="Defpara"/>
      </w:pPr>
      <w:r>
        <w:tab/>
        <w:t>(b)</w:t>
      </w:r>
      <w:r>
        <w:tab/>
        <w:t>a chattel in Western Australia.</w:t>
      </w:r>
    </w:p>
    <w:p>
      <w:pPr>
        <w:pStyle w:val="Footnotesection"/>
        <w:rPr>
          <w:ins w:id="426" w:author="svcMRProcess" w:date="2020-02-15T03:25:00Z"/>
        </w:rPr>
      </w:pPr>
      <w:ins w:id="427" w:author="svcMRProcess" w:date="2020-02-15T03:25:00Z">
        <w:r>
          <w:tab/>
          <w:t>[Section 70 amended by No. 17 of 2010 s. 12.]</w:t>
        </w:r>
      </w:ins>
    </w:p>
    <w:p>
      <w:pPr>
        <w:pStyle w:val="Heading5"/>
      </w:pPr>
      <w:bookmarkStart w:id="428" w:name="_Toc201998272"/>
      <w:bookmarkStart w:id="429" w:name="_Toc265588410"/>
      <w:bookmarkStart w:id="430" w:name="_Toc265579910"/>
      <w:r>
        <w:rPr>
          <w:rStyle w:val="CharSectno"/>
        </w:rPr>
        <w:t>71</w:t>
      </w:r>
      <w:r>
        <w:t>.</w:t>
      </w:r>
      <w:r>
        <w:tab/>
        <w:t>References to property held by a partnership or trust</w:t>
      </w:r>
      <w:bookmarkEnd w:id="428"/>
      <w:bookmarkEnd w:id="429"/>
      <w:bookmarkEnd w:id="430"/>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431" w:name="_Toc201998273"/>
      <w:bookmarkStart w:id="432" w:name="_Toc265588411"/>
      <w:bookmarkStart w:id="433" w:name="_Toc265579911"/>
      <w:r>
        <w:rPr>
          <w:rStyle w:val="CharSectno"/>
        </w:rPr>
        <w:t>72</w:t>
      </w:r>
      <w:r>
        <w:t>.</w:t>
      </w:r>
      <w:r>
        <w:tab/>
        <w:t>The term “partnership acquisition”</w:t>
      </w:r>
      <w:bookmarkEnd w:id="431"/>
      <w:bookmarkEnd w:id="432"/>
      <w:bookmarkEnd w:id="433"/>
    </w:p>
    <w:p>
      <w:pPr>
        <w:pStyle w:val="Subsection"/>
      </w:pPr>
      <w:r>
        <w:tab/>
      </w:r>
      <w:r>
        <w:tab/>
        <w:t>A reference to a partnership acquisition is to a person acquiring a partnership interest in a partnership that</w:t>
      </w:r>
      <w:del w:id="434" w:author="svcMRProcess" w:date="2020-02-15T03:25:00Z">
        <w:r>
          <w:delText>, immediately before the acquisition</w:delText>
        </w:r>
      </w:del>
      <w:r>
        <w:t xml:space="preserve"> holds — </w:t>
      </w:r>
    </w:p>
    <w:p>
      <w:pPr>
        <w:pStyle w:val="Indenta"/>
      </w:pPr>
      <w:r>
        <w:tab/>
        <w:t>(a)</w:t>
      </w:r>
      <w:r>
        <w:tab/>
        <w:t>land in Western Australia; or</w:t>
      </w:r>
    </w:p>
    <w:p>
      <w:pPr>
        <w:pStyle w:val="Indenta"/>
      </w:pPr>
      <w:r>
        <w:tab/>
        <w:t>(b)</w:t>
      </w:r>
      <w:r>
        <w:tab/>
        <w:t>an indirect interest in land in Western Australia.</w:t>
      </w:r>
    </w:p>
    <w:p>
      <w:pPr>
        <w:pStyle w:val="Footnotesection"/>
        <w:rPr>
          <w:ins w:id="435" w:author="svcMRProcess" w:date="2020-02-15T03:25:00Z"/>
        </w:rPr>
      </w:pPr>
      <w:bookmarkStart w:id="436" w:name="_Toc201998274"/>
      <w:ins w:id="437" w:author="svcMRProcess" w:date="2020-02-15T03:25:00Z">
        <w:r>
          <w:tab/>
          <w:t>[Section 72 amended by No. 17 of 2010 s. 13.]</w:t>
        </w:r>
      </w:ins>
    </w:p>
    <w:p>
      <w:pPr>
        <w:pStyle w:val="Heading5"/>
      </w:pPr>
      <w:bookmarkStart w:id="438" w:name="_Toc265588412"/>
      <w:bookmarkStart w:id="439" w:name="_Toc265579912"/>
      <w:r>
        <w:rPr>
          <w:rStyle w:val="CharSectno"/>
        </w:rPr>
        <w:t>73</w:t>
      </w:r>
      <w:r>
        <w:t>.</w:t>
      </w:r>
      <w:r>
        <w:tab/>
        <w:t>When a partnership holds an indirect interest in land in Western Australia</w:t>
      </w:r>
      <w:bookmarkEnd w:id="436"/>
      <w:bookmarkEnd w:id="438"/>
      <w:bookmarkEnd w:id="439"/>
    </w:p>
    <w:p>
      <w:pPr>
        <w:pStyle w:val="Subsection"/>
      </w:pPr>
      <w:r>
        <w:tab/>
        <w:t>(1)</w:t>
      </w:r>
      <w:r>
        <w:tab/>
        <w:t>A partnership holds an indirect interest in land in Western Australia if an entity linked to the partnership is entitled to land in Western Australia.</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440" w:name="_Toc201998275"/>
      <w:bookmarkStart w:id="441" w:name="_Toc265588413"/>
      <w:bookmarkStart w:id="442" w:name="_Toc265579913"/>
      <w:r>
        <w:rPr>
          <w:rStyle w:val="CharSectno"/>
        </w:rPr>
        <w:t>74</w:t>
      </w:r>
      <w:r>
        <w:t>.</w:t>
      </w:r>
      <w:r>
        <w:tab/>
        <w:t>Partner’s partnership interest</w:t>
      </w:r>
      <w:bookmarkEnd w:id="440"/>
      <w:bookmarkEnd w:id="441"/>
      <w:bookmarkEnd w:id="442"/>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rPr>
          <w:b/>
          <w:bCs/>
        </w:rPr>
      </w:pPr>
      <w:r>
        <w:rPr>
          <w:b/>
          <w:bCs/>
        </w:rPr>
        <w:t>Subdivision 2 — Acquiring partnership interests</w:t>
      </w:r>
    </w:p>
    <w:p>
      <w:pPr>
        <w:pStyle w:val="Heading5"/>
      </w:pPr>
      <w:bookmarkStart w:id="443" w:name="_Toc201998276"/>
      <w:bookmarkStart w:id="444" w:name="_Toc265588414"/>
      <w:bookmarkStart w:id="445" w:name="_Toc265579914"/>
      <w:r>
        <w:rPr>
          <w:rStyle w:val="CharSectno"/>
        </w:rPr>
        <w:t>75</w:t>
      </w:r>
      <w:r>
        <w:t>.</w:t>
      </w:r>
      <w:r>
        <w:tab/>
        <w:t>Acquiring a partnership interest</w:t>
      </w:r>
      <w:bookmarkEnd w:id="443"/>
      <w:bookmarkEnd w:id="444"/>
      <w:bookmarkEnd w:id="445"/>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446" w:name="_Toc201998277"/>
      <w:bookmarkStart w:id="447" w:name="_Toc265588415"/>
      <w:bookmarkStart w:id="448" w:name="_Toc265579915"/>
      <w:r>
        <w:rPr>
          <w:rStyle w:val="CharSectno"/>
        </w:rPr>
        <w:t>76</w:t>
      </w:r>
      <w:r>
        <w:t>.</w:t>
      </w:r>
      <w:r>
        <w:tab/>
        <w:t>Dutiable value of a partnership acquisition</w:t>
      </w:r>
      <w:bookmarkEnd w:id="446"/>
      <w:bookmarkEnd w:id="447"/>
      <w:bookmarkEnd w:id="448"/>
    </w:p>
    <w:p>
      <w:pPr>
        <w:pStyle w:val="Subsection"/>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pPr>
      <w:bookmarkStart w:id="449" w:name="_Toc201998278"/>
      <w:bookmarkStart w:id="450" w:name="_Toc265588416"/>
      <w:bookmarkStart w:id="451" w:name="_Toc265579916"/>
      <w:r>
        <w:rPr>
          <w:rStyle w:val="CharSectno"/>
        </w:rPr>
        <w:t>77</w:t>
      </w:r>
      <w:r>
        <w:t>.</w:t>
      </w:r>
      <w:r>
        <w:tab/>
        <w:t>Value of a partnership interest</w:t>
      </w:r>
      <w:bookmarkEnd w:id="449"/>
      <w:bookmarkEnd w:id="450"/>
      <w:bookmarkEnd w:id="451"/>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pPr>
      <w:bookmarkStart w:id="452" w:name="_Toc201998279"/>
      <w:bookmarkStart w:id="453" w:name="_Toc265588417"/>
      <w:bookmarkStart w:id="454" w:name="_Toc265579917"/>
      <w:r>
        <w:rPr>
          <w:rStyle w:val="CharSectno"/>
        </w:rPr>
        <w:t>78</w:t>
      </w:r>
      <w:r>
        <w:t>.</w:t>
      </w:r>
      <w:r>
        <w:tab/>
        <w:t>Dutiable value of a transaction reduced for transfer of dutiable property to a partner on retirement or dissolution</w:t>
      </w:r>
      <w:bookmarkEnd w:id="452"/>
      <w:bookmarkEnd w:id="453"/>
      <w:bookmarkEnd w:id="454"/>
    </w:p>
    <w:p>
      <w:pPr>
        <w:pStyle w:val="Subsection"/>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455" w:name="_Toc201998280"/>
      <w:bookmarkStart w:id="456" w:name="_Toc201999536"/>
      <w:bookmarkStart w:id="457" w:name="_Toc202172055"/>
      <w:bookmarkStart w:id="458" w:name="_Toc202172463"/>
      <w:bookmarkStart w:id="459" w:name="_Toc202428693"/>
      <w:bookmarkStart w:id="460" w:name="_Toc264020553"/>
      <w:bookmarkStart w:id="461" w:name="_Toc264024906"/>
      <w:bookmarkStart w:id="462" w:name="_Toc265579918"/>
      <w:bookmarkStart w:id="463" w:name="_Toc265588000"/>
      <w:bookmarkStart w:id="464" w:name="_Toc265588418"/>
      <w:r>
        <w:rPr>
          <w:sz w:val="26"/>
        </w:rPr>
        <w:t>Division 5 — Western Australian business assets</w:t>
      </w:r>
      <w:bookmarkEnd w:id="455"/>
      <w:bookmarkEnd w:id="456"/>
      <w:bookmarkEnd w:id="457"/>
      <w:bookmarkEnd w:id="458"/>
      <w:bookmarkEnd w:id="459"/>
      <w:bookmarkEnd w:id="460"/>
      <w:bookmarkEnd w:id="461"/>
      <w:bookmarkEnd w:id="462"/>
      <w:bookmarkEnd w:id="463"/>
      <w:bookmarkEnd w:id="464"/>
    </w:p>
    <w:p>
      <w:pPr>
        <w:pStyle w:val="MiscellaneousHeading"/>
        <w:rPr>
          <w:b/>
          <w:bCs/>
        </w:rPr>
      </w:pPr>
      <w:r>
        <w:rPr>
          <w:b/>
          <w:bCs/>
        </w:rPr>
        <w:t>Subdivision 1 — Terms used in this Division</w:t>
      </w:r>
    </w:p>
    <w:p>
      <w:pPr>
        <w:pStyle w:val="Heading5"/>
        <w:spacing w:before="120"/>
      </w:pPr>
      <w:bookmarkStart w:id="465" w:name="_Toc201998281"/>
      <w:bookmarkStart w:id="466" w:name="_Toc265588419"/>
      <w:bookmarkStart w:id="467" w:name="_Toc265579919"/>
      <w:r>
        <w:rPr>
          <w:rStyle w:val="CharSectno"/>
        </w:rPr>
        <w:t>79</w:t>
      </w:r>
      <w:r>
        <w:t>.</w:t>
      </w:r>
      <w:r>
        <w:tab/>
        <w:t>Terms used in this Division</w:t>
      </w:r>
      <w:bookmarkEnd w:id="465"/>
      <w:bookmarkEnd w:id="466"/>
      <w:bookmarkEnd w:id="467"/>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a law of the Commonwealth and which is required by a law of the Commonwealth to be held by a person carrying out an activity in Western Australia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been carried on in or from Western Australia; or</w:t>
      </w:r>
    </w:p>
    <w:p>
      <w:pPr>
        <w:pStyle w:val="Defsubpara"/>
      </w:pPr>
      <w:r>
        <w:tab/>
        <w:t>(ii)</w:t>
      </w:r>
      <w:r>
        <w:tab/>
        <w:t>supplied commodities or provided services to customers in Western Australia;</w:t>
      </w:r>
    </w:p>
    <w:p>
      <w:pPr>
        <w:pStyle w:val="Defpara"/>
      </w:pPr>
      <w:r>
        <w:tab/>
      </w:r>
      <w:r>
        <w:tab/>
        <w:t>or</w:t>
      </w:r>
    </w:p>
    <w:p>
      <w:pPr>
        <w:pStyle w:val="Defpara"/>
      </w:pPr>
      <w:r>
        <w:tab/>
        <w:t>(b)</w:t>
      </w:r>
      <w:r>
        <w:tab/>
        <w:t>carrying out an activity for gain or reward under a licence referred to in paragraph (a) of the definition of “business licence”; or</w:t>
      </w:r>
    </w:p>
    <w:p>
      <w:pPr>
        <w:pStyle w:val="Defpara"/>
      </w:pPr>
      <w:r>
        <w:tab/>
        <w:t>(c)</w:t>
      </w:r>
      <w:r>
        <w:tab/>
        <w:t>carrying out an activity in Western Australia for gain or reward under a licence referred to in paragraph (b) of the definition of “business licence”;</w:t>
      </w:r>
    </w:p>
    <w:p>
      <w:pPr>
        <w:pStyle w:val="Defstart"/>
      </w:pPr>
      <w:r>
        <w:tab/>
      </w:r>
      <w:r>
        <w:rPr>
          <w:rStyle w:val="CharDefText"/>
        </w:rPr>
        <w:t>Western Australian business asset</w:t>
      </w:r>
      <w:r>
        <w:t xml:space="preserve"> means a business asset of a Western Australian business.</w:t>
      </w:r>
    </w:p>
    <w:p>
      <w:pPr>
        <w:pStyle w:val="MiscellaneousHeading"/>
        <w:rPr>
          <w:b/>
          <w:bCs/>
        </w:rPr>
      </w:pPr>
      <w:r>
        <w:rPr>
          <w:b/>
          <w:bCs/>
        </w:rPr>
        <w:t>Subdivision 2 — Particular transactions involving business assets</w:t>
      </w:r>
    </w:p>
    <w:p>
      <w:pPr>
        <w:pStyle w:val="Heading5"/>
      </w:pPr>
      <w:bookmarkStart w:id="468" w:name="_Toc201998282"/>
      <w:bookmarkStart w:id="469" w:name="_Toc265588420"/>
      <w:bookmarkStart w:id="470" w:name="_Toc265579920"/>
      <w:r>
        <w:rPr>
          <w:rStyle w:val="CharSectno"/>
        </w:rPr>
        <w:t>80</w:t>
      </w:r>
      <w:r>
        <w:t>.</w:t>
      </w:r>
      <w:r>
        <w:tab/>
        <w:t>Transactions involving business licences that are to be taken to be an agreement to transfer a Western Australian business asset</w:t>
      </w:r>
      <w:bookmarkEnd w:id="468"/>
      <w:bookmarkEnd w:id="469"/>
      <w:bookmarkEnd w:id="470"/>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471" w:name="_Toc201998283"/>
      <w:bookmarkStart w:id="472" w:name="_Toc265588421"/>
      <w:bookmarkStart w:id="473" w:name="_Toc265579921"/>
      <w:r>
        <w:rPr>
          <w:rStyle w:val="CharSectno"/>
        </w:rPr>
        <w:t>81</w:t>
      </w:r>
      <w:r>
        <w:t>.</w:t>
      </w:r>
      <w:r>
        <w:tab/>
        <w:t>Transactions for particular Western Australian business assets that are not dutiable transactions</w:t>
      </w:r>
      <w:bookmarkEnd w:id="471"/>
      <w:bookmarkEnd w:id="472"/>
      <w:bookmarkEnd w:id="473"/>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rPr>
          <w:b/>
          <w:bCs/>
        </w:rPr>
      </w:pPr>
      <w:r>
        <w:rPr>
          <w:b/>
          <w:bCs/>
        </w:rPr>
        <w:t>Subdivision 3 — Dutiable value of dutiable transactions for business assets</w:t>
      </w:r>
    </w:p>
    <w:p>
      <w:pPr>
        <w:pStyle w:val="Heading5"/>
      </w:pPr>
      <w:bookmarkStart w:id="474" w:name="_Toc201998284"/>
      <w:bookmarkStart w:id="475" w:name="_Toc265588422"/>
      <w:bookmarkStart w:id="476" w:name="_Toc265579922"/>
      <w:r>
        <w:rPr>
          <w:rStyle w:val="CharSectno"/>
        </w:rPr>
        <w:t>82</w:t>
      </w:r>
      <w:r>
        <w:t>.</w:t>
      </w:r>
      <w:r>
        <w:tab/>
        <w:t>Dutiable value of dutiable transactions for business assets</w:t>
      </w:r>
      <w:bookmarkEnd w:id="474"/>
      <w:bookmarkEnd w:id="475"/>
      <w:bookmarkEnd w:id="476"/>
    </w:p>
    <w:p>
      <w:pPr>
        <w:pStyle w:val="Subsection"/>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477" w:name="_Toc201998285"/>
      <w:bookmarkStart w:id="478" w:name="_Toc265588423"/>
      <w:bookmarkStart w:id="479" w:name="_Toc265579923"/>
      <w:r>
        <w:rPr>
          <w:rStyle w:val="CharSectno"/>
        </w:rPr>
        <w:t>83</w:t>
      </w:r>
      <w:r>
        <w:t>.</w:t>
      </w:r>
      <w:r>
        <w:tab/>
        <w:t>Dutiable value of certain business licences required by a law of the Commonwealth</w:t>
      </w:r>
      <w:bookmarkEnd w:id="477"/>
      <w:bookmarkEnd w:id="478"/>
      <w:bookmarkEnd w:id="479"/>
      <w:r>
        <w:t xml:space="preserve"> </w:t>
      </w:r>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the portion of the consideration for the transaction that relates to the carrying out of an activity in Western Australia under the authority of the business licence.</w:t>
      </w:r>
    </w:p>
    <w:p>
      <w:pPr>
        <w:pStyle w:val="Heading5"/>
      </w:pPr>
      <w:bookmarkStart w:id="480" w:name="_Toc201998286"/>
      <w:bookmarkStart w:id="481" w:name="_Toc265588424"/>
      <w:bookmarkStart w:id="482" w:name="_Toc265579924"/>
      <w:r>
        <w:rPr>
          <w:rStyle w:val="CharSectno"/>
        </w:rPr>
        <w:t>84</w:t>
      </w:r>
      <w:r>
        <w:t>.</w:t>
      </w:r>
      <w:r>
        <w:tab/>
        <w:t>Dutiable value of business licences required by a law of Western Australia</w:t>
      </w:r>
      <w:bookmarkEnd w:id="480"/>
      <w:bookmarkEnd w:id="481"/>
      <w:bookmarkEnd w:id="482"/>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483" w:name="_Toc201998287"/>
      <w:bookmarkStart w:id="484" w:name="_Toc265588425"/>
      <w:bookmarkStart w:id="485" w:name="_Toc265579925"/>
      <w:r>
        <w:rPr>
          <w:rStyle w:val="CharSectno"/>
        </w:rPr>
        <w:t>85</w:t>
      </w:r>
      <w:r>
        <w:t>.</w:t>
      </w:r>
      <w:r>
        <w:tab/>
        <w:t>Head office or principal place of business in Western Australia</w:t>
      </w:r>
      <w:bookmarkEnd w:id="483"/>
      <w:bookmarkEnd w:id="484"/>
      <w:bookmarkEnd w:id="485"/>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Equation"/>
        <w:tabs>
          <w:tab w:val="left" w:pos="993"/>
        </w:tabs>
        <w:spacing w:before="120"/>
      </w:pPr>
      <w:r>
        <w:tab/>
      </w:r>
      <w:del w:id="486" w:author="svcMRProcess" w:date="2020-02-15T03:25:00Z">
        <w:r>
          <w:rPr>
            <w:position w:val="-24"/>
            <w:lang w:eastAsia="en-AU"/>
          </w:rPr>
          <w:drawing>
            <wp:inline distT="0" distB="0" distL="0" distR="0">
              <wp:extent cx="1501140" cy="396875"/>
              <wp:effectExtent l="0" t="0" r="381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01140" cy="396875"/>
                      </a:xfrm>
                      <a:prstGeom prst="rect">
                        <a:avLst/>
                      </a:prstGeom>
                      <a:noFill/>
                      <a:ln>
                        <a:noFill/>
                      </a:ln>
                    </pic:spPr>
                  </pic:pic>
                </a:graphicData>
              </a:graphic>
            </wp:inline>
          </w:drawing>
        </w:r>
      </w:del>
      <w:ins w:id="487" w:author="svcMRProcess" w:date="2020-02-15T03:25:00Z">
        <w:r>
          <w:rPr>
            <w:position w:val="-24"/>
            <w:lang w:eastAsia="en-AU"/>
          </w:rPr>
          <w:drawing>
            <wp:inline distT="0" distB="0" distL="0" distR="0">
              <wp:extent cx="1499870" cy="394970"/>
              <wp:effectExtent l="0" t="0" r="508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99870" cy="394970"/>
                      </a:xfrm>
                      <a:prstGeom prst="rect">
                        <a:avLst/>
                      </a:prstGeom>
                      <a:noFill/>
                      <a:ln>
                        <a:noFill/>
                      </a:ln>
                    </pic:spPr>
                  </pic:pic>
                </a:graphicData>
              </a:graphic>
            </wp:inline>
          </w:drawing>
        </w:r>
      </w:ins>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488" w:name="_Toc201998288"/>
      <w:bookmarkStart w:id="489" w:name="_Toc265588426"/>
      <w:bookmarkStart w:id="490" w:name="_Toc265579926"/>
      <w:r>
        <w:rPr>
          <w:rStyle w:val="CharSectno"/>
        </w:rPr>
        <w:t>86</w:t>
      </w:r>
      <w:r>
        <w:t>.</w:t>
      </w:r>
      <w:r>
        <w:tab/>
        <w:t>Head office or principal place of business in another State</w:t>
      </w:r>
      <w:bookmarkEnd w:id="488"/>
      <w:bookmarkEnd w:id="489"/>
      <w:bookmarkEnd w:id="490"/>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Equation"/>
        <w:spacing w:before="120"/>
        <w:ind w:left="993"/>
        <w:rPr>
          <w:del w:id="491" w:author="svcMRProcess" w:date="2020-02-15T03:25:00Z"/>
        </w:rPr>
      </w:pPr>
      <w:del w:id="492" w:author="svcMRProcess" w:date="2020-02-15T03:25:00Z">
        <w:r>
          <w:rPr>
            <w:position w:val="-24"/>
            <w:lang w:eastAsia="en-AU"/>
          </w:rPr>
          <w:drawing>
            <wp:inline distT="0" distB="0" distL="0" distR="0">
              <wp:extent cx="1285240" cy="396875"/>
              <wp:effectExtent l="0" t="0" r="0"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85240" cy="396875"/>
                      </a:xfrm>
                      <a:prstGeom prst="rect">
                        <a:avLst/>
                      </a:prstGeom>
                      <a:noFill/>
                      <a:ln>
                        <a:noFill/>
                      </a:ln>
                    </pic:spPr>
                  </pic:pic>
                </a:graphicData>
              </a:graphic>
            </wp:inline>
          </w:drawing>
        </w:r>
      </w:del>
    </w:p>
    <w:p>
      <w:pPr>
        <w:pStyle w:val="Equation"/>
        <w:spacing w:before="120"/>
        <w:ind w:left="993"/>
        <w:rPr>
          <w:ins w:id="493" w:author="svcMRProcess" w:date="2020-02-15T03:25:00Z"/>
        </w:rPr>
      </w:pPr>
      <w:ins w:id="494" w:author="svcMRProcess" w:date="2020-02-15T03:25:00Z">
        <w:r>
          <w:rPr>
            <w:position w:val="-24"/>
            <w:lang w:eastAsia="en-AU"/>
          </w:rPr>
          <w:drawing>
            <wp:inline distT="0" distB="0" distL="0" distR="0">
              <wp:extent cx="1280160" cy="394970"/>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80160" cy="394970"/>
                      </a:xfrm>
                      <a:prstGeom prst="rect">
                        <a:avLst/>
                      </a:prstGeom>
                      <a:noFill/>
                      <a:ln>
                        <a:noFill/>
                      </a:ln>
                    </pic:spPr>
                  </pic:pic>
                </a:graphicData>
              </a:graphic>
            </wp:inline>
          </w:drawing>
        </w:r>
      </w:ins>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495" w:name="_Toc201998289"/>
      <w:bookmarkStart w:id="496" w:name="_Toc201999545"/>
      <w:bookmarkStart w:id="497" w:name="_Toc202172064"/>
      <w:bookmarkStart w:id="498" w:name="_Toc202172472"/>
      <w:bookmarkStart w:id="499" w:name="_Toc202428702"/>
      <w:bookmarkStart w:id="500" w:name="_Toc264020562"/>
      <w:bookmarkStart w:id="501" w:name="_Toc264024915"/>
      <w:bookmarkStart w:id="502" w:name="_Toc265579927"/>
      <w:bookmarkStart w:id="503" w:name="_Toc265588009"/>
      <w:bookmarkStart w:id="504" w:name="_Toc265588427"/>
      <w:r>
        <w:rPr>
          <w:sz w:val="26"/>
        </w:rPr>
        <w:t>Division 6 — Conditional agreements</w:t>
      </w:r>
      <w:bookmarkEnd w:id="495"/>
      <w:bookmarkEnd w:id="496"/>
      <w:bookmarkEnd w:id="497"/>
      <w:bookmarkEnd w:id="498"/>
      <w:bookmarkEnd w:id="499"/>
      <w:bookmarkEnd w:id="500"/>
      <w:bookmarkEnd w:id="501"/>
      <w:bookmarkEnd w:id="502"/>
      <w:bookmarkEnd w:id="503"/>
      <w:bookmarkEnd w:id="504"/>
    </w:p>
    <w:p>
      <w:pPr>
        <w:pStyle w:val="Heading5"/>
      </w:pPr>
      <w:bookmarkStart w:id="505" w:name="_Toc201998290"/>
      <w:bookmarkStart w:id="506" w:name="_Toc265588428"/>
      <w:bookmarkStart w:id="507" w:name="_Toc265579928"/>
      <w:r>
        <w:rPr>
          <w:rStyle w:val="CharSectno"/>
        </w:rPr>
        <w:t>87</w:t>
      </w:r>
      <w:r>
        <w:t>.</w:t>
      </w:r>
      <w:r>
        <w:tab/>
        <w:t>Conditional agreements</w:t>
      </w:r>
      <w:bookmarkEnd w:id="505"/>
      <w:bookmarkEnd w:id="506"/>
      <w:bookmarkEnd w:id="507"/>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Subsection"/>
      </w:pPr>
      <w:r>
        <w:tab/>
        <w:t>(3)</w:t>
      </w:r>
      <w:r>
        <w:tab/>
        <w:t>A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to a party to the agreement; and</w:t>
      </w:r>
    </w:p>
    <w:p>
      <w:pPr>
        <w:pStyle w:val="Indenta"/>
      </w:pPr>
      <w:r>
        <w:tab/>
        <w:t>(b)</w:t>
      </w:r>
      <w:r>
        <w:tab/>
        <w:t>duty is not chargeable on the agreement under section 107 because it is a cancelled transaction.</w:t>
      </w:r>
    </w:p>
    <w:p>
      <w:pPr>
        <w:pStyle w:val="Subsection"/>
      </w:pPr>
      <w:r>
        <w:tab/>
        <w:t>(4)</w:t>
      </w:r>
      <w:r>
        <w:tab/>
        <w:t>A conditional agreement becomes unconditional when the condition to which its completion was subject is fulfilled.</w:t>
      </w:r>
    </w:p>
    <w:p>
      <w:pPr>
        <w:pStyle w:val="Subsection"/>
      </w:pPr>
      <w:r>
        <w:tab/>
        <w:t>(5)</w:t>
      </w:r>
      <w:r>
        <w:tab/>
        <w:t xml:space="preserve">For the purposes of subsections (1)(c) and (3)(a),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pPr>
      <w:r>
        <w:tab/>
      </w:r>
      <w:r>
        <w:tab/>
        <w:t>or more than one of them.</w:t>
      </w:r>
    </w:p>
    <w:p>
      <w:pPr>
        <w:pStyle w:val="Heading5"/>
      </w:pPr>
      <w:bookmarkStart w:id="508" w:name="_Toc201998291"/>
      <w:bookmarkStart w:id="509" w:name="_Toc265588429"/>
      <w:bookmarkStart w:id="510" w:name="_Toc265579929"/>
      <w:r>
        <w:rPr>
          <w:rStyle w:val="CharSectno"/>
        </w:rPr>
        <w:t>88</w:t>
      </w:r>
      <w:r>
        <w:t>.</w:t>
      </w:r>
      <w:r>
        <w:tab/>
        <w:t>The term “farming land conditional agreement”</w:t>
      </w:r>
      <w:bookmarkEnd w:id="508"/>
      <w:bookmarkEnd w:id="509"/>
      <w:bookmarkEnd w:id="510"/>
    </w:p>
    <w:p>
      <w:pPr>
        <w:pStyle w:val="Subsection"/>
      </w:pPr>
      <w:r>
        <w:tab/>
      </w:r>
      <w:r>
        <w:tab/>
        <w:t>A reference to a farming land conditional agreement is to a conditional agreement the subject of which is solely or dominantly farming land within the meaning of section 99(1).</w:t>
      </w:r>
    </w:p>
    <w:p>
      <w:pPr>
        <w:pStyle w:val="Heading5"/>
      </w:pPr>
      <w:bookmarkStart w:id="511" w:name="_Toc201998292"/>
      <w:bookmarkStart w:id="512" w:name="_Toc265588430"/>
      <w:bookmarkStart w:id="513" w:name="_Toc265579930"/>
      <w:r>
        <w:rPr>
          <w:rStyle w:val="CharSectno"/>
        </w:rPr>
        <w:t>89</w:t>
      </w:r>
      <w:r>
        <w:t>.</w:t>
      </w:r>
      <w:r>
        <w:tab/>
        <w:t>The term “mining tenement conditional agreement”</w:t>
      </w:r>
      <w:bookmarkEnd w:id="511"/>
      <w:bookmarkEnd w:id="512"/>
      <w:bookmarkEnd w:id="513"/>
    </w:p>
    <w:p>
      <w:pPr>
        <w:pStyle w:val="Subsection"/>
      </w:pPr>
      <w:r>
        <w:tab/>
      </w:r>
      <w:r>
        <w:tab/>
        <w:t>A reference to a mining tenement conditional agreement is to a conditional agreement the subject of which is a mining tenement.</w:t>
      </w:r>
    </w:p>
    <w:p>
      <w:pPr>
        <w:pStyle w:val="Heading5"/>
      </w:pPr>
      <w:bookmarkStart w:id="514" w:name="_Toc201998293"/>
      <w:bookmarkStart w:id="515" w:name="_Toc265588431"/>
      <w:bookmarkStart w:id="516" w:name="_Toc265579931"/>
      <w:r>
        <w:rPr>
          <w:rStyle w:val="CharSectno"/>
        </w:rPr>
        <w:t>90</w:t>
      </w:r>
      <w:r>
        <w:t>.</w:t>
      </w:r>
      <w:r>
        <w:tab/>
        <w:t>The term “off</w:t>
      </w:r>
      <w:r>
        <w:noBreakHyphen/>
        <w:t>the</w:t>
      </w:r>
      <w:r>
        <w:noBreakHyphen/>
        <w:t>plan conditional agreement”</w:t>
      </w:r>
      <w:bookmarkEnd w:id="514"/>
      <w:bookmarkEnd w:id="515"/>
      <w:bookmarkEnd w:id="516"/>
    </w:p>
    <w:p>
      <w:pPr>
        <w:pStyle w:val="Subsection"/>
      </w:pPr>
      <w:r>
        <w:tab/>
      </w:r>
      <w:r>
        <w:tab/>
        <w:t>A reference to an off</w:t>
      </w:r>
      <w:r>
        <w:noBreakHyphen/>
        <w:t>the</w:t>
      </w:r>
      <w:r>
        <w:noBreakHyphen/>
        <w:t xml:space="preserve">plan conditional agreement is to a conditional agreement that includes provision — </w:t>
      </w:r>
    </w:p>
    <w:p>
      <w:pPr>
        <w:pStyle w:val="Indenta"/>
      </w:pPr>
      <w:r>
        <w:tab/>
        <w:t>(a)</w:t>
      </w:r>
      <w:r>
        <w:tab/>
        <w:t>for the sale of a strata lot; and</w:t>
      </w:r>
    </w:p>
    <w:p>
      <w:pPr>
        <w:pStyle w:val="Indenta"/>
      </w:pPr>
      <w:r>
        <w:tab/>
        <w:t>(b)</w:t>
      </w:r>
      <w:r>
        <w:tab/>
        <w:t>for the construction on the strata lot, after liability for duty on the agreement arises, of a building for commercial, residential or mixed use purposes.</w:t>
      </w:r>
    </w:p>
    <w:p>
      <w:pPr>
        <w:pStyle w:val="Heading5"/>
      </w:pPr>
      <w:bookmarkStart w:id="517" w:name="_Toc201998294"/>
      <w:bookmarkStart w:id="518" w:name="_Toc265588432"/>
      <w:bookmarkStart w:id="519" w:name="_Toc265579932"/>
      <w:r>
        <w:rPr>
          <w:rStyle w:val="CharSectno"/>
        </w:rPr>
        <w:t>91</w:t>
      </w:r>
      <w:r>
        <w:t>.</w:t>
      </w:r>
      <w:r>
        <w:tab/>
        <w:t>The term “subdivision conditional agreement”</w:t>
      </w:r>
      <w:bookmarkEnd w:id="517"/>
      <w:bookmarkEnd w:id="518"/>
      <w:bookmarkEnd w:id="519"/>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520" w:name="_Toc201998295"/>
      <w:bookmarkStart w:id="521" w:name="_Toc201999551"/>
      <w:bookmarkStart w:id="522" w:name="_Toc202172070"/>
      <w:bookmarkStart w:id="523" w:name="_Toc202172478"/>
      <w:bookmarkStart w:id="524" w:name="_Toc202428708"/>
      <w:bookmarkStart w:id="525" w:name="_Toc264020568"/>
      <w:bookmarkStart w:id="526" w:name="_Toc264024921"/>
      <w:bookmarkStart w:id="527" w:name="_Toc265579933"/>
      <w:bookmarkStart w:id="528" w:name="_Toc265588015"/>
      <w:bookmarkStart w:id="529" w:name="_Toc265588433"/>
      <w:r>
        <w:rPr>
          <w:rStyle w:val="CharDivNo"/>
          <w:sz w:val="28"/>
        </w:rPr>
        <w:t>Part 6</w:t>
      </w:r>
      <w:r>
        <w:rPr>
          <w:sz w:val="28"/>
        </w:rPr>
        <w:t> — </w:t>
      </w:r>
      <w:r>
        <w:rPr>
          <w:rStyle w:val="CharDivText"/>
          <w:sz w:val="28"/>
        </w:rPr>
        <w:t>Exemptions, nominal duty and concessions</w:t>
      </w:r>
      <w:bookmarkEnd w:id="520"/>
      <w:bookmarkEnd w:id="521"/>
      <w:bookmarkEnd w:id="522"/>
      <w:bookmarkEnd w:id="523"/>
      <w:bookmarkEnd w:id="524"/>
      <w:bookmarkEnd w:id="525"/>
      <w:bookmarkEnd w:id="526"/>
      <w:bookmarkEnd w:id="527"/>
      <w:bookmarkEnd w:id="528"/>
      <w:bookmarkEnd w:id="529"/>
    </w:p>
    <w:p>
      <w:pPr>
        <w:pStyle w:val="Heading4"/>
        <w:rPr>
          <w:sz w:val="26"/>
        </w:rPr>
      </w:pPr>
      <w:bookmarkStart w:id="530" w:name="_Toc201998296"/>
      <w:bookmarkStart w:id="531" w:name="_Toc201999552"/>
      <w:bookmarkStart w:id="532" w:name="_Toc202172071"/>
      <w:bookmarkStart w:id="533" w:name="_Toc202172479"/>
      <w:bookmarkStart w:id="534" w:name="_Toc202428709"/>
      <w:bookmarkStart w:id="535" w:name="_Toc264020569"/>
      <w:bookmarkStart w:id="536" w:name="_Toc264024922"/>
      <w:bookmarkStart w:id="537" w:name="_Toc265579934"/>
      <w:bookmarkStart w:id="538" w:name="_Toc265588016"/>
      <w:bookmarkStart w:id="539" w:name="_Toc265588434"/>
      <w:r>
        <w:rPr>
          <w:sz w:val="26"/>
        </w:rPr>
        <w:t>Division 1 — Exemptions</w:t>
      </w:r>
      <w:bookmarkEnd w:id="530"/>
      <w:bookmarkEnd w:id="531"/>
      <w:bookmarkEnd w:id="532"/>
      <w:bookmarkEnd w:id="533"/>
      <w:bookmarkEnd w:id="534"/>
      <w:bookmarkEnd w:id="535"/>
      <w:bookmarkEnd w:id="536"/>
      <w:bookmarkEnd w:id="537"/>
      <w:bookmarkEnd w:id="538"/>
      <w:bookmarkEnd w:id="539"/>
    </w:p>
    <w:p>
      <w:pPr>
        <w:pStyle w:val="MiscellaneousHeading"/>
        <w:rPr>
          <w:b/>
          <w:bCs/>
        </w:rPr>
      </w:pPr>
      <w:r>
        <w:rPr>
          <w:b/>
          <w:bCs/>
        </w:rPr>
        <w:t>Subdivision 1 — Exemptions for public and governmental purposes</w:t>
      </w:r>
    </w:p>
    <w:p>
      <w:pPr>
        <w:pStyle w:val="Heading5"/>
      </w:pPr>
      <w:bookmarkStart w:id="540" w:name="_Toc201998297"/>
      <w:bookmarkStart w:id="541" w:name="_Toc265588435"/>
      <w:bookmarkStart w:id="542" w:name="_Toc265579935"/>
      <w:r>
        <w:rPr>
          <w:rStyle w:val="CharSectno"/>
        </w:rPr>
        <w:t>92</w:t>
      </w:r>
      <w:r>
        <w:t>.</w:t>
      </w:r>
      <w:r>
        <w:tab/>
        <w:t>Declaration of public authorities as exempt bodies</w:t>
      </w:r>
      <w:bookmarkEnd w:id="540"/>
      <w:bookmarkEnd w:id="541"/>
      <w:bookmarkEnd w:id="542"/>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There are other exempt bodies.  See the definition of “exempt body”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543" w:name="_Toc201998298"/>
      <w:bookmarkStart w:id="544" w:name="_Toc265588436"/>
      <w:bookmarkStart w:id="545" w:name="_Toc265579936"/>
      <w:r>
        <w:rPr>
          <w:rStyle w:val="CharSectno"/>
        </w:rPr>
        <w:t>93</w:t>
      </w:r>
      <w:r>
        <w:t>.</w:t>
      </w:r>
      <w:r>
        <w:tab/>
        <w:t>No duty if an exempt body would be solely liable</w:t>
      </w:r>
      <w:bookmarkEnd w:id="543"/>
      <w:bookmarkEnd w:id="544"/>
      <w:bookmarkEnd w:id="545"/>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546" w:name="_Toc201998299"/>
      <w:bookmarkStart w:id="547" w:name="_Toc265588437"/>
      <w:bookmarkStart w:id="548" w:name="_Toc265579937"/>
      <w:r>
        <w:rPr>
          <w:rStyle w:val="CharSectno"/>
        </w:rPr>
        <w:t>94</w:t>
      </w:r>
      <w:r>
        <w:t>.</w:t>
      </w:r>
      <w:r>
        <w:tab/>
        <w:t>Duty reduction and liability if an exempt body and another party would be liable</w:t>
      </w:r>
      <w:bookmarkEnd w:id="546"/>
      <w:bookmarkEnd w:id="547"/>
      <w:bookmarkEnd w:id="548"/>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993"/>
        <w:rPr>
          <w:del w:id="549" w:author="svcMRProcess" w:date="2020-02-15T03:25:00Z"/>
        </w:rPr>
      </w:pPr>
      <w:del w:id="550" w:author="svcMRProcess" w:date="2020-02-15T03:25:00Z">
        <w:r>
          <w:rPr>
            <w:position w:val="-10"/>
            <w:lang w:eastAsia="en-AU"/>
          </w:rPr>
          <w:drawing>
            <wp:inline distT="0" distB="0" distL="0" distR="0">
              <wp:extent cx="1345565" cy="215900"/>
              <wp:effectExtent l="0" t="0" r="698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45565" cy="215900"/>
                      </a:xfrm>
                      <a:prstGeom prst="rect">
                        <a:avLst/>
                      </a:prstGeom>
                      <a:noFill/>
                      <a:ln>
                        <a:noFill/>
                      </a:ln>
                    </pic:spPr>
                  </pic:pic>
                </a:graphicData>
              </a:graphic>
            </wp:inline>
          </w:drawing>
        </w:r>
      </w:del>
    </w:p>
    <w:p>
      <w:pPr>
        <w:pStyle w:val="Equation"/>
        <w:spacing w:before="80"/>
        <w:ind w:left="993"/>
        <w:rPr>
          <w:ins w:id="551" w:author="svcMRProcess" w:date="2020-02-15T03:25:00Z"/>
        </w:rPr>
      </w:pPr>
      <w:ins w:id="552" w:author="svcMRProcess" w:date="2020-02-15T03:25:00Z">
        <w:r>
          <w:rPr>
            <w:position w:val="-10"/>
            <w:lang w:eastAsia="en-AU"/>
          </w:rPr>
          <w:drawing>
            <wp:inline distT="0" distB="0" distL="0" distR="0">
              <wp:extent cx="1346200" cy="219710"/>
              <wp:effectExtent l="0" t="0" r="635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46200" cy="219710"/>
                      </a:xfrm>
                      <a:prstGeom prst="rect">
                        <a:avLst/>
                      </a:prstGeom>
                      <a:noFill/>
                      <a:ln>
                        <a:noFill/>
                      </a:ln>
                    </pic:spPr>
                  </pic:pic>
                </a:graphicData>
              </a:graphic>
            </wp:inline>
          </w:drawing>
        </w:r>
      </w:ins>
    </w:p>
    <w:p>
      <w:pPr>
        <w:pStyle w:val="Subsection"/>
      </w:pPr>
      <w:r>
        <w:tab/>
      </w:r>
      <w:r>
        <w:tab/>
        <w:t>where —</w:t>
      </w:r>
    </w:p>
    <w:p>
      <w:pPr>
        <w:pStyle w:val="Subsection"/>
      </w:pPr>
      <w:r>
        <w:tab/>
      </w:r>
      <w:r>
        <w:tab/>
        <w:t>TD is the amount of duty that would be payable on the transaction if this section did not apply to it;</w:t>
      </w:r>
    </w:p>
    <w:p>
      <w:pPr>
        <w:pStyle w:val="Subsection"/>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ind w:left="1418" w:hanging="1418"/>
      </w:pPr>
      <w:r>
        <w:tab/>
      </w:r>
      <w:r>
        <w:tab/>
      </w:r>
      <w:del w:id="553" w:author="svcMRProcess" w:date="2020-02-15T03:25:00Z">
        <w:r>
          <w:rPr>
            <w:noProof/>
            <w:position w:val="-28"/>
            <w:lang w:eastAsia="en-AU"/>
          </w:rPr>
          <w:drawing>
            <wp:inline distT="0" distB="0" distL="0" distR="0">
              <wp:extent cx="1776730" cy="259080"/>
              <wp:effectExtent l="0" t="0" r="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76730" cy="259080"/>
                      </a:xfrm>
                      <a:prstGeom prst="rect">
                        <a:avLst/>
                      </a:prstGeom>
                      <a:noFill/>
                      <a:ln>
                        <a:noFill/>
                      </a:ln>
                    </pic:spPr>
                  </pic:pic>
                </a:graphicData>
              </a:graphic>
            </wp:inline>
          </w:drawing>
        </w:r>
      </w:del>
      <w:ins w:id="554" w:author="svcMRProcess" w:date="2020-02-15T03:25:00Z">
        <w:r>
          <w:rPr>
            <w:noProof/>
            <w:position w:val="-28"/>
            <w:lang w:eastAsia="en-AU"/>
          </w:rPr>
          <w:drawing>
            <wp:inline distT="0" distB="0" distL="0" distR="0">
              <wp:extent cx="1777365" cy="263525"/>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77365" cy="263525"/>
                      </a:xfrm>
                      <a:prstGeom prst="rect">
                        <a:avLst/>
                      </a:prstGeom>
                      <a:noFill/>
                      <a:ln>
                        <a:noFill/>
                      </a:ln>
                    </pic:spPr>
                  </pic:pic>
                </a:graphicData>
              </a:graphic>
            </wp:inline>
          </w:drawing>
        </w:r>
      </w:ins>
    </w:p>
    <w:p>
      <w:pPr>
        <w:pStyle w:val="NotesPerm"/>
        <w:tabs>
          <w:tab w:val="left" w:pos="1418"/>
        </w:tabs>
        <w:ind w:left="1418" w:hanging="1418"/>
      </w:pPr>
      <w:r>
        <w:tab/>
      </w:r>
      <w:r>
        <w:tab/>
        <w:t>This amount (i.e. $1 800) is the amount of transfer duty payable by the other party.</w:t>
      </w:r>
    </w:p>
    <w:p>
      <w:pPr>
        <w:pStyle w:val="Heading5"/>
      </w:pPr>
      <w:bookmarkStart w:id="555" w:name="_Toc201998300"/>
      <w:bookmarkStart w:id="556" w:name="_Toc265588438"/>
      <w:bookmarkStart w:id="557" w:name="_Toc265579938"/>
      <w:r>
        <w:rPr>
          <w:rStyle w:val="CharSectno"/>
        </w:rPr>
        <w:t>95</w:t>
      </w:r>
      <w:r>
        <w:t>.</w:t>
      </w:r>
      <w:r>
        <w:tab/>
        <w:t>Transactions for charitable or similar public purposes are exempt transactions</w:t>
      </w:r>
      <w:bookmarkEnd w:id="555"/>
      <w:bookmarkEnd w:id="556"/>
      <w:bookmarkEnd w:id="557"/>
    </w:p>
    <w:p>
      <w:pPr>
        <w:pStyle w:val="Subsection"/>
      </w:pPr>
      <w:r>
        <w:tab/>
      </w:r>
      <w:r>
        <w:tab/>
        <w:t>Duty is not chargeable on a dutiable transaction that has been entered into or occurred for charitable or similar public purposes.</w:t>
      </w:r>
    </w:p>
    <w:p>
      <w:pPr>
        <w:pStyle w:val="MiscellaneousHeading"/>
        <w:rPr>
          <w:b/>
          <w:bCs/>
        </w:rPr>
      </w:pPr>
      <w:r>
        <w:rPr>
          <w:b/>
          <w:bCs/>
        </w:rPr>
        <w:t>Subdivision 2 — Certain transactions between spouses or de facto partners</w:t>
      </w:r>
    </w:p>
    <w:p>
      <w:pPr>
        <w:pStyle w:val="Heading5"/>
      </w:pPr>
      <w:bookmarkStart w:id="558" w:name="_Toc201998301"/>
      <w:bookmarkStart w:id="559" w:name="_Toc265588439"/>
      <w:bookmarkStart w:id="560" w:name="_Toc265579939"/>
      <w:r>
        <w:rPr>
          <w:rStyle w:val="CharSectno"/>
        </w:rPr>
        <w:t>96</w:t>
      </w:r>
      <w:r>
        <w:t>.</w:t>
      </w:r>
      <w:r>
        <w:tab/>
        <w:t>Terms used in this Subdivision</w:t>
      </w:r>
      <w:bookmarkEnd w:id="558"/>
      <w:bookmarkEnd w:id="559"/>
      <w:bookmarkEnd w:id="560"/>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pPr>
      <w:bookmarkStart w:id="561" w:name="_Toc201998302"/>
      <w:bookmarkStart w:id="562" w:name="_Toc265588440"/>
      <w:bookmarkStart w:id="563" w:name="_Toc265579940"/>
      <w:r>
        <w:rPr>
          <w:rStyle w:val="CharSectno"/>
        </w:rPr>
        <w:t>97</w:t>
      </w:r>
      <w:r>
        <w:t>.</w:t>
      </w:r>
      <w:r>
        <w:tab/>
        <w:t>Transactions between spouses or de facto partners that are exempt transactions</w:t>
      </w:r>
      <w:bookmarkEnd w:id="561"/>
      <w:bookmarkEnd w:id="562"/>
      <w:bookmarkEnd w:id="563"/>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564" w:name="_Toc201998303"/>
      <w:bookmarkStart w:id="565" w:name="_Toc265588441"/>
      <w:bookmarkStart w:id="566" w:name="_Toc265579941"/>
      <w:r>
        <w:rPr>
          <w:rStyle w:val="CharSectno"/>
        </w:rPr>
        <w:t>98</w:t>
      </w:r>
      <w:r>
        <w:t>.</w:t>
      </w:r>
      <w:r>
        <w:tab/>
        <w:t>Application for exemption under this Subdivision</w:t>
      </w:r>
      <w:bookmarkEnd w:id="564"/>
      <w:bookmarkEnd w:id="565"/>
      <w:bookmarkEnd w:id="566"/>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MiscellaneousHeading"/>
        <w:rPr>
          <w:b/>
          <w:bCs/>
        </w:rPr>
      </w:pPr>
      <w:r>
        <w:rPr>
          <w:b/>
          <w:bCs/>
        </w:rPr>
        <w:t>Subdivision 3 — Family farm transactions</w:t>
      </w:r>
    </w:p>
    <w:p>
      <w:pPr>
        <w:pStyle w:val="Heading5"/>
      </w:pPr>
      <w:bookmarkStart w:id="567" w:name="_Toc201998304"/>
      <w:bookmarkStart w:id="568" w:name="_Toc265588442"/>
      <w:bookmarkStart w:id="569" w:name="_Toc265579942"/>
      <w:r>
        <w:rPr>
          <w:rStyle w:val="CharSectno"/>
        </w:rPr>
        <w:t>99</w:t>
      </w:r>
      <w:r>
        <w:t>.</w:t>
      </w:r>
      <w:r>
        <w:tab/>
        <w:t>Terms used in this Subdivision</w:t>
      </w:r>
      <w:bookmarkEnd w:id="567"/>
      <w:bookmarkEnd w:id="568"/>
      <w:bookmarkEnd w:id="569"/>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Western Australia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570" w:name="_Toc201998305"/>
      <w:bookmarkStart w:id="571" w:name="_Toc265588443"/>
      <w:bookmarkStart w:id="572" w:name="_Toc265579943"/>
      <w:r>
        <w:rPr>
          <w:rStyle w:val="CharSectno"/>
        </w:rPr>
        <w:t>100</w:t>
      </w:r>
      <w:r>
        <w:t>.</w:t>
      </w:r>
      <w:r>
        <w:tab/>
        <w:t>The term “family member”</w:t>
      </w:r>
      <w:bookmarkEnd w:id="570"/>
      <w:bookmarkEnd w:id="571"/>
      <w:bookmarkEnd w:id="572"/>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pPr>
      <w:r>
        <w:tab/>
      </w:r>
      <w:r>
        <w:tab/>
        <w:t>or more than one of them.</w:t>
      </w:r>
    </w:p>
    <w:p>
      <w:pPr>
        <w:pStyle w:val="Heading5"/>
      </w:pPr>
      <w:bookmarkStart w:id="573" w:name="_Toc201998306"/>
      <w:bookmarkStart w:id="574" w:name="_Toc265588444"/>
      <w:bookmarkStart w:id="575" w:name="_Toc265579944"/>
      <w:r>
        <w:rPr>
          <w:rStyle w:val="CharSectno"/>
        </w:rPr>
        <w:t>101</w:t>
      </w:r>
      <w:r>
        <w:t>.</w:t>
      </w:r>
      <w:r>
        <w:tab/>
        <w:t>The term “transferee”</w:t>
      </w:r>
      <w:bookmarkEnd w:id="573"/>
      <w:bookmarkEnd w:id="574"/>
      <w:bookmarkEnd w:id="575"/>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pPr>
      <w:bookmarkStart w:id="576" w:name="_Toc201998307"/>
      <w:bookmarkStart w:id="577" w:name="_Toc265588445"/>
      <w:bookmarkStart w:id="578" w:name="_Toc265579945"/>
      <w:r>
        <w:rPr>
          <w:rStyle w:val="CharSectno"/>
        </w:rPr>
        <w:t>102</w:t>
      </w:r>
      <w:r>
        <w:t>.</w:t>
      </w:r>
      <w:r>
        <w:tab/>
        <w:t>Transactions between family members for farming property that are exempt family farm transactions</w:t>
      </w:r>
      <w:bookmarkEnd w:id="576"/>
      <w:bookmarkEnd w:id="577"/>
      <w:bookmarkEnd w:id="578"/>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pPr>
      <w:r>
        <w:tab/>
        <w:t>(5)</w:t>
      </w:r>
      <w:r>
        <w:tab/>
        <w:t xml:space="preserve">In subsection (3), a transferee is related to an entity if — </w:t>
      </w:r>
    </w:p>
    <w:p>
      <w:pPr>
        <w:pStyle w:val="Indenta"/>
      </w:pPr>
      <w:r>
        <w:tab/>
        <w:t>(a)</w:t>
      </w:r>
      <w:r>
        <w:tab/>
        <w:t xml:space="preserve">the transferee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 xml:space="preserve">the transferee has a share or interest in trust property, whether vested or contingent, held by the trustee of a discretionary trust and — </w:t>
      </w:r>
    </w:p>
    <w:p>
      <w:pPr>
        <w:pStyle w:val="Indenti"/>
      </w:pPr>
      <w:r>
        <w:tab/>
        <w:t>(i)</w:t>
      </w:r>
      <w:r>
        <w:tab/>
        <w:t>every other person who holds such a share or interest in that property, or who may benefit from that trust, is a family member of the transferor; and</w:t>
      </w:r>
    </w:p>
    <w:p>
      <w:pPr>
        <w:pStyle w:val="Indenti"/>
      </w:pPr>
      <w:r>
        <w:tab/>
        <w:t>(ii)</w:t>
      </w:r>
      <w:r>
        <w:tab/>
        <w:t>the transferor does not control the trust;</w:t>
      </w:r>
    </w:p>
    <w:p>
      <w:pPr>
        <w:pStyle w:val="Indenta"/>
      </w:pPr>
      <w:r>
        <w:tab/>
      </w:r>
      <w:r>
        <w:tab/>
        <w:t>or</w:t>
      </w:r>
    </w:p>
    <w:p>
      <w:pPr>
        <w:pStyle w:val="Indenta"/>
      </w:pPr>
      <w:r>
        <w:tab/>
        <w:t>(c)</w:t>
      </w:r>
      <w:r>
        <w:tab/>
        <w:t>the transferee holds units in a unit trust scheme and every other person who holds a unit in that unit trust scheme is a family member of the transferor; or</w:t>
      </w:r>
    </w:p>
    <w:p>
      <w:pPr>
        <w:pStyle w:val="Indenta"/>
      </w:pPr>
      <w:r>
        <w:tab/>
        <w:t>(d)</w:t>
      </w:r>
      <w:r>
        <w:tab/>
        <w:t>the transferee is a shareholder in a corporation in which every other shareholder is a family member of the transferor; or</w:t>
      </w:r>
    </w:p>
    <w:p>
      <w:pPr>
        <w:pStyle w:val="Indenta"/>
      </w:pPr>
      <w:r>
        <w:tab/>
        <w:t>(e)</w:t>
      </w:r>
      <w:r>
        <w:tab/>
        <w:t>the transferee is a partner in a partnership in which every other partner is a family member of the transferor.</w:t>
      </w:r>
    </w:p>
    <w:p>
      <w:pPr>
        <w:pStyle w:val="Subsection"/>
      </w:pPr>
      <w:r>
        <w:tab/>
        <w:t>(6)</w:t>
      </w:r>
      <w:r>
        <w:tab/>
        <w:t>For the purposes of subsection (2), a farming property is being used in the business of primary production even if —</w:t>
      </w:r>
    </w:p>
    <w:p>
      <w:pPr>
        <w:pStyle w:val="Indenta"/>
      </w:pPr>
      <w:r>
        <w:tab/>
        <w:t>(a)</w:t>
      </w:r>
      <w:r>
        <w:tab/>
        <w:t>some, but not all, of the farming land of that property is leased to another person; and</w:t>
      </w:r>
    </w:p>
    <w:p>
      <w:pPr>
        <w:pStyle w:val="Indenta"/>
      </w:pPr>
      <w:r>
        <w:tab/>
        <w:t>(b)</w:t>
      </w:r>
      <w:r>
        <w:tab/>
        <w:t>under the lease, the lessee is using the leased land solely or dominantly for the purposes of silviculture or reafforestation.</w:t>
      </w:r>
    </w:p>
    <w:p>
      <w:pPr>
        <w:pStyle w:val="Heading5"/>
      </w:pPr>
      <w:bookmarkStart w:id="579" w:name="_Toc201998308"/>
      <w:bookmarkStart w:id="580" w:name="_Toc265588446"/>
      <w:bookmarkStart w:id="581" w:name="_Toc265579946"/>
      <w:r>
        <w:rPr>
          <w:rStyle w:val="CharSectno"/>
        </w:rPr>
        <w:t>103</w:t>
      </w:r>
      <w:r>
        <w:t>.</w:t>
      </w:r>
      <w:r>
        <w:tab/>
        <w:t>No duty on exempt family farm transactions</w:t>
      </w:r>
      <w:bookmarkEnd w:id="579"/>
      <w:bookmarkEnd w:id="580"/>
      <w:bookmarkEnd w:id="581"/>
    </w:p>
    <w:p>
      <w:pPr>
        <w:pStyle w:val="Subsection"/>
      </w:pPr>
      <w:r>
        <w:tab/>
      </w:r>
      <w:r>
        <w:tab/>
        <w:t>Duty is not chargeable on an exempt family farm transaction.</w:t>
      </w:r>
    </w:p>
    <w:p>
      <w:pPr>
        <w:pStyle w:val="Heading5"/>
      </w:pPr>
      <w:bookmarkStart w:id="582" w:name="_Toc201998309"/>
      <w:bookmarkStart w:id="583" w:name="_Toc265588447"/>
      <w:bookmarkStart w:id="584" w:name="_Toc265579947"/>
      <w:r>
        <w:rPr>
          <w:rStyle w:val="CharSectno"/>
        </w:rPr>
        <w:t>104</w:t>
      </w:r>
      <w:r>
        <w:t>.</w:t>
      </w:r>
      <w:r>
        <w:tab/>
        <w:t>No exemption for subsequent transactions for the same farming property within 5 years</w:t>
      </w:r>
      <w:bookmarkEnd w:id="582"/>
      <w:bookmarkEnd w:id="583"/>
      <w:bookmarkEnd w:id="584"/>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585" w:name="_Toc201998310"/>
      <w:bookmarkStart w:id="586" w:name="_Toc265588448"/>
      <w:bookmarkStart w:id="587" w:name="_Toc265579948"/>
      <w:r>
        <w:rPr>
          <w:rStyle w:val="CharSectno"/>
        </w:rPr>
        <w:t>105</w:t>
      </w:r>
      <w:r>
        <w:t>.</w:t>
      </w:r>
      <w:r>
        <w:tab/>
        <w:t>Subsequent liability to duty in certain circumstances</w:t>
      </w:r>
      <w:bookmarkEnd w:id="585"/>
      <w:bookmarkEnd w:id="586"/>
      <w:bookmarkEnd w:id="587"/>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588" w:name="_Toc201998311"/>
      <w:bookmarkStart w:id="589" w:name="_Toc265588449"/>
      <w:bookmarkStart w:id="590" w:name="_Toc265579949"/>
      <w:r>
        <w:rPr>
          <w:rStyle w:val="CharSectno"/>
        </w:rPr>
        <w:t>106</w:t>
      </w:r>
      <w:r>
        <w:t>.</w:t>
      </w:r>
      <w:r>
        <w:tab/>
        <w:t>Application for an exemption under this Subdivision</w:t>
      </w:r>
      <w:bookmarkEnd w:id="588"/>
      <w:bookmarkEnd w:id="589"/>
      <w:bookmarkEnd w:id="590"/>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rPr>
          <w:b/>
          <w:bCs/>
        </w:rPr>
      </w:pPr>
      <w:r>
        <w:rPr>
          <w:b/>
          <w:bCs/>
        </w:rPr>
        <w:t>Subdivision 4 — Other exempt transactions</w:t>
      </w:r>
    </w:p>
    <w:p>
      <w:pPr>
        <w:pStyle w:val="Heading5"/>
      </w:pPr>
      <w:bookmarkStart w:id="591" w:name="_Toc201998312"/>
      <w:bookmarkStart w:id="592" w:name="_Toc265588450"/>
      <w:bookmarkStart w:id="593" w:name="_Toc265579950"/>
      <w:r>
        <w:rPr>
          <w:rStyle w:val="CharSectno"/>
        </w:rPr>
        <w:t>107</w:t>
      </w:r>
      <w:r>
        <w:t>.</w:t>
      </w:r>
      <w:r>
        <w:tab/>
        <w:t>Cancelled transactions</w:t>
      </w:r>
      <w:bookmarkEnd w:id="591"/>
      <w:bookmarkEnd w:id="592"/>
      <w:bookmarkEnd w:id="593"/>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pPr>
      <w:r>
        <w:tab/>
        <w:t>(2)</w:t>
      </w:r>
      <w:r>
        <w:tab/>
        <w:t xml:space="preserve">A reference to a cancelled transaction is to a dutiable transaction that has not,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Heading5"/>
      </w:pPr>
      <w:bookmarkStart w:id="594" w:name="_Toc201998313"/>
      <w:bookmarkStart w:id="595" w:name="_Toc265588451"/>
      <w:bookmarkStart w:id="596" w:name="_Toc265579951"/>
      <w:r>
        <w:rPr>
          <w:rStyle w:val="CharSectno"/>
        </w:rPr>
        <w:t>108</w:t>
      </w:r>
      <w:r>
        <w:t>.</w:t>
      </w:r>
      <w:r>
        <w:tab/>
        <w:t>Bankruptcy transactions</w:t>
      </w:r>
      <w:bookmarkEnd w:id="594"/>
      <w:bookmarkEnd w:id="595"/>
      <w:bookmarkEnd w:id="596"/>
    </w:p>
    <w:p>
      <w:pPr>
        <w:pStyle w:val="Subsection"/>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pPr>
      <w:bookmarkStart w:id="597" w:name="_Toc201998314"/>
      <w:bookmarkStart w:id="598" w:name="_Toc265588452"/>
      <w:bookmarkStart w:id="599" w:name="_Toc265579952"/>
      <w:r>
        <w:rPr>
          <w:rStyle w:val="CharSectno"/>
        </w:rPr>
        <w:t>109</w:t>
      </w:r>
      <w:r>
        <w:t>.</w:t>
      </w:r>
      <w:r>
        <w:tab/>
        <w:t>Transactions involving representatives of another country</w:t>
      </w:r>
      <w:bookmarkEnd w:id="597"/>
      <w:bookmarkEnd w:id="598"/>
      <w:bookmarkEnd w:id="599"/>
    </w:p>
    <w:p>
      <w:pPr>
        <w:pStyle w:val="Subsection"/>
      </w:pPr>
      <w:r>
        <w:tab/>
      </w:r>
      <w:r>
        <w:tab/>
        <w:t>Duty is not chargeable on a transfer of, or an agreement for the transfer of, dutiable property to a representative in Australia of the Government of another country, a foreign consul, or a trade commissioner of another country, if that property is intended for official use.</w:t>
      </w:r>
    </w:p>
    <w:p>
      <w:pPr>
        <w:pStyle w:val="Heading5"/>
      </w:pPr>
      <w:bookmarkStart w:id="600" w:name="_Toc201998315"/>
      <w:bookmarkStart w:id="601" w:name="_Toc265588453"/>
      <w:bookmarkStart w:id="602" w:name="_Toc265579953"/>
      <w:r>
        <w:rPr>
          <w:rStyle w:val="CharSectno"/>
        </w:rPr>
        <w:t>110</w:t>
      </w:r>
      <w:r>
        <w:t>.</w:t>
      </w:r>
      <w:r>
        <w:tab/>
      </w:r>
      <w:r>
        <w:rPr>
          <w:i/>
          <w:iCs/>
        </w:rPr>
        <w:t xml:space="preserve">Financial Sector (Business Transfer and Group Restructure) Act 1999 </w:t>
      </w:r>
      <w:r>
        <w:t>Part 4 transactions</w:t>
      </w:r>
      <w:bookmarkEnd w:id="600"/>
      <w:bookmarkEnd w:id="601"/>
      <w:bookmarkEnd w:id="602"/>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603" w:name="_Toc201998316"/>
      <w:bookmarkStart w:id="604" w:name="_Toc265588454"/>
      <w:bookmarkStart w:id="605" w:name="_Toc265579954"/>
      <w:r>
        <w:rPr>
          <w:rStyle w:val="CharSectno"/>
        </w:rPr>
        <w:t>111</w:t>
      </w:r>
      <w:r>
        <w:t>.</w:t>
      </w:r>
      <w:r>
        <w:tab/>
        <w:t>Special disability trust transactions</w:t>
      </w:r>
      <w:bookmarkEnd w:id="603"/>
      <w:bookmarkEnd w:id="604"/>
      <w:bookmarkEnd w:id="605"/>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606" w:name="_Toc201998317"/>
      <w:bookmarkStart w:id="607" w:name="_Toc265588455"/>
      <w:bookmarkStart w:id="608" w:name="_Toc265579955"/>
      <w:r>
        <w:rPr>
          <w:rStyle w:val="CharSectno"/>
        </w:rPr>
        <w:t>112</w:t>
      </w:r>
      <w:r>
        <w:t>.</w:t>
      </w:r>
      <w:r>
        <w:tab/>
        <w:t>Transactions under other Acts</w:t>
      </w:r>
      <w:bookmarkEnd w:id="606"/>
      <w:bookmarkEnd w:id="607"/>
      <w:bookmarkEnd w:id="608"/>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pPr>
      <w:r>
        <w:tab/>
        <w:t>(a)</w:t>
      </w:r>
      <w:r>
        <w:tab/>
        <w:t xml:space="preserve">pursuant to a request under the </w:t>
      </w:r>
      <w:r>
        <w:rPr>
          <w:i/>
          <w:iCs/>
        </w:rPr>
        <w:t>Public Works Act 1902</w:t>
      </w:r>
      <w:r>
        <w:t xml:space="preserve"> section 45A; or</w:t>
      </w:r>
    </w:p>
    <w:p>
      <w:pPr>
        <w:pStyle w:val="Indenta"/>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t>.</w:t>
      </w:r>
    </w:p>
    <w:p>
      <w:pPr>
        <w:pStyle w:val="Subsection"/>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609" w:name="_Toc201998318"/>
      <w:bookmarkStart w:id="610" w:name="_Toc265588456"/>
      <w:bookmarkStart w:id="611" w:name="_Toc265579956"/>
      <w:r>
        <w:rPr>
          <w:rStyle w:val="CharSectno"/>
        </w:rPr>
        <w:t>113</w:t>
      </w:r>
      <w:r>
        <w:t>.</w:t>
      </w:r>
      <w:r>
        <w:tab/>
        <w:t>Transactions effected by a matrimonial instrument or a de facto relationship instrument</w:t>
      </w:r>
      <w:bookmarkEnd w:id="609"/>
      <w:bookmarkEnd w:id="610"/>
      <w:bookmarkEnd w:id="611"/>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612" w:name="_Toc201998319"/>
      <w:bookmarkStart w:id="613" w:name="_Toc201999575"/>
      <w:bookmarkStart w:id="614" w:name="_Toc202172094"/>
      <w:bookmarkStart w:id="615" w:name="_Toc202172502"/>
      <w:bookmarkStart w:id="616" w:name="_Toc202428732"/>
      <w:bookmarkStart w:id="617" w:name="_Toc264020592"/>
      <w:bookmarkStart w:id="618" w:name="_Toc264024945"/>
      <w:bookmarkStart w:id="619" w:name="_Toc265579957"/>
      <w:bookmarkStart w:id="620" w:name="_Toc265588039"/>
      <w:bookmarkStart w:id="621" w:name="_Toc265588457"/>
      <w:r>
        <w:rPr>
          <w:sz w:val="26"/>
        </w:rPr>
        <w:t>Division 2 — Nominal duty</w:t>
      </w:r>
      <w:bookmarkEnd w:id="612"/>
      <w:bookmarkEnd w:id="613"/>
      <w:bookmarkEnd w:id="614"/>
      <w:bookmarkEnd w:id="615"/>
      <w:bookmarkEnd w:id="616"/>
      <w:bookmarkEnd w:id="617"/>
      <w:bookmarkEnd w:id="618"/>
      <w:bookmarkEnd w:id="619"/>
      <w:bookmarkEnd w:id="620"/>
      <w:bookmarkEnd w:id="621"/>
      <w:r>
        <w:rPr>
          <w:sz w:val="26"/>
        </w:rPr>
        <w:t xml:space="preserve"> </w:t>
      </w:r>
    </w:p>
    <w:p>
      <w:pPr>
        <w:pStyle w:val="MiscellaneousHeading"/>
        <w:rPr>
          <w:b/>
          <w:bCs/>
        </w:rPr>
      </w:pPr>
      <w:r>
        <w:rPr>
          <w:b/>
          <w:bCs/>
        </w:rPr>
        <w:t>Subdivision 1 — Certain trust transactions</w:t>
      </w:r>
    </w:p>
    <w:p>
      <w:pPr>
        <w:pStyle w:val="Heading5"/>
      </w:pPr>
      <w:bookmarkStart w:id="622" w:name="_Toc201998320"/>
      <w:bookmarkStart w:id="623" w:name="_Toc265588458"/>
      <w:bookmarkStart w:id="624" w:name="_Toc265579958"/>
      <w:r>
        <w:rPr>
          <w:rStyle w:val="CharSectno"/>
        </w:rPr>
        <w:t>114</w:t>
      </w:r>
      <w:r>
        <w:t>.</w:t>
      </w:r>
      <w:r>
        <w:tab/>
        <w:t>Certain dutiable transactions on vesting or termination of discretionary trust</w:t>
      </w:r>
      <w:bookmarkEnd w:id="622"/>
      <w:bookmarkEnd w:id="623"/>
      <w:bookmarkEnd w:id="624"/>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pPr>
      <w:bookmarkStart w:id="625" w:name="_Toc201998321"/>
      <w:bookmarkStart w:id="626" w:name="_Toc265588459"/>
      <w:bookmarkStart w:id="627" w:name="_Toc265579959"/>
      <w:r>
        <w:rPr>
          <w:rStyle w:val="CharSectno"/>
        </w:rPr>
        <w:t>115</w:t>
      </w:r>
      <w:r>
        <w:t>.</w:t>
      </w:r>
      <w:r>
        <w:tab/>
        <w:t>Certain dutiable transactions on exercise of power of appointment by trustee of discretionary trust</w:t>
      </w:r>
      <w:bookmarkEnd w:id="625"/>
      <w:bookmarkEnd w:id="626"/>
      <w:bookmarkEnd w:id="627"/>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120"/>
      </w:pPr>
      <w:bookmarkStart w:id="628" w:name="_Toc201998322"/>
      <w:bookmarkStart w:id="629" w:name="_Toc265588460"/>
      <w:bookmarkStart w:id="630" w:name="_Toc265579960"/>
      <w:r>
        <w:rPr>
          <w:rStyle w:val="CharSectno"/>
        </w:rPr>
        <w:t>116</w:t>
      </w:r>
      <w:r>
        <w:t>.</w:t>
      </w:r>
      <w:r>
        <w:tab/>
        <w:t>Transfer of, or agreement for the transfer of, dutiable property to a beneficiary</w:t>
      </w:r>
      <w:bookmarkEnd w:id="628"/>
      <w:bookmarkEnd w:id="629"/>
      <w:bookmarkEnd w:id="630"/>
    </w:p>
    <w:p>
      <w:pPr>
        <w:pStyle w:val="Subsection"/>
        <w:spacing w:before="100"/>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spacing w:before="120"/>
      </w:pPr>
      <w:bookmarkStart w:id="631" w:name="_Toc201998323"/>
      <w:bookmarkStart w:id="632" w:name="_Toc265588461"/>
      <w:bookmarkStart w:id="633" w:name="_Toc265579961"/>
      <w:r>
        <w:rPr>
          <w:rStyle w:val="CharSectno"/>
        </w:rPr>
        <w:t>117</w:t>
      </w:r>
      <w:r>
        <w:t>.</w:t>
      </w:r>
      <w:r>
        <w:tab/>
        <w:t>Property vested in an apparent purchaser</w:t>
      </w:r>
      <w:bookmarkEnd w:id="631"/>
      <w:bookmarkEnd w:id="632"/>
      <w:bookmarkEnd w:id="633"/>
    </w:p>
    <w:p>
      <w:pPr>
        <w:pStyle w:val="Subsection"/>
        <w:spacing w:before="100"/>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spacing w:before="100"/>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pPr>
      <w:bookmarkStart w:id="634" w:name="_Toc201998324"/>
      <w:bookmarkStart w:id="635" w:name="_Toc265588462"/>
      <w:bookmarkStart w:id="636" w:name="_Toc265579962"/>
      <w:r>
        <w:rPr>
          <w:rStyle w:val="CharSectno"/>
        </w:rPr>
        <w:t>118</w:t>
      </w:r>
      <w:r>
        <w:t>.</w:t>
      </w:r>
      <w:r>
        <w:tab/>
        <w:t>Transfer to and from a trustee</w:t>
      </w:r>
      <w:bookmarkEnd w:id="634"/>
      <w:bookmarkEnd w:id="635"/>
      <w:bookmarkEnd w:id="636"/>
    </w:p>
    <w:p>
      <w:pPr>
        <w:pStyle w:val="Subsection"/>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637" w:name="_Toc201998325"/>
      <w:bookmarkStart w:id="638" w:name="_Toc265588463"/>
      <w:bookmarkStart w:id="639" w:name="_Toc265579963"/>
      <w:r>
        <w:rPr>
          <w:rStyle w:val="CharSectno"/>
        </w:rPr>
        <w:t>119</w:t>
      </w:r>
      <w:r>
        <w:t>.</w:t>
      </w:r>
      <w:r>
        <w:tab/>
        <w:t>Dutiable transactions related to changes in trustees and managed investment schemes</w:t>
      </w:r>
      <w:bookmarkEnd w:id="637"/>
      <w:bookmarkEnd w:id="638"/>
      <w:bookmarkEnd w:id="639"/>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rPr>
          <w:lang w:val="en-US"/>
        </w:rPr>
      </w:pPr>
      <w:r>
        <w:rPr>
          <w:b/>
        </w:rPr>
        <w:tab/>
      </w:r>
      <w:r>
        <w:rPr>
          <w:rStyle w:val="CharDefText"/>
        </w:rPr>
        <w:t>responsible entity</w:t>
      </w:r>
      <w:r>
        <w:t xml:space="preserve"> has the meaning given in</w:t>
      </w:r>
      <w:r>
        <w:rPr>
          <w:lang w:val="en-US"/>
        </w:rPr>
        <w:t xml:space="preserve">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rPr>
          <w:lang w:val="en-US"/>
        </w:rPr>
      </w:pPr>
      <w:r>
        <w:tab/>
        <w:t>(3)</w:t>
      </w:r>
      <w:r>
        <w:tab/>
        <w:t xml:space="preserve">Nominal duty is chargeable on </w:t>
      </w:r>
      <w:r>
        <w:rPr>
          <w:lang w:val="en-US"/>
        </w:rPr>
        <w:t xml:space="preserve">a transfer, or agreement for the transfer, of dutiable property — </w:t>
      </w:r>
    </w:p>
    <w:p>
      <w:pPr>
        <w:pStyle w:val="Indenta"/>
        <w:rPr>
          <w:lang w:val="en-US"/>
        </w:rPr>
      </w:pPr>
      <w:r>
        <w:tab/>
        <w:t>(a)</w:t>
      </w:r>
      <w:r>
        <w:tab/>
        <w:t xml:space="preserve">to a trustee as a consequence of the retirement of a trustee or the appointment of a new trustee </w:t>
      </w:r>
      <w:r>
        <w:rPr>
          <w:lang w:val="en-US"/>
        </w:rPr>
        <w:t>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pPr>
      <w:r>
        <w:tab/>
        <w:t>(b)</w:t>
      </w:r>
      <w:r>
        <w:tab/>
        <w:t>to hold the dutiable property on trust for the responsible entity of the managed investment scheme.</w:t>
      </w:r>
    </w:p>
    <w:p>
      <w:pPr>
        <w:pStyle w:val="Subsection"/>
        <w:rPr>
          <w:lang w:val="en-US"/>
        </w:rPr>
      </w:pPr>
      <w:r>
        <w:tab/>
        <w:t>(5)</w:t>
      </w:r>
      <w:r>
        <w:tab/>
        <w:t xml:space="preserve">Nominal duty is chargeable on </w:t>
      </w:r>
      <w:r>
        <w:rPr>
          <w:lang w:val="en-US"/>
        </w:rPr>
        <w:t xml:space="preserve">a transfer, or agreement for the transfer, of dutiable property — </w:t>
      </w:r>
    </w:p>
    <w:p>
      <w:pPr>
        <w:pStyle w:val="Indenta"/>
      </w:pPr>
      <w:r>
        <w:rPr>
          <w:lang w:val="en-US"/>
        </w:rPr>
        <w:tab/>
        <w:t>(a)</w:t>
      </w:r>
      <w:r>
        <w:rPr>
          <w:lang w:val="en-US"/>
        </w:rPr>
        <w:tab/>
        <w:t xml:space="preserve">from a responsible entity of a managed investment scheme </w:t>
      </w:r>
      <w:r>
        <w:t>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640" w:name="_Toc201998326"/>
      <w:bookmarkStart w:id="641" w:name="_Toc265588464"/>
      <w:bookmarkStart w:id="642" w:name="_Toc265579964"/>
      <w:r>
        <w:rPr>
          <w:rStyle w:val="CharSectno"/>
        </w:rPr>
        <w:t>120</w:t>
      </w:r>
      <w:r>
        <w:t>.</w:t>
      </w:r>
      <w:r>
        <w:tab/>
        <w:t>Transfer by way of security</w:t>
      </w:r>
      <w:bookmarkEnd w:id="640"/>
      <w:bookmarkEnd w:id="641"/>
      <w:bookmarkEnd w:id="642"/>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rPr>
          <w:b/>
          <w:bCs/>
        </w:rPr>
      </w:pPr>
      <w:r>
        <w:rPr>
          <w:b/>
          <w:bCs/>
        </w:rPr>
        <w:t>Subdivision 2 — Certain superannuation transactions</w:t>
      </w:r>
    </w:p>
    <w:p>
      <w:pPr>
        <w:pStyle w:val="Heading5"/>
      </w:pPr>
      <w:bookmarkStart w:id="643" w:name="_Toc201998327"/>
      <w:bookmarkStart w:id="644" w:name="_Toc265588465"/>
      <w:bookmarkStart w:id="645" w:name="_Toc265579965"/>
      <w:r>
        <w:rPr>
          <w:rStyle w:val="CharSectno"/>
        </w:rPr>
        <w:t>121</w:t>
      </w:r>
      <w:r>
        <w:t>.</w:t>
      </w:r>
      <w:r>
        <w:tab/>
        <w:t>Terms used in this Subdivision</w:t>
      </w:r>
      <w:bookmarkEnd w:id="643"/>
      <w:bookmarkEnd w:id="644"/>
      <w:bookmarkEnd w:id="645"/>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pPr>
      <w:r>
        <w:rPr>
          <w:b/>
        </w:rPr>
        <w:tab/>
      </w:r>
      <w:r>
        <w:rPr>
          <w:rStyle w:val="CharDefText"/>
        </w:rPr>
        <w:t>complying superannuation fund</w:t>
      </w:r>
      <w:r>
        <w:t xml:space="preserve"> means an entity that is — </w:t>
      </w:r>
    </w:p>
    <w:p>
      <w:pPr>
        <w:pStyle w:val="Defpara"/>
      </w:pPr>
      <w:r>
        <w:tab/>
        <w:t>(a)</w:t>
      </w:r>
      <w:r>
        <w:tab/>
        <w:t>a complying superannuation fund in accordance with the Commonwealth Act section 42 or 42A; or</w:t>
      </w:r>
    </w:p>
    <w:p>
      <w:pPr>
        <w:pStyle w:val="Defpara"/>
      </w:pPr>
      <w:r>
        <w:tab/>
        <w:t>(b)</w:t>
      </w:r>
      <w:r>
        <w:tab/>
        <w:t>an exempt public sector superannuation scheme within the meaning given to that term in the Commonwealth Act section 10(1);</w:t>
      </w:r>
    </w:p>
    <w:p>
      <w:pPr>
        <w:pStyle w:val="Defstart"/>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pPr>
      <w:r>
        <w:rPr>
          <w:b/>
        </w:rPr>
        <w:tab/>
      </w:r>
      <w:r>
        <w:rPr>
          <w:rStyle w:val="CharDefText"/>
        </w:rPr>
        <w:t>pooled superannuation trust</w:t>
      </w:r>
      <w:r>
        <w:t xml:space="preserve"> means an entity that is a pooled superannuation trust in accordance with the Commonwealth Act section 44;</w:t>
      </w:r>
    </w:p>
    <w:p>
      <w:pPr>
        <w:pStyle w:val="Defstart"/>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646" w:name="_Toc201998328"/>
      <w:bookmarkStart w:id="647" w:name="_Toc265588466"/>
      <w:bookmarkStart w:id="648" w:name="_Toc265579966"/>
      <w:r>
        <w:rPr>
          <w:rStyle w:val="CharSectno"/>
        </w:rPr>
        <w:t>122</w:t>
      </w:r>
      <w:r>
        <w:t>.</w:t>
      </w:r>
      <w:r>
        <w:tab/>
        <w:t>Transfer of, or agreement for the transfer of, dutiable property to a superannuation fund for consideration</w:t>
      </w:r>
      <w:bookmarkEnd w:id="646"/>
      <w:bookmarkEnd w:id="647"/>
      <w:bookmarkEnd w:id="648"/>
    </w:p>
    <w:p>
      <w:pPr>
        <w:pStyle w:val="Subsection"/>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pPr>
      <w:r>
        <w:tab/>
        <w:t>(a)</w:t>
      </w:r>
      <w:r>
        <w:tab/>
        <w:t>there is, or will be, consideration for the transfer or agreement; and</w:t>
      </w:r>
    </w:p>
    <w:p>
      <w:pPr>
        <w:pStyle w:val="Indenta"/>
      </w:pPr>
      <w:r>
        <w:tab/>
        <w:t>(b)</w:t>
      </w:r>
      <w:r>
        <w:tab/>
        <w:t xml:space="preserve">either of the following applies — </w:t>
      </w:r>
    </w:p>
    <w:p>
      <w:pPr>
        <w:pStyle w:val="Indenti"/>
      </w:pPr>
      <w:r>
        <w:tab/>
        <w:t>(i)</w:t>
      </w:r>
      <w:r>
        <w:tab/>
        <w:t>only the transferor can be a member of the superannuation fund;</w:t>
      </w:r>
    </w:p>
    <w:p>
      <w:pPr>
        <w:pStyle w:val="Indenti"/>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649" w:name="_Toc201998329"/>
      <w:bookmarkStart w:id="650" w:name="_Toc265588467"/>
      <w:bookmarkStart w:id="651" w:name="_Toc265579967"/>
      <w:r>
        <w:rPr>
          <w:rStyle w:val="CharSectno"/>
        </w:rPr>
        <w:t>123</w:t>
      </w:r>
      <w:r>
        <w:t>.</w:t>
      </w:r>
      <w:r>
        <w:tab/>
        <w:t>Subsequent liability in certain circumstances</w:t>
      </w:r>
      <w:bookmarkEnd w:id="649"/>
      <w:bookmarkEnd w:id="650"/>
      <w:bookmarkEnd w:id="651"/>
    </w:p>
    <w:p>
      <w:pPr>
        <w:pStyle w:val="Subsection"/>
      </w:pPr>
      <w:r>
        <w:tab/>
        <w:t>(1)</w:t>
      </w:r>
      <w:r>
        <w:tab/>
        <w:t xml:space="preserve">If — </w:t>
      </w:r>
    </w:p>
    <w:p>
      <w:pPr>
        <w:pStyle w:val="Indenta"/>
      </w:pPr>
      <w:r>
        <w:tab/>
        <w:t>(a)</w:t>
      </w:r>
      <w:r>
        <w:tab/>
        <w:t>after a transaction is duty endorsed under section 122; and</w:t>
      </w:r>
    </w:p>
    <w:p>
      <w:pPr>
        <w:pStyle w:val="Indenta"/>
      </w:pPr>
      <w:r>
        <w:tab/>
        <w:t>(b)</w:t>
      </w:r>
      <w:r>
        <w:tab/>
        <w:t>while the dutiable property referred to in that section, or part of it, is still held in the superannuation fund,</w:t>
      </w:r>
    </w:p>
    <w:p>
      <w:pPr>
        <w:pStyle w:val="Subsection"/>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652" w:name="_Toc201998330"/>
      <w:bookmarkStart w:id="653" w:name="_Toc265588468"/>
      <w:bookmarkStart w:id="654" w:name="_Toc265579968"/>
      <w:r>
        <w:rPr>
          <w:rStyle w:val="CharSectno"/>
        </w:rPr>
        <w:t>124</w:t>
      </w:r>
      <w:r>
        <w:t>.</w:t>
      </w:r>
      <w:r>
        <w:tab/>
        <w:t>Transfer of, or agreement for the transfer of, dutiable property to a superannuation fund without consideration</w:t>
      </w:r>
      <w:bookmarkEnd w:id="652"/>
      <w:bookmarkEnd w:id="653"/>
      <w:bookmarkEnd w:id="654"/>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655" w:name="_Toc201998331"/>
      <w:bookmarkStart w:id="656" w:name="_Toc265588469"/>
      <w:bookmarkStart w:id="657" w:name="_Toc265579969"/>
      <w:r>
        <w:rPr>
          <w:rStyle w:val="CharSectno"/>
        </w:rPr>
        <w:t>125</w:t>
      </w:r>
      <w:r>
        <w:t>.</w:t>
      </w:r>
      <w:r>
        <w:tab/>
        <w:t>Transfer from one superannuation fund to another</w:t>
      </w:r>
      <w:bookmarkEnd w:id="655"/>
      <w:bookmarkEnd w:id="656"/>
      <w:bookmarkEnd w:id="657"/>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pPr>
      <w:bookmarkStart w:id="658" w:name="_Toc201998332"/>
      <w:bookmarkStart w:id="659" w:name="_Toc265588470"/>
      <w:bookmarkStart w:id="660" w:name="_Toc265579970"/>
      <w:r>
        <w:rPr>
          <w:rStyle w:val="CharSectno"/>
        </w:rPr>
        <w:t>126</w:t>
      </w:r>
      <w:r>
        <w:t>.</w:t>
      </w:r>
      <w:r>
        <w:tab/>
        <w:t>Transfer of, or agreement for the transfer of, dutiable property between trustees and custodians of superannuation funds</w:t>
      </w:r>
      <w:bookmarkEnd w:id="658"/>
      <w:bookmarkEnd w:id="659"/>
      <w:bookmarkEnd w:id="660"/>
    </w:p>
    <w:p>
      <w:pPr>
        <w:pStyle w:val="Subsection"/>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661" w:name="_Toc201998333"/>
      <w:bookmarkStart w:id="662" w:name="_Toc265588471"/>
      <w:bookmarkStart w:id="663" w:name="_Toc265579971"/>
      <w:r>
        <w:rPr>
          <w:rStyle w:val="CharSectno"/>
        </w:rPr>
        <w:t>127</w:t>
      </w:r>
      <w:r>
        <w:t>.</w:t>
      </w:r>
      <w:r>
        <w:tab/>
        <w:t>Transfer of, or agreement for the transfer of, dutiable property from superannuation fund to member</w:t>
      </w:r>
      <w:bookmarkEnd w:id="661"/>
      <w:bookmarkEnd w:id="662"/>
      <w:bookmarkEnd w:id="663"/>
    </w:p>
    <w:p>
      <w:pPr>
        <w:pStyle w:val="Subsection"/>
      </w:pPr>
      <w:r>
        <w:tab/>
      </w:r>
      <w:r>
        <w:tab/>
        <w:t xml:space="preserve">Nominal duty is chargeable in respect of a transfer of, or an agreement for the transfer of, dutiable property from the trustee of a superannuation fund to a member of the fund if — </w:t>
      </w:r>
    </w:p>
    <w:p>
      <w:pPr>
        <w:pStyle w:val="Indenta"/>
      </w:pPr>
      <w:r>
        <w:tab/>
        <w:t>(a)</w:t>
      </w:r>
      <w:r>
        <w:tab/>
        <w:t>the member was a member when the property first became part of the fund; and</w:t>
      </w:r>
    </w:p>
    <w:p>
      <w:pPr>
        <w:pStyle w:val="Indenta"/>
      </w:pPr>
      <w:r>
        <w:tab/>
        <w:t>(b)</w:t>
      </w:r>
      <w:r>
        <w:tab/>
        <w:t>the unencumbered value of the property transferred does not exceed the value of the member’s interest in the fund; and</w:t>
      </w:r>
    </w:p>
    <w:p>
      <w:pPr>
        <w:pStyle w:val="Indenta"/>
      </w:pPr>
      <w:r>
        <w:tab/>
        <w:t>(c)</w:t>
      </w:r>
      <w:r>
        <w:tab/>
        <w:t>there is, or will be, no consideration for the transfer or agreement.</w:t>
      </w:r>
    </w:p>
    <w:p>
      <w:pPr>
        <w:pStyle w:val="Footnotesection"/>
      </w:pPr>
      <w:r>
        <w:tab/>
        <w:t>[Section 127 amended by No. 9 of 2010 s. 4.]</w:t>
      </w:r>
    </w:p>
    <w:p>
      <w:pPr>
        <w:pStyle w:val="MiscellaneousHeading"/>
        <w:rPr>
          <w:b/>
          <w:bCs/>
        </w:rPr>
      </w:pPr>
      <w:r>
        <w:rPr>
          <w:b/>
          <w:bCs/>
        </w:rPr>
        <w:t>Subdivision 3 — Transactions related to the break</w:t>
      </w:r>
      <w:r>
        <w:rPr>
          <w:b/>
          <w:bCs/>
        </w:rPr>
        <w:noBreakHyphen/>
        <w:t>up of a marriage or de facto relationship</w:t>
      </w:r>
    </w:p>
    <w:p>
      <w:pPr>
        <w:pStyle w:val="NotesPerm"/>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664" w:name="_Toc201998334"/>
      <w:bookmarkStart w:id="665" w:name="_Toc265588472"/>
      <w:bookmarkStart w:id="666" w:name="_Toc265579972"/>
      <w:r>
        <w:rPr>
          <w:rStyle w:val="CharSectno"/>
        </w:rPr>
        <w:t>128</w:t>
      </w:r>
      <w:r>
        <w:t>.</w:t>
      </w:r>
      <w:r>
        <w:tab/>
        <w:t>Terms used in this Subdivision</w:t>
      </w:r>
      <w:bookmarkEnd w:id="664"/>
      <w:bookmarkEnd w:id="665"/>
      <w:bookmarkEnd w:id="666"/>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pPr>
      <w:bookmarkStart w:id="667" w:name="_Toc201998335"/>
      <w:bookmarkStart w:id="668" w:name="_Toc265588473"/>
      <w:bookmarkStart w:id="669" w:name="_Toc265579973"/>
      <w:r>
        <w:rPr>
          <w:rStyle w:val="CharSectno"/>
        </w:rPr>
        <w:t>129</w:t>
      </w:r>
      <w:r>
        <w:t>.</w:t>
      </w:r>
      <w:r>
        <w:tab/>
        <w:t>The term “matrimonial instrument”</w:t>
      </w:r>
      <w:bookmarkEnd w:id="667"/>
      <w:bookmarkEnd w:id="668"/>
      <w:bookmarkEnd w:id="669"/>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pPr>
      <w:r>
        <w:tab/>
        <w:t>(c)</w:t>
      </w:r>
      <w:r>
        <w:tab/>
        <w:t>a splitting agreement;</w:t>
      </w:r>
    </w:p>
    <w:p>
      <w:pPr>
        <w:pStyle w:val="Indenta"/>
      </w:pPr>
      <w:r>
        <w:tab/>
        <w:t>(d)</w:t>
      </w:r>
      <w:r>
        <w:tab/>
        <w:t>an order of a court under the Family Law Act.</w:t>
      </w:r>
    </w:p>
    <w:p>
      <w:pPr>
        <w:pStyle w:val="Heading5"/>
      </w:pPr>
      <w:bookmarkStart w:id="670" w:name="_Toc201998336"/>
      <w:bookmarkStart w:id="671" w:name="_Toc265588474"/>
      <w:bookmarkStart w:id="672" w:name="_Toc265579974"/>
      <w:r>
        <w:rPr>
          <w:rStyle w:val="CharSectno"/>
        </w:rPr>
        <w:t>130</w:t>
      </w:r>
      <w:r>
        <w:t>.</w:t>
      </w:r>
      <w:r>
        <w:tab/>
        <w:t>The term “de facto relationship instrument”</w:t>
      </w:r>
      <w:bookmarkEnd w:id="670"/>
      <w:bookmarkEnd w:id="671"/>
      <w:bookmarkEnd w:id="672"/>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pPr>
      <w:bookmarkStart w:id="673" w:name="_Toc201998337"/>
      <w:bookmarkStart w:id="674" w:name="_Toc265588475"/>
      <w:bookmarkStart w:id="675" w:name="_Toc265579975"/>
      <w:r>
        <w:rPr>
          <w:rStyle w:val="CharSectno"/>
        </w:rPr>
        <w:t>131</w:t>
      </w:r>
      <w:r>
        <w:t>.</w:t>
      </w:r>
      <w:r>
        <w:tab/>
        <w:t>Transactions effected by or in accordance with a matrimonial instrument or a de facto relationship instrument</w:t>
      </w:r>
      <w:bookmarkEnd w:id="673"/>
      <w:bookmarkEnd w:id="674"/>
      <w:bookmarkEnd w:id="675"/>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676" w:name="_Toc201998338"/>
      <w:bookmarkStart w:id="677" w:name="_Toc265588476"/>
      <w:bookmarkStart w:id="678" w:name="_Toc265579976"/>
      <w:r>
        <w:rPr>
          <w:rStyle w:val="CharSectno"/>
        </w:rPr>
        <w:t>132</w:t>
      </w:r>
      <w:r>
        <w:t>.</w:t>
      </w:r>
      <w:r>
        <w:tab/>
        <w:t>Reassessment on application</w:t>
      </w:r>
      <w:bookmarkEnd w:id="676"/>
      <w:bookmarkEnd w:id="677"/>
      <w:bookmarkEnd w:id="678"/>
    </w:p>
    <w:p>
      <w:pPr>
        <w:pStyle w:val="Subsection"/>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679" w:name="_Toc201998339"/>
      <w:bookmarkStart w:id="680" w:name="_Toc265588477"/>
      <w:bookmarkStart w:id="681" w:name="_Toc265579977"/>
      <w:r>
        <w:rPr>
          <w:rStyle w:val="CharSectno"/>
        </w:rPr>
        <w:t>133</w:t>
      </w:r>
      <w:r>
        <w:t>.</w:t>
      </w:r>
      <w:r>
        <w:tab/>
        <w:t>Evidence as to marriage or de facto relationship</w:t>
      </w:r>
      <w:bookmarkEnd w:id="679"/>
      <w:bookmarkEnd w:id="680"/>
      <w:bookmarkEnd w:id="681"/>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rPr>
          <w:b/>
          <w:bCs/>
        </w:rPr>
      </w:pPr>
      <w:r>
        <w:rPr>
          <w:b/>
          <w:bCs/>
        </w:rPr>
        <w:t>Subdivision 4 — Other transactions</w:t>
      </w:r>
    </w:p>
    <w:p>
      <w:pPr>
        <w:pStyle w:val="Heading5"/>
      </w:pPr>
      <w:bookmarkStart w:id="682" w:name="_Toc201998340"/>
      <w:bookmarkStart w:id="683" w:name="_Toc265588478"/>
      <w:bookmarkStart w:id="684" w:name="_Toc265579978"/>
      <w:r>
        <w:rPr>
          <w:rStyle w:val="CharSectno"/>
        </w:rPr>
        <w:t>134</w:t>
      </w:r>
      <w:r>
        <w:t>.</w:t>
      </w:r>
      <w:r>
        <w:tab/>
        <w:t>Transfer of, or agreement for the transfer of, certain lots under a planning scheme</w:t>
      </w:r>
      <w:bookmarkEnd w:id="682"/>
      <w:bookmarkEnd w:id="683"/>
      <w:bookmarkEnd w:id="684"/>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685" w:name="_Toc201998341"/>
      <w:bookmarkStart w:id="686" w:name="_Toc265588479"/>
      <w:bookmarkStart w:id="687" w:name="_Toc265579979"/>
      <w:r>
        <w:rPr>
          <w:rStyle w:val="CharSectno"/>
        </w:rPr>
        <w:t>135</w:t>
      </w:r>
      <w:r>
        <w:t>.</w:t>
      </w:r>
      <w:r>
        <w:tab/>
        <w:t>Farm</w:t>
      </w:r>
      <w:r>
        <w:noBreakHyphen/>
        <w:t>in agreements</w:t>
      </w:r>
      <w:bookmarkEnd w:id="685"/>
      <w:bookmarkEnd w:id="686"/>
      <w:bookmarkEnd w:id="687"/>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688" w:name="_Toc201998342"/>
      <w:bookmarkStart w:id="689" w:name="_Toc265588480"/>
      <w:bookmarkStart w:id="690" w:name="_Toc265579980"/>
      <w:r>
        <w:rPr>
          <w:rStyle w:val="CharSectno"/>
        </w:rPr>
        <w:t>136</w:t>
      </w:r>
      <w:r>
        <w:t>.</w:t>
      </w:r>
      <w:r>
        <w:tab/>
        <w:t xml:space="preserve">Business licences held under the </w:t>
      </w:r>
      <w:r>
        <w:rPr>
          <w:i/>
          <w:iCs/>
        </w:rPr>
        <w:t>Fish Resources Management Act 1994</w:t>
      </w:r>
      <w:bookmarkEnd w:id="688"/>
      <w:bookmarkEnd w:id="689"/>
      <w:bookmarkEnd w:id="690"/>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691" w:name="_Toc201998343"/>
      <w:bookmarkStart w:id="692" w:name="_Toc265588481"/>
      <w:bookmarkStart w:id="693" w:name="_Toc265579981"/>
      <w:r>
        <w:rPr>
          <w:rStyle w:val="CharSectno"/>
        </w:rPr>
        <w:t>137</w:t>
      </w:r>
      <w:r>
        <w:t>.</w:t>
      </w:r>
      <w:r>
        <w:tab/>
        <w:t>Change of tenure</w:t>
      </w:r>
      <w:bookmarkEnd w:id="691"/>
      <w:bookmarkEnd w:id="692"/>
      <w:bookmarkEnd w:id="693"/>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694" w:name="_Toc201998344"/>
      <w:bookmarkStart w:id="695" w:name="_Toc265588482"/>
      <w:bookmarkStart w:id="696" w:name="_Toc265579982"/>
      <w:r>
        <w:rPr>
          <w:rStyle w:val="CharSectno"/>
        </w:rPr>
        <w:t>138</w:t>
      </w:r>
      <w:r>
        <w:t>.</w:t>
      </w:r>
      <w:r>
        <w:tab/>
        <w:t>Correction of clerical errors in previous dutiable transactions</w:t>
      </w:r>
      <w:bookmarkEnd w:id="694"/>
      <w:bookmarkEnd w:id="695"/>
      <w:bookmarkEnd w:id="696"/>
    </w:p>
    <w:p>
      <w:pPr>
        <w:pStyle w:val="Subsection"/>
      </w:pPr>
      <w:r>
        <w:tab/>
        <w:t>(1)</w:t>
      </w:r>
      <w:r>
        <w:tab/>
        <w:t xml:space="preserve">Nominal duty is chargeable on a dutiable transaction to correct a clerical error in a previous dutiable transaction about the same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Heading5"/>
      </w:pPr>
      <w:bookmarkStart w:id="697" w:name="_Toc201998345"/>
      <w:bookmarkStart w:id="698" w:name="_Toc265588483"/>
      <w:bookmarkStart w:id="699" w:name="_Toc265579983"/>
      <w:r>
        <w:rPr>
          <w:rStyle w:val="CharSectno"/>
        </w:rPr>
        <w:t>139</w:t>
      </w:r>
      <w:r>
        <w:t>.</w:t>
      </w:r>
      <w:r>
        <w:tab/>
        <w:t>Deceased estates</w:t>
      </w:r>
      <w:bookmarkEnd w:id="697"/>
      <w:bookmarkEnd w:id="698"/>
      <w:bookmarkEnd w:id="699"/>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iCs/>
        </w:rPr>
        <w:t>Inheritance (Family and Dependants Provision) Act 1972</w:t>
      </w:r>
      <w:r>
        <w:t>; or</w:t>
      </w:r>
    </w:p>
    <w:p>
      <w:pPr>
        <w:pStyle w:val="Indenti"/>
      </w:pPr>
      <w:r>
        <w:tab/>
        <w:t>(ii)</w:t>
      </w:r>
      <w:r>
        <w:tab/>
        <w:t xml:space="preserve">under the </w:t>
      </w:r>
      <w:r>
        <w:rPr>
          <w:i/>
          <w:iCs/>
        </w:rPr>
        <w:t>Trustees Act 1962</w:t>
      </w:r>
      <w:r>
        <w:t xml:space="preserve"> section 65 on an application under the </w:t>
      </w:r>
      <w:r>
        <w:rPr>
          <w:i/>
          <w:iCs/>
        </w:rPr>
        <w:t>Inheritance (Family and Dependants Provision) Act 1972</w:t>
      </w:r>
      <w:r>
        <w:t>.</w:t>
      </w:r>
    </w:p>
    <w:p>
      <w:pPr>
        <w:pStyle w:val="Heading5"/>
      </w:pPr>
      <w:bookmarkStart w:id="700" w:name="_Toc201998346"/>
      <w:bookmarkStart w:id="701" w:name="_Toc265588484"/>
      <w:bookmarkStart w:id="702" w:name="_Toc265579984"/>
      <w:r>
        <w:rPr>
          <w:rStyle w:val="CharSectno"/>
        </w:rPr>
        <w:t>140</w:t>
      </w:r>
      <w:r>
        <w:t>.</w:t>
      </w:r>
      <w:r>
        <w:tab/>
        <w:t>Other dutiable transactions prescribed</w:t>
      </w:r>
      <w:bookmarkEnd w:id="700"/>
      <w:bookmarkEnd w:id="701"/>
      <w:bookmarkEnd w:id="702"/>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703" w:name="_Toc201998347"/>
      <w:bookmarkStart w:id="704" w:name="_Toc201999603"/>
      <w:bookmarkStart w:id="705" w:name="_Toc202172122"/>
      <w:bookmarkStart w:id="706" w:name="_Toc202172530"/>
      <w:bookmarkStart w:id="707" w:name="_Toc202428760"/>
      <w:bookmarkStart w:id="708" w:name="_Toc264020620"/>
      <w:bookmarkStart w:id="709" w:name="_Toc264024973"/>
      <w:bookmarkStart w:id="710" w:name="_Toc265579985"/>
      <w:bookmarkStart w:id="711" w:name="_Toc265588067"/>
      <w:bookmarkStart w:id="712" w:name="_Toc265588485"/>
      <w:r>
        <w:rPr>
          <w:sz w:val="26"/>
        </w:rPr>
        <w:t>Division 3 — First home owner concessions</w:t>
      </w:r>
      <w:bookmarkEnd w:id="703"/>
      <w:bookmarkEnd w:id="704"/>
      <w:bookmarkEnd w:id="705"/>
      <w:bookmarkEnd w:id="706"/>
      <w:bookmarkEnd w:id="707"/>
      <w:bookmarkEnd w:id="708"/>
      <w:bookmarkEnd w:id="709"/>
      <w:bookmarkEnd w:id="710"/>
      <w:bookmarkEnd w:id="711"/>
      <w:bookmarkEnd w:id="712"/>
    </w:p>
    <w:p>
      <w:pPr>
        <w:pStyle w:val="Heading5"/>
      </w:pPr>
      <w:bookmarkStart w:id="713" w:name="_Toc201998348"/>
      <w:bookmarkStart w:id="714" w:name="_Toc265588486"/>
      <w:bookmarkStart w:id="715" w:name="_Toc265579986"/>
      <w:r>
        <w:rPr>
          <w:rStyle w:val="CharSectno"/>
        </w:rPr>
        <w:t>141</w:t>
      </w:r>
      <w:r>
        <w:t>.</w:t>
      </w:r>
      <w:r>
        <w:tab/>
        <w:t>Terms used in this Division</w:t>
      </w:r>
      <w:bookmarkEnd w:id="713"/>
      <w:bookmarkEnd w:id="714"/>
      <w:bookmarkEnd w:id="715"/>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Heading5"/>
      </w:pPr>
      <w:bookmarkStart w:id="716" w:name="_Toc201998349"/>
      <w:bookmarkStart w:id="717" w:name="_Toc265588487"/>
      <w:bookmarkStart w:id="718" w:name="_Toc265579987"/>
      <w:r>
        <w:rPr>
          <w:rStyle w:val="CharSectno"/>
        </w:rPr>
        <w:t>142</w:t>
      </w:r>
      <w:r>
        <w:t>.</w:t>
      </w:r>
      <w:r>
        <w:tab/>
        <w:t>Transactions by first home owners that are concessional transactions</w:t>
      </w:r>
      <w:bookmarkEnd w:id="716"/>
      <w:bookmarkEnd w:id="717"/>
      <w:bookmarkEnd w:id="718"/>
    </w:p>
    <w:p>
      <w:pPr>
        <w:pStyle w:val="Subsection"/>
      </w:pPr>
      <w:r>
        <w:tab/>
        <w:t>(1)</w:t>
      </w:r>
      <w:r>
        <w:tab/>
        <w:t xml:space="preserve">A reference in this Division to a FHOG concessional transaction is to a transfer of, or an agreement for the transfer of, dutiable property where — </w:t>
      </w:r>
    </w:p>
    <w:p>
      <w:pPr>
        <w:pStyle w:val="Indenta"/>
      </w:pPr>
      <w:r>
        <w:tab/>
        <w:t>(a)</w:t>
      </w:r>
      <w:r>
        <w:tab/>
        <w:t xml:space="preserve">the transferee or, if there are more than one, each transferee — </w:t>
      </w:r>
    </w:p>
    <w:p>
      <w:pPr>
        <w:pStyle w:val="Indenti"/>
      </w:pPr>
      <w:r>
        <w:tab/>
        <w:t>(i)</w:t>
      </w:r>
      <w:r>
        <w:tab/>
        <w:t>is paid a first home owner grant in relation to the property or becomes a person to whom a first home owner grant is or will be payable, in relation to the property; or</w:t>
      </w:r>
    </w:p>
    <w:p>
      <w:pPr>
        <w:pStyle w:val="Indenti"/>
      </w:pPr>
      <w:r>
        <w:tab/>
        <w:t>(ii)</w:t>
      </w:r>
      <w:r>
        <w:tab/>
        <w:t xml:space="preserve">becomes a person to whom a first home owner grant would be, or would have been, payable in relation to the property if consideration had been given for the transfer of the property; </w:t>
      </w:r>
    </w:p>
    <w:p>
      <w:pPr>
        <w:pStyle w:val="Indenta"/>
      </w:pPr>
      <w:r>
        <w:tab/>
      </w:r>
      <w:r>
        <w:tab/>
        <w:t>and</w:t>
      </w:r>
    </w:p>
    <w:p>
      <w:pPr>
        <w:pStyle w:val="Indenta"/>
      </w:pPr>
      <w:r>
        <w:tab/>
        <w:t>(b)</w:t>
      </w:r>
      <w:r>
        <w:tab/>
        <w:t xml:space="preserve">the unencumbered value of the land, or the land and home, the subject of the eligible transaction to which the first home owner grant relates, does not exceed — </w:t>
      </w:r>
    </w:p>
    <w:p>
      <w:pPr>
        <w:pStyle w:val="Indenti"/>
      </w:pPr>
      <w:r>
        <w:tab/>
        <w:t>(i)</w:t>
      </w:r>
      <w:r>
        <w:tab/>
        <w:t>if there is no home on the land — $400 000; or</w:t>
      </w:r>
    </w:p>
    <w:p>
      <w:pPr>
        <w:pStyle w:val="Indenti"/>
      </w:pPr>
      <w:r>
        <w:tab/>
        <w:t>(ii)</w:t>
      </w:r>
      <w:r>
        <w:tab/>
        <w:t>otherwise — $600 000.</w:t>
      </w:r>
    </w:p>
    <w:p>
      <w:pPr>
        <w:pStyle w:val="Subsection"/>
      </w:pPr>
      <w:r>
        <w:tab/>
        <w:t>(2)</w:t>
      </w:r>
      <w:r>
        <w:tab/>
        <w:t xml:space="preserve">A reference in this Division to a further FHOG concessional transaction is to </w:t>
      </w:r>
      <w:r>
        <w:rPr>
          <w:bCs/>
        </w:rPr>
        <w:t xml:space="preserve">a </w:t>
      </w:r>
      <w:r>
        <w:t xml:space="preserve">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Heading5"/>
      </w:pPr>
      <w:bookmarkStart w:id="719" w:name="_Toc201998350"/>
      <w:bookmarkStart w:id="720" w:name="_Toc265588488"/>
      <w:bookmarkStart w:id="721" w:name="_Toc265579988"/>
      <w:r>
        <w:rPr>
          <w:rStyle w:val="CharSectno"/>
        </w:rPr>
        <w:t>143</w:t>
      </w:r>
      <w:r>
        <w:t>.</w:t>
      </w:r>
      <w:r>
        <w:tab/>
        <w:t>Concessions for first home owners</w:t>
      </w:r>
      <w:bookmarkEnd w:id="719"/>
      <w:bookmarkEnd w:id="720"/>
      <w:bookmarkEnd w:id="721"/>
    </w:p>
    <w:p>
      <w:pPr>
        <w:pStyle w:val="Subsection"/>
      </w:pPr>
      <w:r>
        <w:tab/>
        <w:t>(1)</w:t>
      </w:r>
      <w:r>
        <w:tab/>
        <w:t>Duty is chargeable on a FHOG concessional transaction at the applicable concessional rate of duty.</w:t>
      </w:r>
    </w:p>
    <w:p>
      <w:pPr>
        <w:pStyle w:val="Subsection"/>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pPr>
      <w:bookmarkStart w:id="722" w:name="_Toc201998351"/>
      <w:bookmarkStart w:id="723" w:name="_Toc265588489"/>
      <w:bookmarkStart w:id="724" w:name="_Toc265579989"/>
      <w:r>
        <w:rPr>
          <w:rStyle w:val="CharSectno"/>
        </w:rPr>
        <w:t>144</w:t>
      </w:r>
      <w:r>
        <w:t>.</w:t>
      </w:r>
      <w:r>
        <w:tab/>
        <w:t>Application for concession under this Division</w:t>
      </w:r>
      <w:bookmarkEnd w:id="722"/>
      <w:bookmarkEnd w:id="723"/>
      <w:bookmarkEnd w:id="724"/>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FHOG concessional transaction — </w:t>
      </w:r>
    </w:p>
    <w:p>
      <w:pPr>
        <w:pStyle w:val="Indenti"/>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725" w:name="_Toc201998352"/>
      <w:bookmarkStart w:id="726" w:name="_Toc265588490"/>
      <w:bookmarkStart w:id="727" w:name="_Toc265579990"/>
      <w:r>
        <w:rPr>
          <w:rStyle w:val="CharSectno"/>
        </w:rPr>
        <w:t>145</w:t>
      </w:r>
      <w:r>
        <w:t>.</w:t>
      </w:r>
      <w:r>
        <w:tab/>
        <w:t>Subsequent liability in certain circumstances</w:t>
      </w:r>
      <w:bookmarkEnd w:id="725"/>
      <w:bookmarkEnd w:id="726"/>
      <w:bookmarkEnd w:id="727"/>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728" w:name="_Toc201998353"/>
      <w:bookmarkStart w:id="729" w:name="_Toc265588491"/>
      <w:bookmarkStart w:id="730" w:name="_Toc265579991"/>
      <w:r>
        <w:rPr>
          <w:rStyle w:val="CharSectno"/>
        </w:rPr>
        <w:t>146</w:t>
      </w:r>
      <w:r>
        <w:t>.</w:t>
      </w:r>
      <w:r>
        <w:tab/>
        <w:t>Other provisions about first home owner concessions</w:t>
      </w:r>
      <w:bookmarkEnd w:id="728"/>
      <w:bookmarkEnd w:id="729"/>
      <w:bookmarkEnd w:id="730"/>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3"/>
        <w:rPr>
          <w:rStyle w:val="CharDivText"/>
        </w:rPr>
      </w:pPr>
      <w:bookmarkStart w:id="731" w:name="_Toc198367129"/>
      <w:bookmarkStart w:id="732" w:name="_Toc198441706"/>
      <w:bookmarkStart w:id="733" w:name="_Toc202427380"/>
      <w:bookmarkStart w:id="734" w:name="_Toc202428767"/>
      <w:bookmarkStart w:id="735" w:name="_Toc264020627"/>
      <w:bookmarkStart w:id="736" w:name="_Toc264024980"/>
      <w:bookmarkStart w:id="737" w:name="_Toc265579992"/>
      <w:bookmarkStart w:id="738" w:name="_Toc265588074"/>
      <w:bookmarkStart w:id="739" w:name="_Toc265588492"/>
      <w:bookmarkStart w:id="740" w:name="_Toc201998354"/>
      <w:bookmarkStart w:id="741" w:name="_Toc201999610"/>
      <w:bookmarkStart w:id="742" w:name="_Toc202172129"/>
      <w:bookmarkStart w:id="743" w:name="_Toc202172537"/>
      <w:r>
        <w:rPr>
          <w:rStyle w:val="CharDivNo"/>
        </w:rPr>
        <w:t>Division 4A</w:t>
      </w:r>
      <w:r>
        <w:t> — </w:t>
      </w:r>
      <w:r>
        <w:rPr>
          <w:rStyle w:val="CharDivText"/>
        </w:rPr>
        <w:t>Residential concession</w:t>
      </w:r>
      <w:bookmarkEnd w:id="731"/>
      <w:bookmarkEnd w:id="732"/>
      <w:bookmarkEnd w:id="733"/>
      <w:bookmarkEnd w:id="734"/>
      <w:bookmarkEnd w:id="735"/>
      <w:bookmarkEnd w:id="736"/>
      <w:bookmarkEnd w:id="737"/>
      <w:bookmarkEnd w:id="738"/>
      <w:bookmarkEnd w:id="739"/>
    </w:p>
    <w:p>
      <w:pPr>
        <w:pStyle w:val="Footnoteheading"/>
      </w:pPr>
      <w:r>
        <w:tab/>
        <w:t>[Heading inserted by No. 30 of 2008 s. 26.]</w:t>
      </w:r>
    </w:p>
    <w:p>
      <w:pPr>
        <w:pStyle w:val="Heading5"/>
      </w:pPr>
      <w:bookmarkStart w:id="744" w:name="_Toc198441707"/>
      <w:bookmarkStart w:id="745" w:name="_Toc202427381"/>
      <w:bookmarkStart w:id="746" w:name="_Toc265588493"/>
      <w:bookmarkStart w:id="747" w:name="_Toc265579993"/>
      <w:r>
        <w:rPr>
          <w:rStyle w:val="CharSectno"/>
        </w:rPr>
        <w:t>147A</w:t>
      </w:r>
      <w:r>
        <w:t>.</w:t>
      </w:r>
      <w:r>
        <w:tab/>
        <w:t>Terms used in this Division</w:t>
      </w:r>
      <w:bookmarkEnd w:id="744"/>
      <w:bookmarkEnd w:id="745"/>
      <w:bookmarkEnd w:id="746"/>
      <w:bookmarkEnd w:id="747"/>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748" w:name="_Toc198441708"/>
      <w:bookmarkStart w:id="749" w:name="_Toc202427382"/>
      <w:bookmarkStart w:id="750" w:name="_Toc265588494"/>
      <w:bookmarkStart w:id="751" w:name="_Toc265579994"/>
      <w:r>
        <w:rPr>
          <w:rStyle w:val="CharSectno"/>
        </w:rPr>
        <w:t>147B</w:t>
      </w:r>
      <w:r>
        <w:t>.</w:t>
      </w:r>
      <w:r>
        <w:tab/>
        <w:t>Eligible transactions</w:t>
      </w:r>
      <w:bookmarkEnd w:id="748"/>
      <w:bookmarkEnd w:id="749"/>
      <w:bookmarkEnd w:id="750"/>
      <w:bookmarkEnd w:id="751"/>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bookmarkStart w:id="752" w:name="_Toc198441709"/>
      <w:bookmarkStart w:id="753" w:name="_Toc202427383"/>
      <w:r>
        <w:tab/>
        <w:t>[Section 147B inserted by No. 30 of 2008 s. 26.]</w:t>
      </w:r>
    </w:p>
    <w:p>
      <w:pPr>
        <w:pStyle w:val="Heading5"/>
      </w:pPr>
      <w:bookmarkStart w:id="754" w:name="_Toc265588495"/>
      <w:bookmarkStart w:id="755" w:name="_Toc265579995"/>
      <w:r>
        <w:rPr>
          <w:rStyle w:val="CharSectno"/>
        </w:rPr>
        <w:t>147C</w:t>
      </w:r>
      <w:r>
        <w:t>.</w:t>
      </w:r>
      <w:r>
        <w:tab/>
        <w:t>Concessional transactions</w:t>
      </w:r>
      <w:bookmarkEnd w:id="752"/>
      <w:bookmarkEnd w:id="753"/>
      <w:bookmarkEnd w:id="754"/>
      <w:bookmarkEnd w:id="755"/>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bookmarkStart w:id="756" w:name="_Toc198441710"/>
      <w:bookmarkStart w:id="757" w:name="_Toc202427384"/>
      <w:r>
        <w:tab/>
        <w:t>[Section 147C inserted by No. 30 of 2008 s. 26.]</w:t>
      </w:r>
    </w:p>
    <w:p>
      <w:pPr>
        <w:pStyle w:val="Heading5"/>
      </w:pPr>
      <w:bookmarkStart w:id="758" w:name="_Toc265588496"/>
      <w:bookmarkStart w:id="759" w:name="_Toc265579996"/>
      <w:r>
        <w:rPr>
          <w:rStyle w:val="CharSectno"/>
        </w:rPr>
        <w:t>147D</w:t>
      </w:r>
      <w:r>
        <w:t>.</w:t>
      </w:r>
      <w:r>
        <w:tab/>
        <w:t>Residential property</w:t>
      </w:r>
      <w:bookmarkEnd w:id="756"/>
      <w:bookmarkEnd w:id="757"/>
      <w:bookmarkEnd w:id="758"/>
      <w:bookmarkEnd w:id="759"/>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760" w:name="_Toc198441711"/>
      <w:bookmarkStart w:id="761" w:name="_Toc202427385"/>
      <w:bookmarkStart w:id="762" w:name="OLE_LINK1"/>
      <w:r>
        <w:tab/>
        <w:t>[Section 147D inserted by No. 30 of 2008 s. 26.]</w:t>
      </w:r>
    </w:p>
    <w:p>
      <w:pPr>
        <w:pStyle w:val="Heading5"/>
      </w:pPr>
      <w:bookmarkStart w:id="763" w:name="_Toc265588497"/>
      <w:bookmarkStart w:id="764" w:name="_Toc265579997"/>
      <w:r>
        <w:rPr>
          <w:rStyle w:val="CharSectno"/>
        </w:rPr>
        <w:t>147E</w:t>
      </w:r>
      <w:r>
        <w:t>.</w:t>
      </w:r>
      <w:r>
        <w:tab/>
        <w:t>Concessional rate</w:t>
      </w:r>
      <w:bookmarkEnd w:id="760"/>
      <w:bookmarkEnd w:id="761"/>
      <w:bookmarkEnd w:id="763"/>
      <w:bookmarkEnd w:id="764"/>
    </w:p>
    <w:p>
      <w:pPr>
        <w:pStyle w:val="Subsection"/>
      </w:pPr>
      <w:r>
        <w:tab/>
      </w:r>
      <w:r>
        <w:tab/>
        <w:t>Duty is chargeable on a concessional transaction at the applicable concessional rate of duty and the Commissioner, on the application of the taxpayer, is to assess the liability to duty at that rate.</w:t>
      </w:r>
    </w:p>
    <w:p>
      <w:pPr>
        <w:pStyle w:val="Footnotesection"/>
      </w:pPr>
      <w:bookmarkStart w:id="765" w:name="_Toc198441712"/>
      <w:bookmarkStart w:id="766" w:name="_Toc202427386"/>
      <w:bookmarkEnd w:id="762"/>
      <w:r>
        <w:tab/>
        <w:t>[Section 147E inserted by No. 30 of 2008 s. 26.]</w:t>
      </w:r>
    </w:p>
    <w:p>
      <w:pPr>
        <w:pStyle w:val="Heading5"/>
      </w:pPr>
      <w:bookmarkStart w:id="767" w:name="_Toc265588498"/>
      <w:bookmarkStart w:id="768" w:name="_Toc265579998"/>
      <w:r>
        <w:rPr>
          <w:rStyle w:val="CharSectno"/>
        </w:rPr>
        <w:t>147F</w:t>
      </w:r>
      <w:r>
        <w:t>.</w:t>
      </w:r>
      <w:r>
        <w:tab/>
        <w:t>Reassessment if building begins or contract is entered into after duty liability arises</w:t>
      </w:r>
      <w:bookmarkEnd w:id="765"/>
      <w:bookmarkEnd w:id="766"/>
      <w:bookmarkEnd w:id="767"/>
      <w:bookmarkEnd w:id="768"/>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the application of the taxpayer,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the application of the taxpayer, is to reassess the liability to duty of the aggregated transaction at the applicable concessional rate of duty and the duty as reassessed is to be apportioned between the separate transactions as decided by the Commissioner.</w:t>
      </w:r>
    </w:p>
    <w:p>
      <w:pPr>
        <w:pStyle w:val="Subsection"/>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bookmarkStart w:id="769" w:name="_Toc198441713"/>
      <w:bookmarkStart w:id="770" w:name="_Toc202427387"/>
      <w:r>
        <w:tab/>
        <w:t>[Section 147F inserted by No. 30 of 2008 s. 26.]</w:t>
      </w:r>
    </w:p>
    <w:p>
      <w:pPr>
        <w:pStyle w:val="Heading5"/>
      </w:pPr>
      <w:bookmarkStart w:id="771" w:name="_Toc265588499"/>
      <w:bookmarkStart w:id="772" w:name="_Toc265579999"/>
      <w:r>
        <w:rPr>
          <w:rStyle w:val="CharSectno"/>
        </w:rPr>
        <w:t>147G</w:t>
      </w:r>
      <w:r>
        <w:t>.</w:t>
      </w:r>
      <w:r>
        <w:tab/>
        <w:t>Application for assessment or reassessment at concessional rate</w:t>
      </w:r>
      <w:bookmarkEnd w:id="769"/>
      <w:bookmarkEnd w:id="770"/>
      <w:bookmarkEnd w:id="771"/>
      <w:bookmarkEnd w:id="772"/>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773" w:name="_Toc202428775"/>
      <w:bookmarkStart w:id="774" w:name="_Toc264020635"/>
      <w:bookmarkStart w:id="775" w:name="_Toc264024988"/>
      <w:bookmarkStart w:id="776" w:name="_Toc265580000"/>
      <w:bookmarkStart w:id="777" w:name="_Toc265588082"/>
      <w:bookmarkStart w:id="778" w:name="_Toc265588500"/>
      <w:r>
        <w:rPr>
          <w:sz w:val="26"/>
        </w:rPr>
        <w:t>Division 4 — Residential or business concessions</w:t>
      </w:r>
      <w:bookmarkEnd w:id="740"/>
      <w:bookmarkEnd w:id="741"/>
      <w:bookmarkEnd w:id="742"/>
      <w:bookmarkEnd w:id="743"/>
      <w:bookmarkEnd w:id="773"/>
      <w:bookmarkEnd w:id="774"/>
      <w:bookmarkEnd w:id="775"/>
      <w:bookmarkEnd w:id="776"/>
      <w:bookmarkEnd w:id="777"/>
      <w:bookmarkEnd w:id="778"/>
    </w:p>
    <w:p>
      <w:pPr>
        <w:pStyle w:val="Heading5"/>
      </w:pPr>
      <w:bookmarkStart w:id="779" w:name="_Toc201998355"/>
      <w:bookmarkStart w:id="780" w:name="_Toc265588501"/>
      <w:bookmarkStart w:id="781" w:name="_Toc265580001"/>
      <w:r>
        <w:rPr>
          <w:rStyle w:val="CharSectno"/>
        </w:rPr>
        <w:t>147</w:t>
      </w:r>
      <w:r>
        <w:t>.</w:t>
      </w:r>
      <w:r>
        <w:tab/>
        <w:t xml:space="preserve">Concessional rates for transactions referred to in </w:t>
      </w:r>
      <w:r>
        <w:rPr>
          <w:i/>
          <w:iCs/>
        </w:rPr>
        <w:t>Stamp Act 1921</w:t>
      </w:r>
      <w:r>
        <w:t xml:space="preserve"> section 75AE</w:t>
      </w:r>
      <w:bookmarkEnd w:id="779"/>
      <w:bookmarkEnd w:id="780"/>
      <w:bookmarkEnd w:id="781"/>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bookmarkStart w:id="782" w:name="_Toc201998356"/>
      <w:bookmarkStart w:id="783" w:name="_Toc201999612"/>
      <w:bookmarkStart w:id="784" w:name="_Toc202172131"/>
      <w:bookmarkStart w:id="785" w:name="_Toc202172539"/>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786" w:name="_Toc202428777"/>
      <w:bookmarkStart w:id="787" w:name="_Toc264020637"/>
      <w:bookmarkStart w:id="788" w:name="_Toc264024990"/>
      <w:bookmarkStart w:id="789" w:name="_Toc265580002"/>
      <w:bookmarkStart w:id="790" w:name="_Toc265588084"/>
      <w:bookmarkStart w:id="791" w:name="_Toc265588502"/>
      <w:r>
        <w:rPr>
          <w:rStyle w:val="CharPartNo"/>
          <w:sz w:val="32"/>
        </w:rPr>
        <w:t>Chapter 3</w:t>
      </w:r>
      <w:r>
        <w:rPr>
          <w:sz w:val="32"/>
        </w:rPr>
        <w:t> — </w:t>
      </w:r>
      <w:r>
        <w:rPr>
          <w:rStyle w:val="CharPartText"/>
          <w:sz w:val="32"/>
        </w:rPr>
        <w:t>Landholder Duty</w:t>
      </w:r>
      <w:bookmarkEnd w:id="782"/>
      <w:bookmarkEnd w:id="783"/>
      <w:bookmarkEnd w:id="784"/>
      <w:bookmarkEnd w:id="785"/>
      <w:bookmarkEnd w:id="786"/>
      <w:bookmarkEnd w:id="787"/>
      <w:bookmarkEnd w:id="788"/>
      <w:bookmarkEnd w:id="789"/>
      <w:bookmarkEnd w:id="790"/>
      <w:bookmarkEnd w:id="791"/>
    </w:p>
    <w:p>
      <w:pPr>
        <w:pStyle w:val="Heading3"/>
        <w:rPr>
          <w:sz w:val="28"/>
        </w:rPr>
      </w:pPr>
      <w:bookmarkStart w:id="792" w:name="_Toc201998357"/>
      <w:bookmarkStart w:id="793" w:name="_Toc201999613"/>
      <w:bookmarkStart w:id="794" w:name="_Toc202172132"/>
      <w:bookmarkStart w:id="795" w:name="_Toc202172540"/>
      <w:bookmarkStart w:id="796" w:name="_Toc202428778"/>
      <w:bookmarkStart w:id="797" w:name="_Toc264020638"/>
      <w:bookmarkStart w:id="798" w:name="_Toc264024991"/>
      <w:bookmarkStart w:id="799" w:name="_Toc265580003"/>
      <w:bookmarkStart w:id="800" w:name="_Toc265588085"/>
      <w:bookmarkStart w:id="801" w:name="_Toc265588503"/>
      <w:r>
        <w:rPr>
          <w:rStyle w:val="CharDivNo"/>
          <w:sz w:val="28"/>
        </w:rPr>
        <w:t>Part 1</w:t>
      </w:r>
      <w:r>
        <w:rPr>
          <w:sz w:val="28"/>
        </w:rPr>
        <w:t> — </w:t>
      </w:r>
      <w:r>
        <w:rPr>
          <w:rStyle w:val="CharDivText"/>
          <w:sz w:val="28"/>
        </w:rPr>
        <w:t>Preliminary</w:t>
      </w:r>
      <w:bookmarkEnd w:id="792"/>
      <w:bookmarkEnd w:id="793"/>
      <w:bookmarkEnd w:id="794"/>
      <w:bookmarkEnd w:id="795"/>
      <w:bookmarkEnd w:id="796"/>
      <w:bookmarkEnd w:id="797"/>
      <w:bookmarkEnd w:id="798"/>
      <w:bookmarkEnd w:id="799"/>
      <w:bookmarkEnd w:id="800"/>
      <w:bookmarkEnd w:id="801"/>
    </w:p>
    <w:p>
      <w:pPr>
        <w:pStyle w:val="Heading5"/>
      </w:pPr>
      <w:bookmarkStart w:id="802" w:name="_Toc201998358"/>
      <w:bookmarkStart w:id="803" w:name="_Toc265588504"/>
      <w:bookmarkStart w:id="804" w:name="_Toc265580004"/>
      <w:r>
        <w:rPr>
          <w:rStyle w:val="CharSectno"/>
        </w:rPr>
        <w:t>148</w:t>
      </w:r>
      <w:r>
        <w:t>.</w:t>
      </w:r>
      <w:r>
        <w:tab/>
        <w:t>Terms used in this Chapter</w:t>
      </w:r>
      <w:bookmarkEnd w:id="802"/>
      <w:bookmarkEnd w:id="803"/>
      <w:bookmarkEnd w:id="804"/>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Heading5"/>
      </w:pPr>
      <w:bookmarkStart w:id="805" w:name="_Toc201998359"/>
      <w:bookmarkStart w:id="806" w:name="_Toc265588505"/>
      <w:bookmarkStart w:id="807" w:name="_Toc265580005"/>
      <w:r>
        <w:rPr>
          <w:rStyle w:val="CharSectno"/>
        </w:rPr>
        <w:t>149</w:t>
      </w:r>
      <w:r>
        <w:t>.</w:t>
      </w:r>
      <w:r>
        <w:tab/>
        <w:t>Entitlement to land: effect of uncompleted agreements; fixtures</w:t>
      </w:r>
      <w:bookmarkEnd w:id="805"/>
      <w:bookmarkEnd w:id="806"/>
      <w:bookmarkEnd w:id="807"/>
    </w:p>
    <w:p>
      <w:pPr>
        <w:pStyle w:val="Subsection"/>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pPr>
      <w:r>
        <w:tab/>
      </w:r>
      <w:r>
        <w:tab/>
        <w:t>the landholder or other entity is to be regarded as having an entitlement to land for the purposes of this Chapter to the extent of its entitlement to the fixture.</w:t>
      </w:r>
    </w:p>
    <w:p>
      <w:pPr>
        <w:pStyle w:val="Heading5"/>
      </w:pPr>
      <w:bookmarkStart w:id="808" w:name="_Toc201998360"/>
      <w:bookmarkStart w:id="809" w:name="_Toc265588506"/>
      <w:bookmarkStart w:id="810" w:name="_Toc265580006"/>
      <w:r>
        <w:rPr>
          <w:rStyle w:val="CharSectno"/>
        </w:rPr>
        <w:t>150</w:t>
      </w:r>
      <w:r>
        <w:t>.</w:t>
      </w:r>
      <w:r>
        <w:tab/>
        <w:t>Meaning of “unencumbered value” of land or chattels</w:t>
      </w:r>
      <w:bookmarkEnd w:id="808"/>
      <w:bookmarkEnd w:id="809"/>
      <w:bookmarkEnd w:id="810"/>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811" w:name="_Toc201998361"/>
      <w:bookmarkStart w:id="812" w:name="_Toc201999617"/>
      <w:bookmarkStart w:id="813" w:name="_Toc202172136"/>
      <w:bookmarkStart w:id="814" w:name="_Toc202172544"/>
      <w:bookmarkStart w:id="815" w:name="_Toc202428782"/>
      <w:bookmarkStart w:id="816" w:name="_Toc264020642"/>
      <w:bookmarkStart w:id="817" w:name="_Toc264024995"/>
      <w:bookmarkStart w:id="818" w:name="_Toc265580007"/>
      <w:bookmarkStart w:id="819" w:name="_Toc265588089"/>
      <w:bookmarkStart w:id="820" w:name="_Toc265588507"/>
      <w:r>
        <w:rPr>
          <w:rStyle w:val="CharDivNo"/>
          <w:sz w:val="28"/>
        </w:rPr>
        <w:t>Part 2</w:t>
      </w:r>
      <w:r>
        <w:rPr>
          <w:sz w:val="28"/>
        </w:rPr>
        <w:t> — </w:t>
      </w:r>
      <w:r>
        <w:rPr>
          <w:rStyle w:val="CharDivText"/>
          <w:sz w:val="28"/>
        </w:rPr>
        <w:t>Imposition of landholder duty</w:t>
      </w:r>
      <w:bookmarkEnd w:id="811"/>
      <w:bookmarkEnd w:id="812"/>
      <w:bookmarkEnd w:id="813"/>
      <w:bookmarkEnd w:id="814"/>
      <w:bookmarkEnd w:id="815"/>
      <w:bookmarkEnd w:id="816"/>
      <w:bookmarkEnd w:id="817"/>
      <w:bookmarkEnd w:id="818"/>
      <w:bookmarkEnd w:id="819"/>
      <w:bookmarkEnd w:id="820"/>
    </w:p>
    <w:p>
      <w:pPr>
        <w:pStyle w:val="Heading5"/>
      </w:pPr>
      <w:bookmarkStart w:id="821" w:name="_Toc201998362"/>
      <w:bookmarkStart w:id="822" w:name="_Toc265588508"/>
      <w:bookmarkStart w:id="823" w:name="_Toc265580008"/>
      <w:r>
        <w:rPr>
          <w:rStyle w:val="CharSectno"/>
        </w:rPr>
        <w:t>151</w:t>
      </w:r>
      <w:r>
        <w:t>.</w:t>
      </w:r>
      <w:r>
        <w:tab/>
        <w:t>Landholder duty imposed</w:t>
      </w:r>
      <w:bookmarkEnd w:id="821"/>
      <w:bookmarkEnd w:id="822"/>
      <w:bookmarkEnd w:id="823"/>
    </w:p>
    <w:p>
      <w:pPr>
        <w:pStyle w:val="Subsection"/>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824" w:name="_Toc201998363"/>
      <w:bookmarkStart w:id="825" w:name="_Toc201999619"/>
      <w:bookmarkStart w:id="826" w:name="_Toc202172138"/>
      <w:bookmarkStart w:id="827" w:name="_Toc202172546"/>
      <w:bookmarkStart w:id="828" w:name="_Toc202428784"/>
      <w:bookmarkStart w:id="829" w:name="_Toc264020644"/>
      <w:bookmarkStart w:id="830" w:name="_Toc264024997"/>
      <w:bookmarkStart w:id="831" w:name="_Toc265580009"/>
      <w:bookmarkStart w:id="832" w:name="_Toc265588091"/>
      <w:bookmarkStart w:id="833" w:name="_Toc265588509"/>
      <w:r>
        <w:rPr>
          <w:rStyle w:val="CharDivNo"/>
          <w:sz w:val="28"/>
        </w:rPr>
        <w:t>Part 3</w:t>
      </w:r>
      <w:r>
        <w:rPr>
          <w:sz w:val="28"/>
        </w:rPr>
        <w:t> — </w:t>
      </w:r>
      <w:r>
        <w:rPr>
          <w:rStyle w:val="CharDivText"/>
          <w:sz w:val="28"/>
        </w:rPr>
        <w:t>Certain key concepts defined and related provisions</w:t>
      </w:r>
      <w:bookmarkEnd w:id="824"/>
      <w:bookmarkEnd w:id="825"/>
      <w:bookmarkEnd w:id="826"/>
      <w:bookmarkEnd w:id="827"/>
      <w:bookmarkEnd w:id="828"/>
      <w:bookmarkEnd w:id="829"/>
      <w:bookmarkEnd w:id="830"/>
      <w:bookmarkEnd w:id="831"/>
      <w:bookmarkEnd w:id="832"/>
      <w:bookmarkEnd w:id="833"/>
    </w:p>
    <w:p>
      <w:pPr>
        <w:pStyle w:val="Heading5"/>
      </w:pPr>
      <w:bookmarkStart w:id="834" w:name="_Toc201998364"/>
      <w:bookmarkStart w:id="835" w:name="_Toc265588510"/>
      <w:bookmarkStart w:id="836" w:name="_Toc265580010"/>
      <w:r>
        <w:rPr>
          <w:rStyle w:val="CharSectno"/>
        </w:rPr>
        <w:t>152</w:t>
      </w:r>
      <w:r>
        <w:t>.</w:t>
      </w:r>
      <w:r>
        <w:tab/>
        <w:t>The term “entity”</w:t>
      </w:r>
      <w:bookmarkEnd w:id="834"/>
      <w:bookmarkEnd w:id="835"/>
      <w:bookmarkEnd w:id="836"/>
    </w:p>
    <w:p>
      <w:pPr>
        <w:pStyle w:val="Subsection"/>
      </w:pPr>
      <w:r>
        <w:tab/>
        <w:t>(1)</w:t>
      </w:r>
      <w:r>
        <w:tab/>
        <w:t xml:space="preserve">A reference in this Chapter to an entity is to — </w:t>
      </w:r>
    </w:p>
    <w:p>
      <w:pPr>
        <w:pStyle w:val="Indenta"/>
        <w:rPr>
          <w:bCs/>
        </w:rPr>
      </w:pPr>
      <w:r>
        <w:tab/>
        <w:t>(a)</w:t>
      </w:r>
      <w:r>
        <w:tab/>
        <w:t>a corporation</w:t>
      </w:r>
      <w:r>
        <w:rPr>
          <w:bCs/>
        </w:rPr>
        <w:t>; and</w:t>
      </w:r>
    </w:p>
    <w:p>
      <w:pPr>
        <w:pStyle w:val="Indenta"/>
        <w:rPr>
          <w:bCs/>
        </w:rPr>
      </w:pPr>
      <w:r>
        <w:tab/>
        <w:t>(b)</w:t>
      </w:r>
      <w:r>
        <w:tab/>
        <w:t>a unit trust scheme.</w:t>
      </w:r>
    </w:p>
    <w:p>
      <w:pPr>
        <w:pStyle w:val="Subsection"/>
      </w:pPr>
      <w:r>
        <w:tab/>
        <w:t>(2)</w:t>
      </w:r>
      <w:r>
        <w:tab/>
        <w:t xml:space="preserve">Each of the following — </w:t>
      </w:r>
    </w:p>
    <w:p>
      <w:pPr>
        <w:pStyle w:val="Indenta"/>
      </w:pPr>
      <w:r>
        <w:tab/>
        <w:t>(a)</w:t>
      </w:r>
      <w:r>
        <w:tab/>
        <w:t>the trustee of a discretionary trust;</w:t>
      </w:r>
    </w:p>
    <w:p>
      <w:pPr>
        <w:pStyle w:val="Indenta"/>
      </w:pPr>
      <w:r>
        <w:tab/>
        <w:t>(b)</w:t>
      </w:r>
      <w:r>
        <w:tab/>
        <w:t>a partnership,</w:t>
      </w:r>
    </w:p>
    <w:p>
      <w:pPr>
        <w:pStyle w:val="Subsection"/>
      </w:pPr>
      <w:r>
        <w:tab/>
      </w:r>
      <w:r>
        <w:tab/>
        <w:t>is also an entity to this extent, namely that the trustee of a discretionary trust or a partnership may be a linked entity under section 156, but not otherwise.</w:t>
      </w:r>
    </w:p>
    <w:p>
      <w:pPr>
        <w:pStyle w:val="Heading5"/>
      </w:pPr>
      <w:bookmarkStart w:id="837" w:name="_Toc201998365"/>
      <w:bookmarkStart w:id="838" w:name="_Toc265588511"/>
      <w:bookmarkStart w:id="839" w:name="_Toc265580011"/>
      <w:r>
        <w:rPr>
          <w:rStyle w:val="CharSectno"/>
        </w:rPr>
        <w:t>153</w:t>
      </w:r>
      <w:r>
        <w:t>.</w:t>
      </w:r>
      <w:r>
        <w:tab/>
        <w:t>Meaning of “interest” in a landholder or other entity</w:t>
      </w:r>
      <w:bookmarkEnd w:id="837"/>
      <w:bookmarkEnd w:id="838"/>
      <w:bookmarkEnd w:id="839"/>
    </w:p>
    <w:p>
      <w:pPr>
        <w:pStyle w:val="Subsection"/>
      </w:pPr>
      <w:r>
        <w:tab/>
        <w:t>(1)</w:t>
      </w:r>
      <w:r>
        <w:tab/>
        <w:t>A reference in this Chapter to an interest in a landholder or other entity is to an entitlement to the surplus property of the landholder or other entity if it were to be wound up.</w:t>
      </w:r>
    </w:p>
    <w:p>
      <w:pPr>
        <w:pStyle w:val="Subsection"/>
        <w:keepNext/>
      </w:pPr>
      <w:r>
        <w:tab/>
        <w:t>(2)</w:t>
      </w:r>
      <w:r>
        <w:tab/>
        <w:t xml:space="preserve">A reference in this Chapter to an interest in a landholder or other entity together with — </w:t>
      </w:r>
    </w:p>
    <w:p>
      <w:pPr>
        <w:pStyle w:val="Indenta"/>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840" w:name="_Toc201998366"/>
      <w:bookmarkStart w:id="841" w:name="_Toc265588512"/>
      <w:bookmarkStart w:id="842" w:name="_Toc265580012"/>
      <w:r>
        <w:rPr>
          <w:rStyle w:val="CharSectno"/>
        </w:rPr>
        <w:t>154</w:t>
      </w:r>
      <w:r>
        <w:t>.</w:t>
      </w:r>
      <w:r>
        <w:tab/>
        <w:t>Determination of interests</w:t>
      </w:r>
      <w:bookmarkEnd w:id="840"/>
      <w:bookmarkEnd w:id="841"/>
      <w:bookmarkEnd w:id="842"/>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spacing w:before="120"/>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rPr>
          <w:sz w:val="28"/>
        </w:rPr>
      </w:pPr>
      <w:bookmarkStart w:id="843" w:name="_Toc201998367"/>
      <w:bookmarkStart w:id="844" w:name="_Toc201999623"/>
      <w:bookmarkStart w:id="845" w:name="_Toc202172142"/>
      <w:bookmarkStart w:id="846" w:name="_Toc202172550"/>
      <w:bookmarkStart w:id="847" w:name="_Toc202428788"/>
      <w:bookmarkStart w:id="848" w:name="_Toc264020648"/>
      <w:bookmarkStart w:id="849" w:name="_Toc264025001"/>
      <w:bookmarkStart w:id="850" w:name="_Toc265580013"/>
      <w:bookmarkStart w:id="851" w:name="_Toc265588095"/>
      <w:bookmarkStart w:id="852" w:name="_Toc265588513"/>
      <w:r>
        <w:rPr>
          <w:rStyle w:val="CharDivNo"/>
          <w:sz w:val="28"/>
        </w:rPr>
        <w:t>Part 4</w:t>
      </w:r>
      <w:r>
        <w:rPr>
          <w:sz w:val="28"/>
        </w:rPr>
        <w:t> — </w:t>
      </w:r>
      <w:r>
        <w:rPr>
          <w:rStyle w:val="CharDivText"/>
          <w:sz w:val="28"/>
        </w:rPr>
        <w:t>Landholders to which this Chapter applies</w:t>
      </w:r>
      <w:bookmarkEnd w:id="843"/>
      <w:bookmarkEnd w:id="844"/>
      <w:bookmarkEnd w:id="845"/>
      <w:bookmarkEnd w:id="846"/>
      <w:bookmarkEnd w:id="847"/>
      <w:bookmarkEnd w:id="848"/>
      <w:bookmarkEnd w:id="849"/>
      <w:bookmarkEnd w:id="850"/>
      <w:bookmarkEnd w:id="851"/>
      <w:bookmarkEnd w:id="852"/>
    </w:p>
    <w:p>
      <w:pPr>
        <w:pStyle w:val="Heading5"/>
      </w:pPr>
      <w:bookmarkStart w:id="853" w:name="_Toc201998368"/>
      <w:bookmarkStart w:id="854" w:name="_Toc265588514"/>
      <w:bookmarkStart w:id="855" w:name="_Toc265580014"/>
      <w:r>
        <w:rPr>
          <w:rStyle w:val="CharSectno"/>
        </w:rPr>
        <w:t>155</w:t>
      </w:r>
      <w:r>
        <w:t>.</w:t>
      </w:r>
      <w:r>
        <w:tab/>
        <w:t>Entities that are landholders</w:t>
      </w:r>
      <w:bookmarkEnd w:id="853"/>
      <w:bookmarkEnd w:id="854"/>
      <w:bookmarkEnd w:id="855"/>
    </w:p>
    <w:p>
      <w:pPr>
        <w:pStyle w:val="Subsection"/>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Western Australia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pPr>
      <w:r>
        <w:tab/>
        <w:t>(4)</w:t>
      </w:r>
      <w:r>
        <w:tab/>
      </w:r>
      <w:r>
        <w:tab/>
        <w:t xml:space="preserve">For the purposes of subsections (2)(a) and (3)(a) — </w:t>
      </w:r>
    </w:p>
    <w:p>
      <w:pPr>
        <w:pStyle w:val="Indenta"/>
      </w:pPr>
      <w:r>
        <w:tab/>
        <w:t>(a)</w:t>
      </w:r>
      <w:r>
        <w:tab/>
        <w:t xml:space="preserve">a partnership, as a linked entity, is entitled to land in Western Australia if the partnership property is or includes such land; and </w:t>
      </w:r>
    </w:p>
    <w:p>
      <w:pPr>
        <w:pStyle w:val="Indenta"/>
      </w:pPr>
      <w:r>
        <w:tab/>
        <w:t>(b)</w:t>
      </w:r>
      <w:r>
        <w:tab/>
        <w:t>a unit trust scheme, as a linked entity, is entitled to land in Western Australia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856" w:name="_Toc201998369"/>
      <w:bookmarkStart w:id="857" w:name="_Toc265588515"/>
      <w:bookmarkStart w:id="858" w:name="_Toc265580015"/>
      <w:r>
        <w:rPr>
          <w:rStyle w:val="CharSectno"/>
        </w:rPr>
        <w:t>156</w:t>
      </w:r>
      <w:r>
        <w:t>.</w:t>
      </w:r>
      <w:r>
        <w:tab/>
        <w:t>Entities that are linked</w:t>
      </w:r>
      <w:bookmarkEnd w:id="856"/>
      <w:bookmarkEnd w:id="857"/>
      <w:bookmarkEnd w:id="858"/>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keepNext/>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Heading5"/>
      </w:pPr>
      <w:bookmarkStart w:id="859" w:name="_Toc201998370"/>
      <w:bookmarkStart w:id="860" w:name="_Toc265588516"/>
      <w:bookmarkStart w:id="861" w:name="_Toc265580016"/>
      <w:r>
        <w:rPr>
          <w:rStyle w:val="CharSectno"/>
        </w:rPr>
        <w:t>157</w:t>
      </w:r>
      <w:r>
        <w:t>.</w:t>
      </w:r>
      <w:r>
        <w:tab/>
        <w:t>Value of land of linked entity</w:t>
      </w:r>
      <w:bookmarkEnd w:id="859"/>
      <w:bookmarkEnd w:id="860"/>
      <w:bookmarkEnd w:id="861"/>
    </w:p>
    <w:p>
      <w:pPr>
        <w:pStyle w:val="Subsection"/>
      </w:pPr>
      <w:r>
        <w:tab/>
        <w:t>(1)</w:t>
      </w:r>
      <w:r>
        <w:tab/>
        <w:t>This section applies where a linked entity is entitled to land in Western Australia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pPr>
      <w:r>
        <w:tab/>
        <w:t>(4)</w:t>
      </w:r>
      <w:r>
        <w:tab/>
        <w:t>In this section, a reference to an interest in an entity is, if the entity is the trustee of a discretionary trust, a reference to being a potential beneficiary under the trust.</w:t>
      </w:r>
    </w:p>
    <w:p>
      <w:pPr>
        <w:pStyle w:val="Heading5"/>
      </w:pPr>
      <w:bookmarkStart w:id="862" w:name="_Toc201998371"/>
      <w:bookmarkStart w:id="863" w:name="_Toc265588517"/>
      <w:bookmarkStart w:id="864" w:name="_Toc265580017"/>
      <w:r>
        <w:rPr>
          <w:rStyle w:val="CharSectno"/>
        </w:rPr>
        <w:t>158</w:t>
      </w:r>
      <w:r>
        <w:t>.</w:t>
      </w:r>
      <w:r>
        <w:tab/>
        <w:t>Extent of interest in discretionary trust</w:t>
      </w:r>
      <w:bookmarkEnd w:id="862"/>
      <w:bookmarkEnd w:id="863"/>
      <w:bookmarkEnd w:id="864"/>
    </w:p>
    <w:p>
      <w:pPr>
        <w:pStyle w:val="Subsection"/>
        <w:keepNext/>
        <w:keepLines/>
      </w:pPr>
      <w:r>
        <w:tab/>
      </w:r>
      <w:r>
        <w:tab/>
        <w:t xml:space="preserve">For the purposes of section 157, if the trustee of a discretionary trust is a linked entity, a potential beneficiary under the trust is taken to have — </w:t>
      </w:r>
    </w:p>
    <w:p>
      <w:pPr>
        <w:pStyle w:val="Indenta"/>
      </w:pPr>
      <w:r>
        <w:tab/>
        <w:t>(a)</w:t>
      </w:r>
      <w:r>
        <w:tab/>
        <w:t>a 100% interest in the trust; or</w:t>
      </w:r>
    </w:p>
    <w:p>
      <w:pPr>
        <w:pStyle w:val="Indenta"/>
      </w:pPr>
      <w:r>
        <w:tab/>
        <w:t>(b)</w:t>
      </w:r>
      <w:r>
        <w:tab/>
        <w:t xml:space="preserve">if the Commissioner decides in a particular case that the operation of paragraph (a) would be inequitable, either — </w:t>
      </w:r>
    </w:p>
    <w:p>
      <w:pPr>
        <w:pStyle w:val="Indenti"/>
      </w:pPr>
      <w:r>
        <w:tab/>
        <w:t>(i)</w:t>
      </w:r>
      <w:r>
        <w:tab/>
        <w:t>an interest in the trust of some other percentage; or</w:t>
      </w:r>
    </w:p>
    <w:p>
      <w:pPr>
        <w:pStyle w:val="Indenti"/>
      </w:pPr>
      <w:r>
        <w:tab/>
        <w:t>(ii)</w:t>
      </w:r>
      <w:r>
        <w:tab/>
        <w:t>no interest in the trust,</w:t>
      </w:r>
    </w:p>
    <w:p>
      <w:pPr>
        <w:pStyle w:val="Indenta"/>
      </w:pPr>
      <w:r>
        <w:tab/>
      </w:r>
      <w:r>
        <w:tab/>
        <w:t>as determined by the Commissioner.</w:t>
      </w:r>
    </w:p>
    <w:p>
      <w:pPr>
        <w:pStyle w:val="Heading5"/>
      </w:pPr>
      <w:bookmarkStart w:id="865" w:name="_Toc201998372"/>
      <w:bookmarkStart w:id="866" w:name="_Toc265588518"/>
      <w:bookmarkStart w:id="867" w:name="_Toc265580018"/>
      <w:r>
        <w:rPr>
          <w:rStyle w:val="CharSectno"/>
        </w:rPr>
        <w:t>159</w:t>
      </w:r>
      <w:r>
        <w:t>.</w:t>
      </w:r>
      <w:r>
        <w:tab/>
        <w:t>Extent of interest in partnership</w:t>
      </w:r>
      <w:bookmarkEnd w:id="865"/>
      <w:bookmarkEnd w:id="866"/>
      <w:bookmarkEnd w:id="867"/>
    </w:p>
    <w:p>
      <w:pPr>
        <w:pStyle w:val="Subsection"/>
      </w:pPr>
      <w:r>
        <w:tab/>
      </w:r>
      <w:r>
        <w:tab/>
        <w:t xml:space="preserve">For the purposes of section 157, if a partnership is a linked entity in respect of another entity, the percentage of the interest in the partnership of that entity is the percentage — </w:t>
      </w:r>
    </w:p>
    <w:p>
      <w:pPr>
        <w:pStyle w:val="Indenta"/>
      </w:pPr>
      <w:r>
        <w:tab/>
        <w:t>(a)</w:t>
      </w:r>
      <w:r>
        <w:tab/>
        <w:t>of the capital of the partnership that the entity has contributed or is required to contribute; or</w:t>
      </w:r>
    </w:p>
    <w:p>
      <w:pPr>
        <w:pStyle w:val="Indenta"/>
      </w:pPr>
      <w:r>
        <w:tab/>
        <w:t>(b)</w:t>
      </w:r>
      <w:r>
        <w:tab/>
        <w:t>of the losses of the partnership that the entity is required to bear,</w:t>
      </w:r>
    </w:p>
    <w:p>
      <w:pPr>
        <w:pStyle w:val="Subsection"/>
      </w:pPr>
      <w:r>
        <w:tab/>
      </w:r>
      <w:r>
        <w:tab/>
        <w:t>whichever is the greater or, if the percentage is the same in each case, that percentage.</w:t>
      </w:r>
    </w:p>
    <w:p>
      <w:pPr>
        <w:pStyle w:val="Heading3"/>
        <w:spacing w:before="120"/>
        <w:rPr>
          <w:sz w:val="28"/>
        </w:rPr>
      </w:pPr>
      <w:bookmarkStart w:id="868" w:name="_Toc201998373"/>
      <w:bookmarkStart w:id="869" w:name="_Toc201999629"/>
      <w:bookmarkStart w:id="870" w:name="_Toc202172148"/>
      <w:bookmarkStart w:id="871" w:name="_Toc202172556"/>
      <w:bookmarkStart w:id="872" w:name="_Toc202428794"/>
      <w:bookmarkStart w:id="873" w:name="_Toc264020654"/>
      <w:bookmarkStart w:id="874" w:name="_Toc264025007"/>
      <w:bookmarkStart w:id="875" w:name="_Toc265580019"/>
      <w:bookmarkStart w:id="876" w:name="_Toc265588101"/>
      <w:bookmarkStart w:id="877" w:name="_Toc265588519"/>
      <w:r>
        <w:rPr>
          <w:rStyle w:val="CharDivNo"/>
          <w:sz w:val="28"/>
        </w:rPr>
        <w:t>Part 5</w:t>
      </w:r>
      <w:r>
        <w:rPr>
          <w:sz w:val="28"/>
        </w:rPr>
        <w:t> — </w:t>
      </w:r>
      <w:r>
        <w:rPr>
          <w:rStyle w:val="CharDivText"/>
          <w:sz w:val="28"/>
        </w:rPr>
        <w:t>Acquisitions to which this Chapter applies</w:t>
      </w:r>
      <w:bookmarkEnd w:id="868"/>
      <w:bookmarkEnd w:id="869"/>
      <w:bookmarkEnd w:id="870"/>
      <w:bookmarkEnd w:id="871"/>
      <w:bookmarkEnd w:id="872"/>
      <w:bookmarkEnd w:id="873"/>
      <w:bookmarkEnd w:id="874"/>
      <w:bookmarkEnd w:id="875"/>
      <w:bookmarkEnd w:id="876"/>
      <w:bookmarkEnd w:id="877"/>
    </w:p>
    <w:p>
      <w:pPr>
        <w:pStyle w:val="Heading4"/>
        <w:spacing w:before="120"/>
        <w:rPr>
          <w:sz w:val="26"/>
        </w:rPr>
      </w:pPr>
      <w:bookmarkStart w:id="878" w:name="_Toc201998374"/>
      <w:bookmarkStart w:id="879" w:name="_Toc201999630"/>
      <w:bookmarkStart w:id="880" w:name="_Toc202172149"/>
      <w:bookmarkStart w:id="881" w:name="_Toc202172557"/>
      <w:bookmarkStart w:id="882" w:name="_Toc202428795"/>
      <w:bookmarkStart w:id="883" w:name="_Toc264020655"/>
      <w:bookmarkStart w:id="884" w:name="_Toc264025008"/>
      <w:bookmarkStart w:id="885" w:name="_Toc265580020"/>
      <w:bookmarkStart w:id="886" w:name="_Toc265588102"/>
      <w:bookmarkStart w:id="887" w:name="_Toc265588520"/>
      <w:r>
        <w:rPr>
          <w:sz w:val="26"/>
        </w:rPr>
        <w:t>Division 1 — Means by which interest acquired</w:t>
      </w:r>
      <w:bookmarkEnd w:id="878"/>
      <w:bookmarkEnd w:id="879"/>
      <w:bookmarkEnd w:id="880"/>
      <w:bookmarkEnd w:id="881"/>
      <w:bookmarkEnd w:id="882"/>
      <w:bookmarkEnd w:id="883"/>
      <w:bookmarkEnd w:id="884"/>
      <w:bookmarkEnd w:id="885"/>
      <w:bookmarkEnd w:id="886"/>
      <w:bookmarkEnd w:id="887"/>
    </w:p>
    <w:p>
      <w:pPr>
        <w:pStyle w:val="Heading5"/>
      </w:pPr>
      <w:bookmarkStart w:id="888" w:name="_Toc201998375"/>
      <w:bookmarkStart w:id="889" w:name="_Toc265588521"/>
      <w:bookmarkStart w:id="890" w:name="_Toc265580021"/>
      <w:r>
        <w:rPr>
          <w:rStyle w:val="CharSectno"/>
        </w:rPr>
        <w:t>160</w:t>
      </w:r>
      <w:r>
        <w:t>.</w:t>
      </w:r>
      <w:r>
        <w:tab/>
        <w:t>Acquisition of an interest in an entity</w:t>
      </w:r>
      <w:bookmarkEnd w:id="888"/>
      <w:bookmarkEnd w:id="889"/>
      <w:bookmarkEnd w:id="890"/>
    </w:p>
    <w:p>
      <w:pPr>
        <w:pStyle w:val="Subsection"/>
        <w:rPr>
          <w:lang w:val="en-US"/>
        </w:rPr>
      </w:pPr>
      <w:r>
        <w:tab/>
        <w:t>(1)</w:t>
      </w:r>
      <w:r>
        <w:tab/>
      </w:r>
      <w:r>
        <w:rPr>
          <w:lang w:val="en-US"/>
        </w:rPr>
        <w:t xml:space="preserve">A person acquires an interest in an entity if — </w:t>
      </w:r>
    </w:p>
    <w:p>
      <w:pPr>
        <w:pStyle w:val="Indenta"/>
        <w:rPr>
          <w:lang w:val="en-US"/>
        </w:rPr>
      </w:pPr>
      <w:r>
        <w:rPr>
          <w:lang w:val="en-US"/>
        </w:rPr>
        <w:tab/>
        <w:t>(a)</w:t>
      </w:r>
      <w:r>
        <w:rPr>
          <w:lang w:val="en-US"/>
        </w:rPr>
        <w:tab/>
        <w:t xml:space="preserve">the person obtains an interest in the entity; or </w:t>
      </w:r>
    </w:p>
    <w:p>
      <w:pPr>
        <w:pStyle w:val="Indenta"/>
        <w:rPr>
          <w:lang w:val="en-US"/>
        </w:rPr>
      </w:pPr>
      <w:r>
        <w:rPr>
          <w:lang w:val="en-US"/>
        </w:rPr>
        <w:tab/>
        <w:t>(b)</w:t>
      </w:r>
      <w:r>
        <w:rPr>
          <w:lang w:val="en-US"/>
        </w:rPr>
        <w:tab/>
        <w:t xml:space="preserve">the person’s interest in the entity increases, </w:t>
      </w:r>
    </w:p>
    <w:p>
      <w:pPr>
        <w:pStyle w:val="Subsection"/>
        <w:rPr>
          <w:lang w:val="en-US"/>
        </w:rPr>
      </w:pPr>
      <w:r>
        <w:rPr>
          <w:lang w:val="en-US"/>
        </w:rPr>
        <w:tab/>
      </w:r>
      <w:r>
        <w:rPr>
          <w:lang w:val="en-US"/>
        </w:rPr>
        <w:tab/>
        <w:t>regardless of how it is obtained or increased.</w:t>
      </w:r>
    </w:p>
    <w:p>
      <w:pPr>
        <w:pStyle w:val="Subsection"/>
        <w:rPr>
          <w:lang w:val="en-US"/>
        </w:rPr>
      </w:pPr>
      <w:r>
        <w:tab/>
        <w:t>(2)</w:t>
      </w:r>
      <w:r>
        <w:tab/>
      </w:r>
      <w:r>
        <w:rPr>
          <w:lang w:val="en-US"/>
        </w:rPr>
        <w:t>Without limiting subsection </w:t>
      </w:r>
      <w:r>
        <w:t>(1)</w:t>
      </w:r>
      <w:r>
        <w:rPr>
          <w:lang w:val="en-US"/>
        </w:rPr>
        <w:t xml:space="preserve">, a person may acquire an interest in a corporation or a unit trust scheme in the following ways — </w:t>
      </w:r>
    </w:p>
    <w:p>
      <w:pPr>
        <w:pStyle w:val="Indenta"/>
        <w:spacing w:before="60"/>
        <w:rPr>
          <w:lang w:val="en-US"/>
        </w:rPr>
      </w:pPr>
      <w:r>
        <w:tab/>
        <w:t>(a)</w:t>
      </w:r>
      <w:r>
        <w:tab/>
        <w:t xml:space="preserve">by </w:t>
      </w:r>
      <w:r>
        <w:rPr>
          <w:lang w:val="en-US"/>
        </w:rPr>
        <w:t>the purchase, gift, allotment or issue of a share or unit;</w:t>
      </w:r>
    </w:p>
    <w:p>
      <w:pPr>
        <w:pStyle w:val="Indenta"/>
        <w:spacing w:before="60"/>
        <w:rPr>
          <w:lang w:val="en-US"/>
        </w:rPr>
      </w:pPr>
      <w:r>
        <w:tab/>
        <w:t>(b)</w:t>
      </w:r>
      <w:r>
        <w:tab/>
        <w:t xml:space="preserve">by </w:t>
      </w:r>
      <w:r>
        <w:rPr>
          <w:lang w:val="en-US"/>
        </w:rPr>
        <w:t>the cancellation, redemption or surrender of a share or unit;</w:t>
      </w:r>
    </w:p>
    <w:p>
      <w:pPr>
        <w:pStyle w:val="Indenta"/>
        <w:spacing w:before="60"/>
        <w:rPr>
          <w:lang w:val="en-US"/>
        </w:rPr>
      </w:pPr>
      <w:r>
        <w:tab/>
        <w:t>(c)</w:t>
      </w:r>
      <w:r>
        <w:tab/>
        <w:t xml:space="preserve">by </w:t>
      </w:r>
      <w:r>
        <w:rPr>
          <w:lang w:val="en-US"/>
        </w:rPr>
        <w:t>the abrogation or alteration of any right in respect of a share or unit;</w:t>
      </w:r>
    </w:p>
    <w:p>
      <w:pPr>
        <w:pStyle w:val="Indenta"/>
        <w:spacing w:before="60"/>
        <w:rPr>
          <w:lang w:val="en-US"/>
        </w:rPr>
      </w:pPr>
      <w:r>
        <w:tab/>
        <w:t>(d)</w:t>
      </w:r>
      <w:r>
        <w:tab/>
        <w:t xml:space="preserve">by </w:t>
      </w:r>
      <w:r>
        <w:rPr>
          <w:lang w:val="en-US"/>
        </w:rPr>
        <w:t>the payment of an amount owing for a share or unit.</w:t>
      </w:r>
    </w:p>
    <w:p>
      <w:pPr>
        <w:pStyle w:val="Subsection"/>
        <w:spacing w:before="140"/>
        <w:rPr>
          <w:lang w:val="en-US"/>
        </w:rPr>
      </w:pPr>
      <w:r>
        <w:tab/>
        <w:t>(3)</w:t>
      </w:r>
      <w:r>
        <w:tab/>
        <w:t>T</w:t>
      </w:r>
      <w:r>
        <w:rPr>
          <w:lang w:val="en-US"/>
        </w:rPr>
        <w:t xml:space="preserve">o remove any doubt, it is declared that an interest in a </w:t>
      </w:r>
      <w:r>
        <w:t>corporation</w:t>
      </w:r>
      <w:r>
        <w:rPr>
          <w:lang w:val="en-US"/>
        </w:rPr>
        <w:t xml:space="preserve"> or a unit trust scheme may be acquired without the acquisition of shares in the </w:t>
      </w:r>
      <w:r>
        <w:t>corporation</w:t>
      </w:r>
      <w:r>
        <w:rPr>
          <w:lang w:val="en-US"/>
        </w:rPr>
        <w:t xml:space="preserve"> or units in the scheme.</w:t>
      </w:r>
    </w:p>
    <w:p>
      <w:pPr>
        <w:pStyle w:val="Heading4"/>
        <w:rPr>
          <w:sz w:val="26"/>
        </w:rPr>
      </w:pPr>
      <w:bookmarkStart w:id="891" w:name="_Toc201998376"/>
      <w:bookmarkStart w:id="892" w:name="_Toc201999632"/>
      <w:bookmarkStart w:id="893" w:name="_Toc202172151"/>
      <w:bookmarkStart w:id="894" w:name="_Toc202172559"/>
      <w:bookmarkStart w:id="895" w:name="_Toc202428797"/>
      <w:bookmarkStart w:id="896" w:name="_Toc264020657"/>
      <w:bookmarkStart w:id="897" w:name="_Toc264025010"/>
      <w:bookmarkStart w:id="898" w:name="_Toc265580022"/>
      <w:bookmarkStart w:id="899" w:name="_Toc265588104"/>
      <w:bookmarkStart w:id="900" w:name="_Toc265588522"/>
      <w:r>
        <w:rPr>
          <w:sz w:val="26"/>
        </w:rPr>
        <w:t>Division 2 — Relevant acquisitions of interests in landholders</w:t>
      </w:r>
      <w:bookmarkEnd w:id="891"/>
      <w:bookmarkEnd w:id="892"/>
      <w:bookmarkEnd w:id="893"/>
      <w:bookmarkEnd w:id="894"/>
      <w:bookmarkEnd w:id="895"/>
      <w:bookmarkEnd w:id="896"/>
      <w:bookmarkEnd w:id="897"/>
      <w:bookmarkEnd w:id="898"/>
      <w:bookmarkEnd w:id="899"/>
      <w:bookmarkEnd w:id="900"/>
    </w:p>
    <w:p>
      <w:pPr>
        <w:pStyle w:val="MiscellaneousHeading"/>
        <w:rPr>
          <w:b/>
          <w:bCs/>
        </w:rPr>
      </w:pPr>
      <w:r>
        <w:rPr>
          <w:b/>
          <w:bCs/>
        </w:rPr>
        <w:t xml:space="preserve">Subdivision 1 — Definitions </w:t>
      </w:r>
    </w:p>
    <w:p>
      <w:pPr>
        <w:pStyle w:val="Heading5"/>
      </w:pPr>
      <w:bookmarkStart w:id="901" w:name="_Toc201998377"/>
      <w:bookmarkStart w:id="902" w:name="_Toc265588523"/>
      <w:bookmarkStart w:id="903" w:name="_Toc265580023"/>
      <w:r>
        <w:rPr>
          <w:rStyle w:val="CharSectno"/>
        </w:rPr>
        <w:t>161</w:t>
      </w:r>
      <w:r>
        <w:t>.</w:t>
      </w:r>
      <w:r>
        <w:tab/>
        <w:t>Terms used in this Division</w:t>
      </w:r>
      <w:bookmarkEnd w:id="901"/>
      <w:bookmarkEnd w:id="902"/>
      <w:bookmarkEnd w:id="903"/>
    </w:p>
    <w:p>
      <w:pPr>
        <w:pStyle w:val="Subsection"/>
      </w:pPr>
      <w:r>
        <w:tab/>
      </w:r>
      <w:r>
        <w:tab/>
        <w:t xml:space="preserve">In this Division — </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Heading5"/>
      </w:pPr>
      <w:bookmarkStart w:id="904" w:name="_Toc201998378"/>
      <w:bookmarkStart w:id="905" w:name="_Toc265588524"/>
      <w:bookmarkStart w:id="906" w:name="_Toc265580024"/>
      <w:r>
        <w:rPr>
          <w:rStyle w:val="CharSectno"/>
        </w:rPr>
        <w:t>162</w:t>
      </w:r>
      <w:r>
        <w:t>.</w:t>
      </w:r>
      <w:r>
        <w:tab/>
        <w:t>Persons that are related</w:t>
      </w:r>
      <w:bookmarkEnd w:id="904"/>
      <w:bookmarkEnd w:id="905"/>
      <w:bookmarkEnd w:id="906"/>
    </w:p>
    <w:p>
      <w:pPr>
        <w:pStyle w:val="Subsection"/>
        <w:rPr>
          <w:snapToGrid w:val="0"/>
        </w:rPr>
      </w:pPr>
      <w:r>
        <w:tab/>
        <w:t>(1)</w:t>
      </w:r>
      <w:r>
        <w:tab/>
      </w:r>
      <w:r>
        <w:rPr>
          <w:snapToGrid w:val="0"/>
        </w:rPr>
        <w:t xml:space="preserve">For the purposes of sections 163 and 164 the following persons or entities are related persons —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rPr>
          <w:snapToGrid w:val="0"/>
        </w:rPr>
      </w:pPr>
      <w:r>
        <w:tab/>
        <w:t>(ii)</w:t>
      </w:r>
      <w:r>
        <w:tab/>
      </w:r>
      <w:r>
        <w:rPr>
          <w:snapToGrid w:val="0"/>
        </w:rPr>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rPr>
          <w:b/>
          <w:bCs/>
        </w:rPr>
      </w:pPr>
      <w:r>
        <w:rPr>
          <w:b/>
          <w:bCs/>
        </w:rPr>
        <w:t>Subdivision 2 — Relevant acquisitions</w:t>
      </w:r>
    </w:p>
    <w:p>
      <w:pPr>
        <w:pStyle w:val="Heading5"/>
      </w:pPr>
      <w:bookmarkStart w:id="907" w:name="_Toc201998379"/>
      <w:bookmarkStart w:id="908" w:name="_Toc265588525"/>
      <w:bookmarkStart w:id="909" w:name="_Toc265580025"/>
      <w:r>
        <w:rPr>
          <w:rStyle w:val="CharSectno"/>
        </w:rPr>
        <w:t>163</w:t>
      </w:r>
      <w:r>
        <w:t>.</w:t>
      </w:r>
      <w:r>
        <w:tab/>
        <w:t>Acquisition of significant interest in a landholder</w:t>
      </w:r>
      <w:bookmarkEnd w:id="907"/>
      <w:bookmarkEnd w:id="908"/>
      <w:bookmarkEnd w:id="909"/>
    </w:p>
    <w:p>
      <w:pPr>
        <w:pStyle w:val="Subsection"/>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pPr>
      <w:r>
        <w:tab/>
        <w:t>(b)</w:t>
      </w:r>
      <w:r>
        <w:tab/>
        <w:t xml:space="preserve">after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Heading5"/>
      </w:pPr>
      <w:bookmarkStart w:id="910" w:name="_Toc201998380"/>
      <w:bookmarkStart w:id="911" w:name="_Toc265588526"/>
      <w:bookmarkStart w:id="912" w:name="_Toc265580026"/>
      <w:r>
        <w:rPr>
          <w:rStyle w:val="CharSectno"/>
        </w:rPr>
        <w:t>164</w:t>
      </w:r>
      <w:r>
        <w:t>.</w:t>
      </w:r>
      <w:r>
        <w:tab/>
        <w:t>Acquisition of further interest by holder of significant interest</w:t>
      </w:r>
      <w:bookmarkEnd w:id="910"/>
      <w:bookmarkEnd w:id="911"/>
      <w:bookmarkEnd w:id="912"/>
    </w:p>
    <w:p>
      <w:pPr>
        <w:pStyle w:val="Subsection"/>
      </w:pPr>
      <w:r>
        <w:tab/>
      </w:r>
      <w:r>
        <w:tab/>
        <w:t xml:space="preserve">An acquisition by a person of an interest in an entity is also a </w:t>
      </w:r>
      <w:r>
        <w:rPr>
          <w:rStyle w:val="CharDefText"/>
        </w:rPr>
        <w:t>relevant acquisition</w:t>
      </w:r>
      <w:r>
        <w:t xml:space="preserve"> if — </w:t>
      </w:r>
    </w:p>
    <w:p>
      <w:pPr>
        <w:pStyle w:val="Indenta"/>
      </w:pPr>
      <w:r>
        <w:tab/>
        <w:t>(a)</w:t>
      </w:r>
      <w:r>
        <w:tab/>
        <w:t xml:space="preserve">immediately before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Indenta"/>
      </w:pPr>
      <w:r>
        <w:tab/>
      </w:r>
      <w:r>
        <w:tab/>
        <w:t>and</w:t>
      </w:r>
    </w:p>
    <w:p>
      <w:pPr>
        <w:pStyle w:val="Indenta"/>
      </w:pPr>
      <w:r>
        <w:tab/>
        <w:t>(b)</w:t>
      </w:r>
      <w:r>
        <w:tab/>
        <w:t>by the acquisition the person or any related person acquires, or the person and any related person acquire, a further interest in the landholder.</w:t>
      </w:r>
    </w:p>
    <w:p>
      <w:pPr>
        <w:pStyle w:val="MiscellaneousHeading"/>
        <w:rPr>
          <w:b/>
          <w:bCs/>
        </w:rPr>
      </w:pPr>
      <w:r>
        <w:rPr>
          <w:b/>
          <w:bCs/>
        </w:rPr>
        <w:t>Subdivision 3 — Exempt acquisitions</w:t>
      </w:r>
    </w:p>
    <w:p>
      <w:pPr>
        <w:pStyle w:val="Heading5"/>
      </w:pPr>
      <w:bookmarkStart w:id="913" w:name="_Toc201998381"/>
      <w:bookmarkStart w:id="914" w:name="_Toc265588527"/>
      <w:bookmarkStart w:id="915" w:name="_Toc265580027"/>
      <w:r>
        <w:rPr>
          <w:rStyle w:val="CharSectno"/>
        </w:rPr>
        <w:t>165</w:t>
      </w:r>
      <w:r>
        <w:t>.</w:t>
      </w:r>
      <w:r>
        <w:tab/>
        <w:t>Meaning of “acquisition” in this Subdivision</w:t>
      </w:r>
      <w:bookmarkEnd w:id="913"/>
      <w:bookmarkEnd w:id="914"/>
      <w:bookmarkEnd w:id="915"/>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916" w:name="_Toc201998382"/>
      <w:bookmarkStart w:id="917" w:name="_Toc265588528"/>
      <w:bookmarkStart w:id="918" w:name="_Toc265580028"/>
      <w:r>
        <w:rPr>
          <w:rStyle w:val="CharSectno"/>
        </w:rPr>
        <w:t>166</w:t>
      </w:r>
      <w:r>
        <w:t>.</w:t>
      </w:r>
      <w:r>
        <w:tab/>
        <w:t>Effect of acquisition being exempt</w:t>
      </w:r>
      <w:bookmarkEnd w:id="916"/>
      <w:bookmarkEnd w:id="917"/>
      <w:bookmarkEnd w:id="918"/>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189(2), 190(2) or 191(2) and is not an excluded interest under section 190(1) or 192.</w:t>
      </w:r>
    </w:p>
    <w:p>
      <w:pPr>
        <w:pStyle w:val="Heading5"/>
      </w:pPr>
      <w:bookmarkStart w:id="919" w:name="_Toc201998383"/>
      <w:bookmarkStart w:id="920" w:name="_Toc265588529"/>
      <w:bookmarkStart w:id="921" w:name="_Toc265580029"/>
      <w:r>
        <w:rPr>
          <w:rStyle w:val="CharSectno"/>
        </w:rPr>
        <w:t>167</w:t>
      </w:r>
      <w:r>
        <w:t>.</w:t>
      </w:r>
      <w:r>
        <w:tab/>
        <w:t>Exemption if nominal duty would be chargeable on transfer</w:t>
      </w:r>
      <w:bookmarkEnd w:id="919"/>
      <w:bookmarkEnd w:id="920"/>
      <w:bookmarkEnd w:id="921"/>
    </w:p>
    <w:p>
      <w:pPr>
        <w:pStyle w:val="Subsection"/>
      </w:pPr>
      <w:r>
        <w:tab/>
      </w:r>
      <w:r>
        <w:tab/>
        <w:t xml:space="preserve">An acquisition is exempt if it would have resulted in nominal duty being chargeable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Heading5"/>
      </w:pPr>
      <w:bookmarkStart w:id="922" w:name="_Toc201998384"/>
      <w:bookmarkStart w:id="923" w:name="_Toc265588530"/>
      <w:bookmarkStart w:id="924" w:name="_Toc265580030"/>
      <w:r>
        <w:rPr>
          <w:rStyle w:val="CharSectno"/>
        </w:rPr>
        <w:t>168</w:t>
      </w:r>
      <w:r>
        <w:t>.</w:t>
      </w:r>
      <w:r>
        <w:tab/>
        <w:t>Exemption if transfer duty would not be chargeable</w:t>
      </w:r>
      <w:bookmarkEnd w:id="922"/>
      <w:bookmarkEnd w:id="923"/>
      <w:bookmarkEnd w:id="924"/>
    </w:p>
    <w:p>
      <w:pPr>
        <w:pStyle w:val="Subsection"/>
      </w:pPr>
      <w:r>
        <w:tab/>
        <w:t>(1)</w:t>
      </w:r>
      <w:r>
        <w:tab/>
        <w:t xml:space="preserve">An acquisition is exempt if it would not have resulted in transfer duty being chargeable, other than under Chapter 6,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Subsection"/>
      </w:pPr>
      <w:r>
        <w:tab/>
        <w:t>(2)</w:t>
      </w:r>
      <w:r>
        <w:tab/>
        <w:t>This section does not apply to an acquisition to which section 171 applies.</w:t>
      </w:r>
    </w:p>
    <w:p>
      <w:pPr>
        <w:pStyle w:val="Heading5"/>
      </w:pPr>
      <w:bookmarkStart w:id="925" w:name="_Toc201998385"/>
      <w:bookmarkStart w:id="926" w:name="_Toc265588531"/>
      <w:bookmarkStart w:id="927" w:name="_Toc265580031"/>
      <w:r>
        <w:rPr>
          <w:rStyle w:val="CharSectno"/>
        </w:rPr>
        <w:t>169</w:t>
      </w:r>
      <w:r>
        <w:t>.</w:t>
      </w:r>
      <w:r>
        <w:tab/>
        <w:t>Exemption if acquisition is dutiable under section 67</w:t>
      </w:r>
      <w:bookmarkEnd w:id="925"/>
      <w:bookmarkEnd w:id="926"/>
      <w:bookmarkEnd w:id="927"/>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928" w:name="_Toc201998386"/>
      <w:bookmarkStart w:id="929" w:name="_Toc265588532"/>
      <w:bookmarkStart w:id="930" w:name="_Toc265580032"/>
      <w:r>
        <w:rPr>
          <w:rStyle w:val="CharSectno"/>
        </w:rPr>
        <w:t>170</w:t>
      </w:r>
      <w:r>
        <w:t>.</w:t>
      </w:r>
      <w:r>
        <w:tab/>
        <w:t xml:space="preserve">Exemption relating to approved arrangements with creditors under the </w:t>
      </w:r>
      <w:r>
        <w:rPr>
          <w:iCs/>
          <w:spacing w:val="-4"/>
          <w:kern w:val="2"/>
        </w:rPr>
        <w:t>Corporations Act</w:t>
      </w:r>
      <w:bookmarkEnd w:id="928"/>
      <w:bookmarkEnd w:id="929"/>
      <w:bookmarkEnd w:id="930"/>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931" w:name="_Toc201998387"/>
      <w:bookmarkStart w:id="932" w:name="_Toc265588533"/>
      <w:bookmarkStart w:id="933" w:name="_Toc265580033"/>
      <w:r>
        <w:rPr>
          <w:rStyle w:val="CharSectno"/>
        </w:rPr>
        <w:t>171</w:t>
      </w:r>
      <w:r>
        <w:t>.</w:t>
      </w:r>
      <w:r>
        <w:tab/>
        <w:t>Exemption of acquisition by family member of interest in corporation engaged in primary production</w:t>
      </w:r>
      <w:bookmarkEnd w:id="931"/>
      <w:bookmarkEnd w:id="932"/>
      <w:bookmarkEnd w:id="933"/>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rPr>
          <w:b/>
          <w:bCs/>
        </w:rPr>
      </w:pPr>
      <w:r>
        <w:rPr>
          <w:b/>
          <w:bCs/>
        </w:rPr>
        <w:t>Subdivision 4 — Further provisions in respect of exemptions under section 171</w:t>
      </w:r>
    </w:p>
    <w:p>
      <w:pPr>
        <w:pStyle w:val="Heading5"/>
      </w:pPr>
      <w:bookmarkStart w:id="934" w:name="_Toc201998388"/>
      <w:bookmarkStart w:id="935" w:name="_Toc265588534"/>
      <w:bookmarkStart w:id="936" w:name="_Toc265580034"/>
      <w:r>
        <w:rPr>
          <w:rStyle w:val="CharSectno"/>
        </w:rPr>
        <w:t>172</w:t>
      </w:r>
      <w:r>
        <w:t>.</w:t>
      </w:r>
      <w:r>
        <w:tab/>
        <w:t>Calculation of duty where some land of corporation not used for primary production</w:t>
      </w:r>
      <w:bookmarkEnd w:id="934"/>
      <w:bookmarkEnd w:id="935"/>
      <w:bookmarkEnd w:id="936"/>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pPr>
      <w:r>
        <w:tab/>
        <w:t>(a)</w:t>
      </w:r>
      <w:r>
        <w:tab/>
        <w:t>land in Western Australia that is used solely or dominantly in the business of primary production; and</w:t>
      </w:r>
    </w:p>
    <w:p>
      <w:pPr>
        <w:pStyle w:val="Indenta"/>
      </w:pPr>
      <w:r>
        <w:tab/>
        <w:t>(b)</w:t>
      </w:r>
      <w:r>
        <w:tab/>
        <w:t>land in Western Australia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pPr>
      <w:r>
        <w:tab/>
        <w:t>(a)</w:t>
      </w:r>
      <w:r>
        <w:tab/>
        <w:t xml:space="preserve">section 166 is not applicable to or in relation to the partially exempt acquisition; </w:t>
      </w:r>
    </w:p>
    <w:p>
      <w:pPr>
        <w:pStyle w:val="Indenta"/>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937" w:name="_Toc201998389"/>
      <w:bookmarkStart w:id="938" w:name="_Toc265588535"/>
      <w:bookmarkStart w:id="939" w:name="_Toc265580035"/>
      <w:r>
        <w:rPr>
          <w:rStyle w:val="CharSectno"/>
        </w:rPr>
        <w:t>173</w:t>
      </w:r>
      <w:r>
        <w:t>.</w:t>
      </w:r>
      <w:r>
        <w:tab/>
        <w:t>Reversal of exemption where certain changes made to discretionary trust</w:t>
      </w:r>
      <w:bookmarkEnd w:id="937"/>
      <w:bookmarkEnd w:id="938"/>
      <w:bookmarkEnd w:id="939"/>
    </w:p>
    <w:p>
      <w:pPr>
        <w:pStyle w:val="Subsection"/>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940" w:name="_Toc201998390"/>
      <w:bookmarkStart w:id="941" w:name="_Toc265588536"/>
      <w:bookmarkStart w:id="942" w:name="_Toc265580036"/>
      <w:r>
        <w:rPr>
          <w:rStyle w:val="CharSectno"/>
        </w:rPr>
        <w:t>174</w:t>
      </w:r>
      <w:r>
        <w:t>.</w:t>
      </w:r>
      <w:r>
        <w:tab/>
        <w:t>No exemption where interest transferred within 5 years</w:t>
      </w:r>
      <w:bookmarkEnd w:id="940"/>
      <w:bookmarkEnd w:id="941"/>
      <w:bookmarkEnd w:id="942"/>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943" w:name="_Toc201998391"/>
      <w:bookmarkStart w:id="944" w:name="_Toc201999647"/>
      <w:bookmarkStart w:id="945" w:name="_Toc202172166"/>
      <w:bookmarkStart w:id="946" w:name="_Toc202172574"/>
      <w:bookmarkStart w:id="947" w:name="_Toc202428812"/>
      <w:bookmarkStart w:id="948" w:name="_Toc264020672"/>
      <w:bookmarkStart w:id="949" w:name="_Toc264025025"/>
      <w:bookmarkStart w:id="950" w:name="_Toc265580037"/>
      <w:bookmarkStart w:id="951" w:name="_Toc265588119"/>
      <w:bookmarkStart w:id="952" w:name="_Toc265588537"/>
      <w:r>
        <w:rPr>
          <w:rStyle w:val="CharDivNo"/>
          <w:sz w:val="28"/>
        </w:rPr>
        <w:t>Part 6</w:t>
      </w:r>
      <w:r>
        <w:rPr>
          <w:sz w:val="28"/>
        </w:rPr>
        <w:t> — </w:t>
      </w:r>
      <w:r>
        <w:rPr>
          <w:rStyle w:val="CharDivText"/>
          <w:sz w:val="28"/>
        </w:rPr>
        <w:t>Collection of landholder duty</w:t>
      </w:r>
      <w:bookmarkEnd w:id="943"/>
      <w:bookmarkEnd w:id="944"/>
      <w:bookmarkEnd w:id="945"/>
      <w:bookmarkEnd w:id="946"/>
      <w:bookmarkEnd w:id="947"/>
      <w:bookmarkEnd w:id="948"/>
      <w:bookmarkEnd w:id="949"/>
      <w:bookmarkEnd w:id="950"/>
      <w:bookmarkEnd w:id="951"/>
      <w:bookmarkEnd w:id="952"/>
    </w:p>
    <w:p>
      <w:pPr>
        <w:pStyle w:val="Heading4"/>
        <w:keepLines/>
        <w:rPr>
          <w:sz w:val="26"/>
        </w:rPr>
      </w:pPr>
      <w:bookmarkStart w:id="953" w:name="_Toc201998392"/>
      <w:bookmarkStart w:id="954" w:name="_Toc201999648"/>
      <w:bookmarkStart w:id="955" w:name="_Toc202172167"/>
      <w:bookmarkStart w:id="956" w:name="_Toc202172575"/>
      <w:bookmarkStart w:id="957" w:name="_Toc202428813"/>
      <w:bookmarkStart w:id="958" w:name="_Toc264020673"/>
      <w:bookmarkStart w:id="959" w:name="_Toc264025026"/>
      <w:bookmarkStart w:id="960" w:name="_Toc265580038"/>
      <w:bookmarkStart w:id="961" w:name="_Toc265588120"/>
      <w:bookmarkStart w:id="962" w:name="_Toc265588538"/>
      <w:r>
        <w:rPr>
          <w:sz w:val="26"/>
        </w:rPr>
        <w:t>Division 1 — Preliminary</w:t>
      </w:r>
      <w:bookmarkEnd w:id="953"/>
      <w:bookmarkEnd w:id="954"/>
      <w:bookmarkEnd w:id="955"/>
      <w:bookmarkEnd w:id="956"/>
      <w:bookmarkEnd w:id="957"/>
      <w:bookmarkEnd w:id="958"/>
      <w:bookmarkEnd w:id="959"/>
      <w:bookmarkEnd w:id="960"/>
      <w:bookmarkEnd w:id="961"/>
      <w:bookmarkEnd w:id="962"/>
    </w:p>
    <w:p>
      <w:pPr>
        <w:pStyle w:val="Heading5"/>
      </w:pPr>
      <w:bookmarkStart w:id="963" w:name="_Toc201998393"/>
      <w:bookmarkStart w:id="964" w:name="_Toc265588539"/>
      <w:bookmarkStart w:id="965" w:name="_Toc265580039"/>
      <w:r>
        <w:rPr>
          <w:rStyle w:val="CharSectno"/>
        </w:rPr>
        <w:t>175</w:t>
      </w:r>
      <w:r>
        <w:t>.</w:t>
      </w:r>
      <w:r>
        <w:tab/>
        <w:t>The term “acquirer”</w:t>
      </w:r>
      <w:bookmarkEnd w:id="963"/>
      <w:bookmarkEnd w:id="964"/>
      <w:bookmarkEnd w:id="965"/>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966" w:name="_Toc201998394"/>
      <w:bookmarkStart w:id="967" w:name="_Toc265588540"/>
      <w:bookmarkStart w:id="968" w:name="_Toc265580040"/>
      <w:r>
        <w:rPr>
          <w:rStyle w:val="CharSectno"/>
        </w:rPr>
        <w:t>176</w:t>
      </w:r>
      <w:r>
        <w:t>.</w:t>
      </w:r>
      <w:r>
        <w:tab/>
        <w:t>When an acquisition occurs</w:t>
      </w:r>
      <w:bookmarkEnd w:id="966"/>
      <w:bookmarkEnd w:id="967"/>
      <w:bookmarkEnd w:id="968"/>
    </w:p>
    <w:p>
      <w:pPr>
        <w:pStyle w:val="Subsection"/>
      </w:pPr>
      <w:r>
        <w:tab/>
        <w:t>(1)</w:t>
      </w:r>
      <w:r>
        <w:tab/>
        <w:t>For the purposes of this Chapter, but subject to section 173(4)(c), the time when an acquisition of an interest in a landholder occurs is to be determined under this section.</w:t>
      </w:r>
    </w:p>
    <w:p>
      <w:pPr>
        <w:pStyle w:val="Subsection"/>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ind w:left="1418" w:hanging="1418"/>
        <w:rPr>
          <w:rFonts w:cs="Arial"/>
        </w:rPr>
      </w:pPr>
      <w:r>
        <w:tab/>
        <w:t>Note:</w:t>
      </w:r>
      <w:r>
        <w:tab/>
      </w:r>
      <w:r>
        <w:rPr>
          <w:rFonts w:cs="Arial"/>
        </w:rPr>
        <w:t>Section 196 provides for the reassessment of duty if an agreement referred to in this subsection is not completed.</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(4)</w:t>
      </w:r>
      <w:r>
        <w:tab/>
        <w:t>If subsections (2) and (3) do not apply, the acquisition occurs when the interest to which it relates is acquired.</w:t>
      </w:r>
    </w:p>
    <w:p>
      <w:pPr>
        <w:pStyle w:val="Heading5"/>
      </w:pPr>
      <w:bookmarkStart w:id="969" w:name="_Toc201998395"/>
      <w:bookmarkStart w:id="970" w:name="_Toc265588541"/>
      <w:bookmarkStart w:id="971" w:name="_Toc265580041"/>
      <w:r>
        <w:rPr>
          <w:rStyle w:val="CharSectno"/>
        </w:rPr>
        <w:t>177</w:t>
      </w:r>
      <w:r>
        <w:t>.</w:t>
      </w:r>
      <w:r>
        <w:tab/>
        <w:t>Certain transactions to be treated as agreements</w:t>
      </w:r>
      <w:bookmarkEnd w:id="969"/>
      <w:bookmarkEnd w:id="970"/>
      <w:bookmarkEnd w:id="971"/>
    </w:p>
    <w:p>
      <w:pPr>
        <w:pStyle w:val="Subsection"/>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pPr>
      <w:bookmarkStart w:id="972" w:name="_Toc201998396"/>
      <w:bookmarkStart w:id="973" w:name="_Toc265588542"/>
      <w:bookmarkStart w:id="974" w:name="_Toc265580042"/>
      <w:r>
        <w:rPr>
          <w:rStyle w:val="CharSectno"/>
        </w:rPr>
        <w:t>178</w:t>
      </w:r>
      <w:r>
        <w:t>.</w:t>
      </w:r>
      <w:r>
        <w:tab/>
        <w:t>Exceptions to section 177</w:t>
      </w:r>
      <w:bookmarkEnd w:id="972"/>
      <w:bookmarkEnd w:id="973"/>
      <w:bookmarkEnd w:id="974"/>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rPr>
          <w:sz w:val="26"/>
        </w:rPr>
      </w:pPr>
      <w:bookmarkStart w:id="975" w:name="_Toc201998397"/>
      <w:bookmarkStart w:id="976" w:name="_Toc201999653"/>
      <w:bookmarkStart w:id="977" w:name="_Toc202172172"/>
      <w:bookmarkStart w:id="978" w:name="_Toc202172580"/>
      <w:bookmarkStart w:id="979" w:name="_Toc202428818"/>
      <w:bookmarkStart w:id="980" w:name="_Toc264020678"/>
      <w:bookmarkStart w:id="981" w:name="_Toc264025031"/>
      <w:bookmarkStart w:id="982" w:name="_Toc265580043"/>
      <w:bookmarkStart w:id="983" w:name="_Toc265588125"/>
      <w:bookmarkStart w:id="984" w:name="_Toc265588543"/>
      <w:r>
        <w:rPr>
          <w:sz w:val="26"/>
        </w:rPr>
        <w:t>Division 2 — Liability</w:t>
      </w:r>
      <w:bookmarkEnd w:id="975"/>
      <w:bookmarkEnd w:id="976"/>
      <w:bookmarkEnd w:id="977"/>
      <w:bookmarkEnd w:id="978"/>
      <w:bookmarkEnd w:id="979"/>
      <w:bookmarkEnd w:id="980"/>
      <w:bookmarkEnd w:id="981"/>
      <w:bookmarkEnd w:id="982"/>
      <w:bookmarkEnd w:id="983"/>
      <w:bookmarkEnd w:id="984"/>
    </w:p>
    <w:p>
      <w:pPr>
        <w:pStyle w:val="Heading5"/>
      </w:pPr>
      <w:bookmarkStart w:id="985" w:name="_Toc201998398"/>
      <w:bookmarkStart w:id="986" w:name="_Toc265588544"/>
      <w:bookmarkStart w:id="987" w:name="_Toc265580044"/>
      <w:r>
        <w:rPr>
          <w:rStyle w:val="CharSectno"/>
        </w:rPr>
        <w:t>179</w:t>
      </w:r>
      <w:r>
        <w:t>.</w:t>
      </w:r>
      <w:r>
        <w:tab/>
        <w:t>Person liable to pay duty</w:t>
      </w:r>
      <w:bookmarkEnd w:id="985"/>
      <w:bookmarkEnd w:id="986"/>
      <w:bookmarkEnd w:id="987"/>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Heading5"/>
      </w:pPr>
      <w:bookmarkStart w:id="988" w:name="_Toc201998399"/>
      <w:bookmarkStart w:id="989" w:name="_Toc265588545"/>
      <w:bookmarkStart w:id="990" w:name="_Toc265580045"/>
      <w:r>
        <w:rPr>
          <w:rStyle w:val="CharSectno"/>
        </w:rPr>
        <w:t>180</w:t>
      </w:r>
      <w:r>
        <w:t>.</w:t>
      </w:r>
      <w:r>
        <w:tab/>
        <w:t>Application to Commissioner for determination of liability</w:t>
      </w:r>
      <w:bookmarkEnd w:id="988"/>
      <w:bookmarkEnd w:id="989"/>
      <w:bookmarkEnd w:id="990"/>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pPr>
      <w:r>
        <w:tab/>
        <w:t>(a)</w:t>
      </w:r>
      <w:r>
        <w:tab/>
        <w:t>the Commissioner is to make the requested determination; and</w:t>
      </w:r>
    </w:p>
    <w:p>
      <w:pPr>
        <w:pStyle w:val="Indenta"/>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pPr>
      <w:bookmarkStart w:id="991" w:name="_Toc201998400"/>
      <w:bookmarkStart w:id="992" w:name="_Toc265588546"/>
      <w:bookmarkStart w:id="993" w:name="_Toc265580046"/>
      <w:r>
        <w:rPr>
          <w:rStyle w:val="CharSectno"/>
        </w:rPr>
        <w:t>181</w:t>
      </w:r>
      <w:r>
        <w:t>.</w:t>
      </w:r>
      <w:r>
        <w:tab/>
        <w:t>Determination of application</w:t>
      </w:r>
      <w:bookmarkEnd w:id="991"/>
      <w:bookmarkEnd w:id="992"/>
      <w:bookmarkEnd w:id="993"/>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pPr>
      <w:bookmarkStart w:id="994" w:name="_Toc201998401"/>
      <w:bookmarkStart w:id="995" w:name="_Toc265588547"/>
      <w:bookmarkStart w:id="996" w:name="_Toc265580047"/>
      <w:r>
        <w:rPr>
          <w:rStyle w:val="CharSectno"/>
        </w:rPr>
        <w:t>182</w:t>
      </w:r>
      <w:r>
        <w:t>.</w:t>
      </w:r>
      <w:r>
        <w:tab/>
        <w:t>Powers of Commissioner where further information required for determination of application</w:t>
      </w:r>
      <w:bookmarkEnd w:id="994"/>
      <w:bookmarkEnd w:id="995"/>
      <w:bookmarkEnd w:id="996"/>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keepNext/>
      </w:pPr>
      <w:r>
        <w:tab/>
        <w:t>(b)</w:t>
      </w:r>
      <w:r>
        <w:tab/>
        <w:t>by written notice require the applicant to provide further information or evidence to the Commissioner within a specified period,</w:t>
      </w:r>
    </w:p>
    <w:p>
      <w:pPr>
        <w:pStyle w:val="Subsection"/>
        <w:keepNext/>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997" w:name="_Toc201998402"/>
      <w:bookmarkStart w:id="998" w:name="_Toc201999658"/>
      <w:bookmarkStart w:id="999" w:name="_Toc202172177"/>
      <w:bookmarkStart w:id="1000" w:name="_Toc202172585"/>
      <w:bookmarkStart w:id="1001" w:name="_Toc202428823"/>
      <w:bookmarkStart w:id="1002" w:name="_Toc264020683"/>
      <w:bookmarkStart w:id="1003" w:name="_Toc264025036"/>
      <w:bookmarkStart w:id="1004" w:name="_Toc265580048"/>
      <w:bookmarkStart w:id="1005" w:name="_Toc265588130"/>
      <w:bookmarkStart w:id="1006" w:name="_Toc265588548"/>
      <w:r>
        <w:rPr>
          <w:sz w:val="26"/>
        </w:rPr>
        <w:t>Division 3 — Payment of landholder duty</w:t>
      </w:r>
      <w:bookmarkEnd w:id="997"/>
      <w:bookmarkEnd w:id="998"/>
      <w:bookmarkEnd w:id="999"/>
      <w:bookmarkEnd w:id="1000"/>
      <w:bookmarkEnd w:id="1001"/>
      <w:bookmarkEnd w:id="1002"/>
      <w:bookmarkEnd w:id="1003"/>
      <w:bookmarkEnd w:id="1004"/>
      <w:bookmarkEnd w:id="1005"/>
      <w:bookmarkEnd w:id="1006"/>
    </w:p>
    <w:p>
      <w:pPr>
        <w:pStyle w:val="Heading5"/>
      </w:pPr>
      <w:bookmarkStart w:id="1007" w:name="_Toc201998403"/>
      <w:bookmarkStart w:id="1008" w:name="_Toc265588549"/>
      <w:bookmarkStart w:id="1009" w:name="_Toc265580049"/>
      <w:r>
        <w:rPr>
          <w:rStyle w:val="CharSectno"/>
        </w:rPr>
        <w:t>183</w:t>
      </w:r>
      <w:r>
        <w:t>.</w:t>
      </w:r>
      <w:r>
        <w:tab/>
        <w:t>Payment of landholder duty</w:t>
      </w:r>
      <w:bookmarkEnd w:id="1007"/>
      <w:bookmarkEnd w:id="1008"/>
      <w:bookmarkEnd w:id="1009"/>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rPr>
          <w:sz w:val="26"/>
        </w:rPr>
      </w:pPr>
      <w:bookmarkStart w:id="1010" w:name="_Toc201998404"/>
      <w:bookmarkStart w:id="1011" w:name="_Toc201999660"/>
      <w:bookmarkStart w:id="1012" w:name="_Toc202172179"/>
      <w:bookmarkStart w:id="1013" w:name="_Toc202172587"/>
      <w:bookmarkStart w:id="1014" w:name="_Toc202428825"/>
      <w:bookmarkStart w:id="1015" w:name="_Toc264020685"/>
      <w:bookmarkStart w:id="1016" w:name="_Toc264025038"/>
      <w:bookmarkStart w:id="1017" w:name="_Toc265580050"/>
      <w:bookmarkStart w:id="1018" w:name="_Toc265588132"/>
      <w:bookmarkStart w:id="1019" w:name="_Toc265588550"/>
      <w:r>
        <w:rPr>
          <w:sz w:val="26"/>
        </w:rPr>
        <w:t>Division 4 — Rates of landholder duty</w:t>
      </w:r>
      <w:bookmarkEnd w:id="1010"/>
      <w:bookmarkEnd w:id="1011"/>
      <w:bookmarkEnd w:id="1012"/>
      <w:bookmarkEnd w:id="1013"/>
      <w:bookmarkEnd w:id="1014"/>
      <w:bookmarkEnd w:id="1015"/>
      <w:bookmarkEnd w:id="1016"/>
      <w:bookmarkEnd w:id="1017"/>
      <w:bookmarkEnd w:id="1018"/>
      <w:bookmarkEnd w:id="1019"/>
    </w:p>
    <w:p>
      <w:pPr>
        <w:pStyle w:val="Heading5"/>
      </w:pPr>
      <w:bookmarkStart w:id="1020" w:name="_Toc201998405"/>
      <w:bookmarkStart w:id="1021" w:name="_Toc265588551"/>
      <w:bookmarkStart w:id="1022" w:name="_Toc265580051"/>
      <w:r>
        <w:rPr>
          <w:rStyle w:val="CharSectno"/>
        </w:rPr>
        <w:t>184</w:t>
      </w:r>
      <w:r>
        <w:t>.</w:t>
      </w:r>
      <w:r>
        <w:tab/>
        <w:t>Rates of landholder duty</w:t>
      </w:r>
      <w:bookmarkEnd w:id="1020"/>
      <w:bookmarkEnd w:id="1021"/>
      <w:bookmarkEnd w:id="1022"/>
    </w:p>
    <w:p>
      <w:pPr>
        <w:pStyle w:val="Subsection"/>
      </w:pPr>
      <w:r>
        <w:tab/>
        <w:t>(1)</w:t>
      </w:r>
      <w:r>
        <w:tab/>
        <w:t>Duty is chargeable at the general rate of duty set out in Schedule 2.</w:t>
      </w:r>
    </w:p>
    <w:p>
      <w:pPr>
        <w:pStyle w:val="Subsection"/>
      </w:pPr>
      <w:r>
        <w:tab/>
        <w:t>(2)</w:t>
      </w:r>
      <w:r>
        <w:tab/>
        <w:t>For the purposes of subsection (1) the value referred to in section 188(1), 189(2) or 191(2), as the case may require, is taken to be the dutiable value.</w:t>
      </w:r>
    </w:p>
    <w:p>
      <w:pPr>
        <w:pStyle w:val="Heading4"/>
        <w:rPr>
          <w:sz w:val="26"/>
        </w:rPr>
      </w:pPr>
      <w:bookmarkStart w:id="1023" w:name="_Toc201998406"/>
      <w:bookmarkStart w:id="1024" w:name="_Toc201999662"/>
      <w:bookmarkStart w:id="1025" w:name="_Toc202172181"/>
      <w:bookmarkStart w:id="1026" w:name="_Toc202172589"/>
      <w:bookmarkStart w:id="1027" w:name="_Toc202428827"/>
      <w:bookmarkStart w:id="1028" w:name="_Toc264020687"/>
      <w:bookmarkStart w:id="1029" w:name="_Toc264025040"/>
      <w:bookmarkStart w:id="1030" w:name="_Toc265580052"/>
      <w:bookmarkStart w:id="1031" w:name="_Toc265588134"/>
      <w:bookmarkStart w:id="1032" w:name="_Toc265588552"/>
      <w:r>
        <w:rPr>
          <w:sz w:val="26"/>
        </w:rPr>
        <w:t>Division 5 — Calculation of landholder duty</w:t>
      </w:r>
      <w:bookmarkEnd w:id="1023"/>
      <w:bookmarkEnd w:id="1024"/>
      <w:bookmarkEnd w:id="1025"/>
      <w:bookmarkEnd w:id="1026"/>
      <w:bookmarkEnd w:id="1027"/>
      <w:bookmarkEnd w:id="1028"/>
      <w:bookmarkEnd w:id="1029"/>
      <w:bookmarkEnd w:id="1030"/>
      <w:bookmarkEnd w:id="1031"/>
      <w:bookmarkEnd w:id="1032"/>
    </w:p>
    <w:p>
      <w:pPr>
        <w:pStyle w:val="Heading5"/>
      </w:pPr>
      <w:bookmarkStart w:id="1033" w:name="_Toc201998407"/>
      <w:bookmarkStart w:id="1034" w:name="_Toc265588553"/>
      <w:bookmarkStart w:id="1035" w:name="_Toc265580053"/>
      <w:r>
        <w:rPr>
          <w:rStyle w:val="CharSectno"/>
        </w:rPr>
        <w:t>185</w:t>
      </w:r>
      <w:r>
        <w:t>.</w:t>
      </w:r>
      <w:r>
        <w:tab/>
        <w:t>The term “interest of the acquirer”</w:t>
      </w:r>
      <w:bookmarkEnd w:id="1033"/>
      <w:bookmarkEnd w:id="1034"/>
      <w:bookmarkEnd w:id="1035"/>
    </w:p>
    <w:p>
      <w:pPr>
        <w:pStyle w:val="Subsection"/>
        <w:rPr>
          <w:bCs/>
        </w:rPr>
      </w:pPr>
      <w:r>
        <w:tab/>
      </w:r>
      <w:r>
        <w:tab/>
        <w:t>A reference in this Division to the interest of the acquirer</w:t>
      </w:r>
      <w:r>
        <w:rPr>
          <w:bCs/>
        </w:rPr>
        <w:t xml:space="preserve">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pPr>
      <w:bookmarkStart w:id="1036" w:name="_Toc201998408"/>
      <w:bookmarkStart w:id="1037" w:name="_Toc265588554"/>
      <w:bookmarkStart w:id="1038" w:name="_Toc265580054"/>
      <w:r>
        <w:rPr>
          <w:rStyle w:val="CharSectno"/>
        </w:rPr>
        <w:t>186</w:t>
      </w:r>
      <w:r>
        <w:t>.</w:t>
      </w:r>
      <w:r>
        <w:tab/>
        <w:t>Value of landholder</w:t>
      </w:r>
      <w:bookmarkEnd w:id="1036"/>
      <w:bookmarkEnd w:id="1037"/>
      <w:bookmarkEnd w:id="1038"/>
    </w:p>
    <w:p>
      <w:pPr>
        <w:pStyle w:val="Subsection"/>
        <w:spacing w:before="120"/>
      </w:pPr>
      <w:r>
        <w:tab/>
        <w:t>(1)</w:t>
      </w:r>
      <w:r>
        <w:tab/>
        <w:t xml:space="preserve">For the purposes of calculating duty in respect of a relevant acquisition the value of a landholder is taken to be the sum of — </w:t>
      </w:r>
    </w:p>
    <w:p>
      <w:pPr>
        <w:pStyle w:val="Indenta"/>
        <w:spacing w:before="60"/>
      </w:pPr>
      <w:r>
        <w:tab/>
        <w:t>(a)</w:t>
      </w:r>
      <w:r>
        <w:tab/>
        <w:t>the unencumbered value of the land and chattels in Western Australia to which the landholder is entitled; and</w:t>
      </w:r>
    </w:p>
    <w:p>
      <w:pPr>
        <w:pStyle w:val="Indenta"/>
        <w:spacing w:before="60"/>
      </w:pPr>
      <w:r>
        <w:tab/>
        <w:t>(b)</w:t>
      </w:r>
      <w:r>
        <w:tab/>
        <w:t>the same percentage of the unencumbered value of the land and chattels in Western Australia to which any linked entity in respect of the landholder is entitled as the percentage of the landholder’s interest in the linked entity taken into account under section 157.</w:t>
      </w:r>
    </w:p>
    <w:p>
      <w:pPr>
        <w:pStyle w:val="Subsection"/>
      </w:pPr>
      <w:r>
        <w:tab/>
        <w:t>(2)</w:t>
      </w:r>
      <w:r>
        <w:tab/>
        <w:t>Except where section 187 applies, the entitlements referred to in subsection (1) are to be those that exist immediately after the relevant acquisition.</w:t>
      </w:r>
    </w:p>
    <w:p>
      <w:pPr>
        <w:pStyle w:val="Heading5"/>
      </w:pPr>
      <w:bookmarkStart w:id="1039" w:name="_Toc201998409"/>
      <w:bookmarkStart w:id="1040" w:name="_Toc265588555"/>
      <w:bookmarkStart w:id="1041" w:name="_Toc265580055"/>
      <w:r>
        <w:rPr>
          <w:rStyle w:val="CharSectno"/>
        </w:rPr>
        <w:t>187</w:t>
      </w:r>
      <w:r>
        <w:t>.</w:t>
      </w:r>
      <w:r>
        <w:tab/>
        <w:t>Time of determination of the value of further interests for calculation of duty</w:t>
      </w:r>
      <w:bookmarkEnd w:id="1039"/>
      <w:bookmarkEnd w:id="1040"/>
      <w:bookmarkEnd w:id="1041"/>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191(3);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Heading5"/>
      </w:pPr>
      <w:bookmarkStart w:id="1042" w:name="_Toc201998410"/>
      <w:bookmarkStart w:id="1043" w:name="_Toc265588556"/>
      <w:bookmarkStart w:id="1044" w:name="_Toc265580056"/>
      <w:r>
        <w:rPr>
          <w:rStyle w:val="CharSectno"/>
        </w:rPr>
        <w:t>188</w:t>
      </w:r>
      <w:r>
        <w:t>.</w:t>
      </w:r>
      <w:r>
        <w:tab/>
        <w:t>Calculation of duty</w:t>
      </w:r>
      <w:bookmarkEnd w:id="1042"/>
      <w:bookmarkEnd w:id="1043"/>
      <w:bookmarkEnd w:id="1044"/>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deduction is made under section 189 or 191.</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Heading5"/>
      </w:pPr>
      <w:bookmarkStart w:id="1045" w:name="_Toc201998411"/>
      <w:bookmarkStart w:id="1046" w:name="_Toc265588557"/>
      <w:bookmarkStart w:id="1047" w:name="_Toc265580057"/>
      <w:r>
        <w:rPr>
          <w:rStyle w:val="CharSectno"/>
        </w:rPr>
        <w:t>189</w:t>
      </w:r>
      <w:r>
        <w:t>.</w:t>
      </w:r>
      <w:r>
        <w:tab/>
        <w:t>Reduction where significant interest acquired in a landholder</w:t>
      </w:r>
      <w:bookmarkEnd w:id="1045"/>
      <w:bookmarkEnd w:id="1046"/>
      <w:bookmarkEnd w:id="1047"/>
    </w:p>
    <w:p>
      <w:pPr>
        <w:pStyle w:val="Subsection"/>
      </w:pPr>
      <w:r>
        <w:tab/>
        <w:t>(1)</w:t>
      </w:r>
      <w:r>
        <w:tab/>
        <w:t>This section applies to the calculation of duty in respect of a relevant acquisition described in section 163.</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1048" w:name="_Toc201998412"/>
      <w:bookmarkStart w:id="1049" w:name="_Toc265588558"/>
      <w:bookmarkStart w:id="1050" w:name="_Toc265580058"/>
      <w:r>
        <w:rPr>
          <w:rStyle w:val="CharSectno"/>
        </w:rPr>
        <w:t>190</w:t>
      </w:r>
      <w:r>
        <w:t>.</w:t>
      </w:r>
      <w:r>
        <w:tab/>
        <w:t>Meaning of “excluded interest” for section 189</w:t>
      </w:r>
      <w:bookmarkEnd w:id="1048"/>
      <w:bookmarkEnd w:id="1049"/>
      <w:bookmarkEnd w:id="1050"/>
    </w:p>
    <w:p>
      <w:pPr>
        <w:pStyle w:val="Subsection"/>
      </w:pPr>
      <w:r>
        <w:tab/>
        <w:t>(1)</w:t>
      </w:r>
      <w:r>
        <w:tab/>
        <w:t xml:space="preserve">The reference in section 189 to an excluded interest is to an interest in the landholder concerned that is part of the interest of the acquirer, being — </w:t>
      </w:r>
    </w:p>
    <w:p>
      <w:pPr>
        <w:pStyle w:val="Indenta"/>
      </w:pPr>
      <w:r>
        <w:tab/>
        <w:t>(a)</w:t>
      </w:r>
      <w:r>
        <w:tab/>
        <w:t>an interest, other than one to which subsection (2) applies, that was held by the person or a related person, or by the person and a related person, before the day that is 3 years before the day on which the relevant acquisition occurred; or</w:t>
      </w:r>
    </w:p>
    <w:p>
      <w:pPr>
        <w:pStyle w:val="Indenta"/>
      </w:pPr>
      <w:r>
        <w:tab/>
        <w:t>(b)</w:t>
      </w:r>
      <w:r>
        <w:tab/>
        <w:t>an interest in the landholder concerned acquired by an acquisition if immediately before the acquisition neither the landholder nor a linked entity in respect of the landholder was entitled to land in Western Australia.</w:t>
      </w:r>
    </w:p>
    <w:p>
      <w:pPr>
        <w:pStyle w:val="NotesPerm"/>
        <w:tabs>
          <w:tab w:val="left" w:pos="1418"/>
        </w:tabs>
        <w:ind w:left="1418" w:hanging="1418"/>
      </w:pPr>
      <w:r>
        <w:tab/>
        <w:t>Note:</w:t>
      </w:r>
      <w:r>
        <w:tab/>
        <w:t>The operation of subsection (1) is modified if the day paragraph (a) refers to is before 1 July 2008: see Schedule 3 clause 13(1).</w:t>
      </w:r>
    </w:p>
    <w:p>
      <w:pPr>
        <w:pStyle w:val="Subsection"/>
        <w:rPr>
          <w:bCs/>
          <w:iCs/>
        </w:rPr>
      </w:pPr>
      <w:r>
        <w:tab/>
        <w:t>(2)</w:t>
      </w:r>
      <w:r>
        <w:tab/>
        <w:t>This subsection applies to an interest in the landholder</w:t>
      </w:r>
      <w:r>
        <w:rPr>
          <w:bCs/>
        </w:rPr>
        <w:t xml:space="preserve"> acquired by an acquisition (the </w:t>
      </w:r>
      <w:r>
        <w:rPr>
          <w:rStyle w:val="CharDefText"/>
        </w:rPr>
        <w:t>earlier acquisition</w:t>
      </w:r>
      <w:r>
        <w:t>) if the relevant acquisition in respect of which duty is to be calculated under section 188(1) was made pursuant to an arrangement entered into during the prescribed period in respect of the earlier acquisition.</w:t>
      </w:r>
    </w:p>
    <w:p>
      <w:pPr>
        <w:pStyle w:val="Subsection"/>
        <w:rPr>
          <w:bCs/>
        </w:rPr>
      </w:pPr>
      <w:r>
        <w:tab/>
        <w:t>(3)</w:t>
      </w:r>
      <w:r>
        <w:tab/>
        <w:t xml:space="preserve">The reference in subsection (2) to the </w:t>
      </w:r>
      <w:r>
        <w:rPr>
          <w:bCs/>
        </w:rPr>
        <w:t>prescribed</w:t>
      </w:r>
      <w:r>
        <w:t xml:space="preserve"> period</w:t>
      </w:r>
      <w:r>
        <w:rPr>
          <w:bCs/>
        </w:rPr>
        <w:t xml:space="preserve"> in respect of the earlier acquisition is to the period beginning on the day that is 3 years before the day on which the earlier acquisition occurred and ending on the day that is 3 years after that day.</w:t>
      </w:r>
    </w:p>
    <w:p>
      <w:pPr>
        <w:pStyle w:val="Heading5"/>
      </w:pPr>
      <w:bookmarkStart w:id="1051" w:name="_Toc201998413"/>
      <w:bookmarkStart w:id="1052" w:name="_Toc265588559"/>
      <w:bookmarkStart w:id="1053" w:name="_Toc265580059"/>
      <w:r>
        <w:rPr>
          <w:rStyle w:val="CharSectno"/>
        </w:rPr>
        <w:t>191</w:t>
      </w:r>
      <w:r>
        <w:t>.</w:t>
      </w:r>
      <w:r>
        <w:tab/>
        <w:t>Reduction where further interest acquired in a landholder</w:t>
      </w:r>
      <w:bookmarkEnd w:id="1051"/>
      <w:bookmarkEnd w:id="1052"/>
      <w:bookmarkEnd w:id="1053"/>
      <w:r>
        <w:t xml:space="preserve"> </w:t>
      </w:r>
    </w:p>
    <w:p>
      <w:pPr>
        <w:pStyle w:val="Subsection"/>
      </w:pPr>
      <w:r>
        <w:tab/>
        <w:t>(1)</w:t>
      </w:r>
      <w:r>
        <w:tab/>
        <w:t>This section applies to the calculation of duty in respect of a relevant acquisition described in section 164.</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1054" w:name="_Toc201998414"/>
      <w:bookmarkStart w:id="1055" w:name="_Toc265588560"/>
      <w:bookmarkStart w:id="1056" w:name="_Toc265580060"/>
      <w:r>
        <w:rPr>
          <w:rStyle w:val="CharSectno"/>
        </w:rPr>
        <w:t>192</w:t>
      </w:r>
      <w:r>
        <w:t>.</w:t>
      </w:r>
      <w:r>
        <w:tab/>
        <w:t>Meaning of “excluded interest” for section 191</w:t>
      </w:r>
      <w:bookmarkEnd w:id="1054"/>
      <w:bookmarkEnd w:id="1055"/>
      <w:bookmarkEnd w:id="1056"/>
    </w:p>
    <w:p>
      <w:pPr>
        <w:pStyle w:val="Subsection"/>
      </w:pPr>
      <w:r>
        <w:tab/>
      </w:r>
      <w:r>
        <w:tab/>
        <w:t xml:space="preserve">The reference in section 191 to an excluded interest is to an interest in the landholder concerned that is part of the interest of the acquirer, being — </w:t>
      </w:r>
    </w:p>
    <w:p>
      <w:pPr>
        <w:pStyle w:val="Indenta"/>
      </w:pPr>
      <w:r>
        <w:tab/>
        <w:t>(a)</w:t>
      </w:r>
      <w:r>
        <w:tab/>
        <w:t>an interest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referred to in paragraph (a) if duty was chargeable in respect of that acquisition; or</w:t>
      </w:r>
    </w:p>
    <w:p>
      <w:pPr>
        <w:pStyle w:val="Indenta"/>
        <w:spacing w:before="60"/>
      </w:pPr>
      <w:r>
        <w:tab/>
        <w:t>(c)</w:t>
      </w:r>
      <w:r>
        <w:tab/>
        <w:t>an interest referred to in section 190(1)(b).</w:t>
      </w:r>
    </w:p>
    <w:p>
      <w:pPr>
        <w:pStyle w:val="NotesPerm"/>
        <w:tabs>
          <w:tab w:val="left" w:pos="1418"/>
        </w:tabs>
        <w:spacing w:before="120"/>
        <w:ind w:left="1418" w:hanging="1418"/>
      </w:pPr>
      <w:r>
        <w:tab/>
        <w:t>Note:</w:t>
      </w:r>
      <w:r>
        <w:tab/>
        <w:t>The operation of this section is modified if the day paragraph (a) refers to is before 1 July 2008: see Schedule 3 clause 13(2).</w:t>
      </w:r>
    </w:p>
    <w:p>
      <w:pPr>
        <w:pStyle w:val="Heading5"/>
      </w:pPr>
      <w:bookmarkStart w:id="1057" w:name="_Toc201998415"/>
      <w:bookmarkStart w:id="1058" w:name="_Toc265588561"/>
      <w:bookmarkStart w:id="1059" w:name="_Toc265580061"/>
      <w:r>
        <w:rPr>
          <w:rStyle w:val="CharSectno"/>
        </w:rPr>
        <w:t>193</w:t>
      </w:r>
      <w:r>
        <w:t>.</w:t>
      </w:r>
      <w:r>
        <w:tab/>
        <w:t>Calculation of duty where statement lodged under section 201</w:t>
      </w:r>
      <w:bookmarkEnd w:id="1057"/>
      <w:bookmarkEnd w:id="1058"/>
      <w:bookmarkEnd w:id="1059"/>
    </w:p>
    <w:p>
      <w:pPr>
        <w:pStyle w:val="Subsection"/>
        <w:spacing w:before="12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20"/>
      </w:pPr>
      <w:r>
        <w:tab/>
        <w:t>(2)</w:t>
      </w:r>
      <w:r>
        <w:tab/>
        <w:t>The Commissioner is not required to make a separate calculation under this Division of duty in respect of each relevant acquisition that occurred during the relevant period.</w:t>
      </w:r>
    </w:p>
    <w:p>
      <w:pPr>
        <w:pStyle w:val="Subsection"/>
        <w:spacing w:before="12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pPr>
      <w:bookmarkStart w:id="1060" w:name="_Toc201998416"/>
      <w:bookmarkStart w:id="1061" w:name="_Toc265588562"/>
      <w:bookmarkStart w:id="1062" w:name="_Toc265580062"/>
      <w:r>
        <w:rPr>
          <w:rStyle w:val="CharSectno"/>
        </w:rPr>
        <w:t>194</w:t>
      </w:r>
      <w:r>
        <w:t>.</w:t>
      </w:r>
      <w:r>
        <w:tab/>
        <w:t>Calculation of duty in respect of certain acquisitions on winding up of corporation or unit trust scheme</w:t>
      </w:r>
      <w:bookmarkEnd w:id="1060"/>
      <w:bookmarkEnd w:id="1061"/>
      <w:bookmarkEnd w:id="1062"/>
    </w:p>
    <w:p>
      <w:pPr>
        <w:pStyle w:val="Subsection"/>
        <w:spacing w:before="12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has, in the relevant period, assumed or discharged on behalf of the corporation or the trustee of the unit trust scheme.</w:t>
      </w:r>
    </w:p>
    <w:p>
      <w:pPr>
        <w:pStyle w:val="Subsection"/>
      </w:pPr>
      <w:r>
        <w:tab/>
        <w:t>(6)</w:t>
      </w:r>
      <w:r>
        <w:tab/>
        <w:t xml:space="preserve">In subsection (5)(b) — </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Heading4"/>
        <w:rPr>
          <w:sz w:val="26"/>
        </w:rPr>
      </w:pPr>
      <w:bookmarkStart w:id="1063" w:name="_Toc201998417"/>
      <w:bookmarkStart w:id="1064" w:name="_Toc201999673"/>
      <w:bookmarkStart w:id="1065" w:name="_Toc202172192"/>
      <w:bookmarkStart w:id="1066" w:name="_Toc202172600"/>
      <w:bookmarkStart w:id="1067" w:name="_Toc202428838"/>
      <w:bookmarkStart w:id="1068" w:name="_Toc264020698"/>
      <w:bookmarkStart w:id="1069" w:name="_Toc264025051"/>
      <w:bookmarkStart w:id="1070" w:name="_Toc265580063"/>
      <w:bookmarkStart w:id="1071" w:name="_Toc265588145"/>
      <w:bookmarkStart w:id="1072" w:name="_Toc265588563"/>
      <w:r>
        <w:rPr>
          <w:sz w:val="26"/>
        </w:rPr>
        <w:t>Division 6 — Reassessment of liability for landholder duty</w:t>
      </w:r>
      <w:bookmarkEnd w:id="1063"/>
      <w:bookmarkEnd w:id="1064"/>
      <w:bookmarkEnd w:id="1065"/>
      <w:bookmarkEnd w:id="1066"/>
      <w:bookmarkEnd w:id="1067"/>
      <w:bookmarkEnd w:id="1068"/>
      <w:bookmarkEnd w:id="1069"/>
      <w:bookmarkEnd w:id="1070"/>
      <w:bookmarkEnd w:id="1071"/>
      <w:bookmarkEnd w:id="1072"/>
    </w:p>
    <w:p>
      <w:pPr>
        <w:pStyle w:val="Heading5"/>
      </w:pPr>
      <w:bookmarkStart w:id="1073" w:name="_Toc201998418"/>
      <w:bookmarkStart w:id="1074" w:name="_Toc265588564"/>
      <w:bookmarkStart w:id="1075" w:name="_Toc265580064"/>
      <w:r>
        <w:rPr>
          <w:rStyle w:val="CharSectno"/>
        </w:rPr>
        <w:t>195</w:t>
      </w:r>
      <w:r>
        <w:t>.</w:t>
      </w:r>
      <w:r>
        <w:tab/>
        <w:t>Reassessment of duty where section 149 was applied</w:t>
      </w:r>
      <w:bookmarkEnd w:id="1073"/>
      <w:bookmarkEnd w:id="1074"/>
      <w:bookmarkEnd w:id="1075"/>
    </w:p>
    <w:p>
      <w:pPr>
        <w:pStyle w:val="Subsection"/>
      </w:pPr>
      <w:r>
        <w:tab/>
        <w:t>(1)</w:t>
      </w:r>
      <w:r>
        <w:tab/>
        <w:t xml:space="preserve">A reassessment of duty in respect of a relevant acquisition is required if — </w:t>
      </w:r>
    </w:p>
    <w:p>
      <w:pPr>
        <w:pStyle w:val="Indenta"/>
      </w:pPr>
      <w:r>
        <w:tab/>
        <w:t>(a)</w:t>
      </w:r>
      <w:r>
        <w:tab/>
        <w:t>for the purposes of an assessment, an agreement to acquire an interest in land has, under section 149(1)(a), been regarded as having been completed; 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(2)</w:t>
      </w:r>
      <w:r>
        <w:tab/>
        <w:t xml:space="preserve">A reassessment of duty in respect of a relevant acquisition is also required if — </w:t>
      </w:r>
    </w:p>
    <w:p>
      <w:pPr>
        <w:pStyle w:val="Indenta"/>
      </w:pPr>
      <w:r>
        <w:tab/>
        <w:t>(a)</w:t>
      </w:r>
      <w:r>
        <w:tab/>
        <w:t>for the purposes of an assessment, an agreement to dispose of an interest in land has, under section 149(1)(b), been disregarded; 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Heading5"/>
      </w:pPr>
      <w:bookmarkStart w:id="1076" w:name="_Toc201998419"/>
      <w:bookmarkStart w:id="1077" w:name="_Toc265588565"/>
      <w:bookmarkStart w:id="1078" w:name="_Toc265580065"/>
      <w:r>
        <w:rPr>
          <w:rStyle w:val="CharSectno"/>
        </w:rPr>
        <w:t>196</w:t>
      </w:r>
      <w:r>
        <w:t>.</w:t>
      </w:r>
      <w:r>
        <w:tab/>
        <w:t>Reassessment of duty where section 176(2) was applied</w:t>
      </w:r>
      <w:bookmarkEnd w:id="1076"/>
      <w:bookmarkEnd w:id="1077"/>
      <w:bookmarkEnd w:id="1078"/>
    </w:p>
    <w:p>
      <w:pPr>
        <w:pStyle w:val="Subsection"/>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pPr>
      <w:bookmarkStart w:id="1079" w:name="_Toc201998420"/>
      <w:bookmarkStart w:id="1080" w:name="_Toc265588566"/>
      <w:bookmarkStart w:id="1081" w:name="_Toc265580066"/>
      <w:r>
        <w:rPr>
          <w:rStyle w:val="CharSectno"/>
        </w:rPr>
        <w:t>197</w:t>
      </w:r>
      <w:r>
        <w:t>.</w:t>
      </w:r>
      <w:r>
        <w:tab/>
        <w:t>Further matter to be considered by the Commissioner</w:t>
      </w:r>
      <w:bookmarkEnd w:id="1079"/>
      <w:bookmarkEnd w:id="1080"/>
      <w:bookmarkEnd w:id="1081"/>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pPr>
      <w:bookmarkStart w:id="1082" w:name="_Toc201998421"/>
      <w:bookmarkStart w:id="1083" w:name="_Toc265588567"/>
      <w:bookmarkStart w:id="1084" w:name="_Toc265580067"/>
      <w:r>
        <w:rPr>
          <w:rStyle w:val="CharSectno"/>
        </w:rPr>
        <w:t>198</w:t>
      </w:r>
      <w:r>
        <w:t>.</w:t>
      </w:r>
      <w:r>
        <w:tab/>
      </w:r>
      <w:r>
        <w:rPr>
          <w:iCs/>
        </w:rPr>
        <w:t>Taxation Administration Act</w:t>
      </w:r>
      <w:r>
        <w:rPr>
          <w:i/>
        </w:rPr>
        <w:t xml:space="preserve"> </w:t>
      </w:r>
      <w:r>
        <w:t>not affected</w:t>
      </w:r>
      <w:bookmarkEnd w:id="1082"/>
      <w:bookmarkEnd w:id="1083"/>
      <w:bookmarkEnd w:id="1084"/>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rPr>
          <w:sz w:val="26"/>
        </w:rPr>
      </w:pPr>
      <w:bookmarkStart w:id="1085" w:name="_Toc201998422"/>
      <w:bookmarkStart w:id="1086" w:name="_Toc201999678"/>
      <w:bookmarkStart w:id="1087" w:name="_Toc202172197"/>
      <w:bookmarkStart w:id="1088" w:name="_Toc202172605"/>
      <w:bookmarkStart w:id="1089" w:name="_Toc202428843"/>
      <w:bookmarkStart w:id="1090" w:name="_Toc264020703"/>
      <w:bookmarkStart w:id="1091" w:name="_Toc264025056"/>
      <w:bookmarkStart w:id="1092" w:name="_Toc265580068"/>
      <w:bookmarkStart w:id="1093" w:name="_Toc265588150"/>
      <w:bookmarkStart w:id="1094" w:name="_Toc265588568"/>
      <w:r>
        <w:rPr>
          <w:sz w:val="26"/>
        </w:rPr>
        <w:t>Division 7 — Lodgment of statements</w:t>
      </w:r>
      <w:bookmarkEnd w:id="1085"/>
      <w:bookmarkEnd w:id="1086"/>
      <w:bookmarkEnd w:id="1087"/>
      <w:bookmarkEnd w:id="1088"/>
      <w:bookmarkEnd w:id="1089"/>
      <w:bookmarkEnd w:id="1090"/>
      <w:bookmarkEnd w:id="1091"/>
      <w:bookmarkEnd w:id="1092"/>
      <w:bookmarkEnd w:id="1093"/>
      <w:bookmarkEnd w:id="1094"/>
    </w:p>
    <w:p>
      <w:pPr>
        <w:pStyle w:val="Heading5"/>
      </w:pPr>
      <w:bookmarkStart w:id="1095" w:name="_Toc201998423"/>
      <w:bookmarkStart w:id="1096" w:name="_Toc265588569"/>
      <w:bookmarkStart w:id="1097" w:name="_Toc265580069"/>
      <w:r>
        <w:rPr>
          <w:rStyle w:val="CharSectno"/>
        </w:rPr>
        <w:t>199</w:t>
      </w:r>
      <w:r>
        <w:t>.</w:t>
      </w:r>
      <w:r>
        <w:tab/>
        <w:t>The term “acquisition statement”</w:t>
      </w:r>
      <w:bookmarkEnd w:id="1095"/>
      <w:bookmarkEnd w:id="1096"/>
      <w:bookmarkEnd w:id="1097"/>
    </w:p>
    <w:p>
      <w:pPr>
        <w:pStyle w:val="Subsection"/>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pPr>
      <w:bookmarkStart w:id="1098" w:name="_Toc201998424"/>
      <w:bookmarkStart w:id="1099" w:name="_Toc265588570"/>
      <w:bookmarkStart w:id="1100" w:name="_Toc265580070"/>
      <w:r>
        <w:rPr>
          <w:rStyle w:val="CharSectno"/>
        </w:rPr>
        <w:t>200</w:t>
      </w:r>
      <w:r>
        <w:t>.</w:t>
      </w:r>
      <w:r>
        <w:tab/>
        <w:t>Acquisition statement to be lodged</w:t>
      </w:r>
      <w:bookmarkEnd w:id="1098"/>
      <w:bookmarkEnd w:id="1099"/>
      <w:bookmarkEnd w:id="1100"/>
    </w:p>
    <w:p>
      <w:pPr>
        <w:pStyle w:val="Subsection"/>
        <w:keepNext/>
        <w:keepLines/>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1101" w:name="_Toc201998425"/>
      <w:bookmarkStart w:id="1102" w:name="_Toc265588571"/>
      <w:bookmarkStart w:id="1103" w:name="_Toc265580071"/>
      <w:r>
        <w:rPr>
          <w:rStyle w:val="CharSectno"/>
        </w:rPr>
        <w:t>201</w:t>
      </w:r>
      <w:r>
        <w:t>.</w:t>
      </w:r>
      <w:r>
        <w:tab/>
        <w:t>Acquisition of further interests in landholder: lodgment of periodical statements may be approved</w:t>
      </w:r>
      <w:bookmarkEnd w:id="1101"/>
      <w:bookmarkEnd w:id="1102"/>
      <w:bookmarkEnd w:id="1103"/>
    </w:p>
    <w:p>
      <w:pPr>
        <w:pStyle w:val="Subsection"/>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pPr>
      <w:r>
        <w:tab/>
        <w:t>(6)</w:t>
      </w:r>
      <w:r>
        <w:tab/>
        <w:t xml:space="preserve">While an approval under subsection (2) is in force — </w:t>
      </w:r>
    </w:p>
    <w:p>
      <w:pPr>
        <w:pStyle w:val="Indenta"/>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pPr>
      <w:bookmarkStart w:id="1104" w:name="_Toc201998426"/>
      <w:bookmarkStart w:id="1105" w:name="_Toc265588572"/>
      <w:bookmarkStart w:id="1106" w:name="_Toc265580072"/>
      <w:r>
        <w:rPr>
          <w:rStyle w:val="CharSectno"/>
        </w:rPr>
        <w:t>202</w:t>
      </w:r>
      <w:r>
        <w:t>.</w:t>
      </w:r>
      <w:r>
        <w:tab/>
        <w:t>Lodgment obligations where application under section 201 refused</w:t>
      </w:r>
      <w:bookmarkEnd w:id="1104"/>
      <w:bookmarkEnd w:id="1105"/>
      <w:bookmarkEnd w:id="1106"/>
    </w:p>
    <w:p>
      <w:pPr>
        <w:pStyle w:val="Subsection"/>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1107" w:name="_Toc201998427"/>
      <w:bookmarkStart w:id="1108" w:name="_Toc265588573"/>
      <w:bookmarkStart w:id="1109" w:name="_Toc265580073"/>
      <w:r>
        <w:rPr>
          <w:rStyle w:val="CharSectno"/>
        </w:rPr>
        <w:t>203</w:t>
      </w:r>
      <w:r>
        <w:t>.</w:t>
      </w:r>
      <w:r>
        <w:tab/>
        <w:t>Form and content of acquisition statements</w:t>
      </w:r>
      <w:bookmarkEnd w:id="1107"/>
      <w:bookmarkEnd w:id="1108"/>
      <w:bookmarkEnd w:id="1109"/>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1110" w:name="_Toc201998428"/>
      <w:bookmarkStart w:id="1111" w:name="_Toc265588574"/>
      <w:bookmarkStart w:id="1112" w:name="_Toc265580074"/>
      <w:r>
        <w:rPr>
          <w:rStyle w:val="CharSectno"/>
        </w:rPr>
        <w:t>204</w:t>
      </w:r>
      <w:r>
        <w:t>.</w:t>
      </w:r>
      <w:r>
        <w:tab/>
        <w:t>Failure to lodge acquisition statement</w:t>
      </w:r>
      <w:bookmarkEnd w:id="1110"/>
      <w:bookmarkEnd w:id="1111"/>
      <w:bookmarkEnd w:id="1112"/>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Penstart"/>
        <w:spacing w:before="60"/>
      </w:pPr>
      <w:r>
        <w:tab/>
        <w:t>Penalty: a fine of $20 000.</w:t>
      </w:r>
    </w:p>
    <w:p>
      <w:pPr>
        <w:pStyle w:val="Heading4"/>
        <w:rPr>
          <w:sz w:val="26"/>
        </w:rPr>
      </w:pPr>
      <w:bookmarkStart w:id="1113" w:name="_Toc201998429"/>
      <w:bookmarkStart w:id="1114" w:name="_Toc201999685"/>
      <w:bookmarkStart w:id="1115" w:name="_Toc202172204"/>
      <w:bookmarkStart w:id="1116" w:name="_Toc202172612"/>
      <w:bookmarkStart w:id="1117" w:name="_Toc202428850"/>
      <w:bookmarkStart w:id="1118" w:name="_Toc264020710"/>
      <w:bookmarkStart w:id="1119" w:name="_Toc264025063"/>
      <w:bookmarkStart w:id="1120" w:name="_Toc265580075"/>
      <w:bookmarkStart w:id="1121" w:name="_Toc265588157"/>
      <w:bookmarkStart w:id="1122" w:name="_Toc265588575"/>
      <w:r>
        <w:rPr>
          <w:sz w:val="26"/>
        </w:rPr>
        <w:t>Division 8 — Information to be provided to Parliament</w:t>
      </w:r>
      <w:bookmarkEnd w:id="1113"/>
      <w:bookmarkEnd w:id="1114"/>
      <w:bookmarkEnd w:id="1115"/>
      <w:bookmarkEnd w:id="1116"/>
      <w:bookmarkEnd w:id="1117"/>
      <w:bookmarkEnd w:id="1118"/>
      <w:bookmarkEnd w:id="1119"/>
      <w:bookmarkEnd w:id="1120"/>
      <w:bookmarkEnd w:id="1121"/>
      <w:bookmarkEnd w:id="1122"/>
    </w:p>
    <w:p>
      <w:pPr>
        <w:pStyle w:val="Heading5"/>
      </w:pPr>
      <w:bookmarkStart w:id="1123" w:name="_Toc201998430"/>
      <w:bookmarkStart w:id="1124" w:name="_Toc265588576"/>
      <w:bookmarkStart w:id="1125" w:name="_Toc265580076"/>
      <w:r>
        <w:rPr>
          <w:rStyle w:val="CharSectno"/>
        </w:rPr>
        <w:t>205</w:t>
      </w:r>
      <w:r>
        <w:t>.</w:t>
      </w:r>
      <w:r>
        <w:tab/>
        <w:t>Minister to inform Parliament of amounts of duty assessed and duty paid during 3 years following commencement of this Chapter</w:t>
      </w:r>
      <w:bookmarkEnd w:id="1123"/>
      <w:bookmarkEnd w:id="1124"/>
      <w:bookmarkEnd w:id="1125"/>
    </w:p>
    <w:p>
      <w:pPr>
        <w:pStyle w:val="Subsection"/>
      </w:pPr>
      <w:r>
        <w:tab/>
      </w:r>
      <w:r>
        <w:tab/>
        <w:t xml:space="preserve">As soon as is practicable after the expiration of the period of 3 years from the commencement of this Chapter, the Minister is to — </w:t>
      </w:r>
    </w:p>
    <w:p>
      <w:pPr>
        <w:pStyle w:val="Indenta"/>
      </w:pPr>
      <w:r>
        <w:tab/>
        <w:t>(a)</w:t>
      </w:r>
      <w:r>
        <w:tab/>
        <w:t xml:space="preserve">cause a statement to be prepared showing — </w:t>
      </w:r>
    </w:p>
    <w:p>
      <w:pPr>
        <w:pStyle w:val="Indenti"/>
      </w:pPr>
      <w:r>
        <w:tab/>
        <w:t>(i)</w:t>
      </w:r>
      <w:r>
        <w:tab/>
        <w:t>the total amount of all assessments of duty payable under this Chapter made during that period in respect of relevant acquisitions; and</w:t>
      </w:r>
    </w:p>
    <w:p>
      <w:pPr>
        <w:pStyle w:val="Indenti"/>
      </w:pPr>
      <w:r>
        <w:tab/>
        <w:t>(ii)</w:t>
      </w:r>
      <w:r>
        <w:tab/>
        <w:t xml:space="preserve">an estimate of the total amount of duty that would have been assessed under the </w:t>
      </w:r>
      <w:r>
        <w:rPr>
          <w:i/>
          <w:iCs/>
        </w:rPr>
        <w:t>Stamp Act 1921</w:t>
      </w:r>
      <w:r>
        <w:t xml:space="preserve"> if that Act had applied to those acquisitions instead of this Chapter;</w:t>
      </w:r>
    </w:p>
    <w:p>
      <w:pPr>
        <w:pStyle w:val="Indenta"/>
      </w:pPr>
      <w:r>
        <w:tab/>
      </w:r>
      <w:r>
        <w:tab/>
        <w:t>and</w:t>
      </w:r>
    </w:p>
    <w:p>
      <w:pPr>
        <w:pStyle w:val="Indenta"/>
      </w:pPr>
      <w:r>
        <w:tab/>
        <w:t>(b)</w:t>
      </w:r>
      <w:r>
        <w:tab/>
        <w:t>cause the statement to be laid before each House of Parliament.</w:t>
      </w:r>
    </w:p>
    <w:p>
      <w:pPr>
        <w:pStyle w:val="Heading2"/>
        <w:rPr>
          <w:sz w:val="32"/>
        </w:rPr>
      </w:pPr>
      <w:bookmarkStart w:id="1126" w:name="_Toc201998431"/>
      <w:bookmarkStart w:id="1127" w:name="_Toc201999687"/>
      <w:bookmarkStart w:id="1128" w:name="_Toc202172206"/>
      <w:bookmarkStart w:id="1129" w:name="_Toc202172614"/>
      <w:bookmarkStart w:id="1130" w:name="_Toc202428852"/>
      <w:bookmarkStart w:id="1131" w:name="_Toc264020712"/>
      <w:bookmarkStart w:id="1132" w:name="_Toc264025065"/>
      <w:bookmarkStart w:id="1133" w:name="_Toc265580077"/>
      <w:bookmarkStart w:id="1134" w:name="_Toc265588159"/>
      <w:bookmarkStart w:id="1135" w:name="_Toc265588577"/>
      <w:r>
        <w:rPr>
          <w:rStyle w:val="CharPartNo"/>
          <w:sz w:val="32"/>
        </w:rPr>
        <w:t>Chapter 4</w:t>
      </w:r>
      <w:r>
        <w:rPr>
          <w:sz w:val="32"/>
        </w:rPr>
        <w:t> — </w:t>
      </w:r>
      <w:r>
        <w:rPr>
          <w:rStyle w:val="CharPartText"/>
          <w:sz w:val="32"/>
        </w:rPr>
        <w:t>Insurance duty</w:t>
      </w:r>
      <w:bookmarkEnd w:id="1126"/>
      <w:bookmarkEnd w:id="1127"/>
      <w:bookmarkEnd w:id="1128"/>
      <w:bookmarkEnd w:id="1129"/>
      <w:bookmarkEnd w:id="1130"/>
      <w:bookmarkEnd w:id="1131"/>
      <w:bookmarkEnd w:id="1132"/>
      <w:bookmarkEnd w:id="1133"/>
      <w:bookmarkEnd w:id="1134"/>
      <w:bookmarkEnd w:id="1135"/>
    </w:p>
    <w:p>
      <w:pPr>
        <w:pStyle w:val="Heading3"/>
        <w:rPr>
          <w:sz w:val="28"/>
        </w:rPr>
      </w:pPr>
      <w:bookmarkStart w:id="1136" w:name="_Toc201998432"/>
      <w:bookmarkStart w:id="1137" w:name="_Toc201999688"/>
      <w:bookmarkStart w:id="1138" w:name="_Toc202172207"/>
      <w:bookmarkStart w:id="1139" w:name="_Toc202172615"/>
      <w:bookmarkStart w:id="1140" w:name="_Toc202428853"/>
      <w:bookmarkStart w:id="1141" w:name="_Toc264020713"/>
      <w:bookmarkStart w:id="1142" w:name="_Toc264025066"/>
      <w:bookmarkStart w:id="1143" w:name="_Toc265580078"/>
      <w:bookmarkStart w:id="1144" w:name="_Toc265588160"/>
      <w:bookmarkStart w:id="1145" w:name="_Toc265588578"/>
      <w:r>
        <w:rPr>
          <w:rStyle w:val="CharDivNo"/>
          <w:sz w:val="28"/>
        </w:rPr>
        <w:t>Part 1</w:t>
      </w:r>
      <w:r>
        <w:rPr>
          <w:sz w:val="28"/>
        </w:rPr>
        <w:t> — </w:t>
      </w:r>
      <w:r>
        <w:rPr>
          <w:rStyle w:val="CharDivText"/>
          <w:sz w:val="28"/>
        </w:rPr>
        <w:t>Preliminary</w:t>
      </w:r>
      <w:bookmarkEnd w:id="1136"/>
      <w:bookmarkEnd w:id="1137"/>
      <w:bookmarkEnd w:id="1138"/>
      <w:bookmarkEnd w:id="1139"/>
      <w:bookmarkEnd w:id="1140"/>
      <w:bookmarkEnd w:id="1141"/>
      <w:bookmarkEnd w:id="1142"/>
      <w:bookmarkEnd w:id="1143"/>
      <w:bookmarkEnd w:id="1144"/>
      <w:bookmarkEnd w:id="1145"/>
    </w:p>
    <w:p>
      <w:pPr>
        <w:pStyle w:val="Heading5"/>
      </w:pPr>
      <w:bookmarkStart w:id="1146" w:name="_Toc201998433"/>
      <w:bookmarkStart w:id="1147" w:name="_Toc265588579"/>
      <w:bookmarkStart w:id="1148" w:name="_Toc265580079"/>
      <w:r>
        <w:rPr>
          <w:rStyle w:val="CharSectno"/>
        </w:rPr>
        <w:t>206</w:t>
      </w:r>
      <w:r>
        <w:t>.</w:t>
      </w:r>
      <w:r>
        <w:tab/>
        <w:t>Terms used in this Chapter</w:t>
      </w:r>
      <w:bookmarkEnd w:id="1146"/>
      <w:bookmarkEnd w:id="1147"/>
      <w:bookmarkEnd w:id="1148"/>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 risk, contingency or event concerning an act or omission that, in the normal course of events, occurs outside Australia;</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rPr>
          <w:sz w:val="28"/>
        </w:rPr>
      </w:pPr>
      <w:bookmarkStart w:id="1149" w:name="_Toc201998434"/>
      <w:bookmarkStart w:id="1150" w:name="_Toc201999690"/>
      <w:bookmarkStart w:id="1151" w:name="_Toc202172209"/>
      <w:bookmarkStart w:id="1152" w:name="_Toc202172617"/>
      <w:bookmarkStart w:id="1153" w:name="_Toc202428855"/>
      <w:bookmarkStart w:id="1154" w:name="_Toc264020715"/>
      <w:bookmarkStart w:id="1155" w:name="_Toc264025068"/>
      <w:bookmarkStart w:id="1156" w:name="_Toc265580080"/>
      <w:bookmarkStart w:id="1157" w:name="_Toc265588162"/>
      <w:bookmarkStart w:id="1158" w:name="_Toc265588580"/>
      <w:r>
        <w:rPr>
          <w:rStyle w:val="CharDivNo"/>
          <w:sz w:val="28"/>
        </w:rPr>
        <w:t>Part 2</w:t>
      </w:r>
      <w:r>
        <w:rPr>
          <w:sz w:val="28"/>
        </w:rPr>
        <w:t> — </w:t>
      </w:r>
      <w:r>
        <w:rPr>
          <w:rStyle w:val="CharDivText"/>
          <w:sz w:val="28"/>
        </w:rPr>
        <w:t>Imposition of insurance duty</w:t>
      </w:r>
      <w:bookmarkEnd w:id="1149"/>
      <w:bookmarkEnd w:id="1150"/>
      <w:bookmarkEnd w:id="1151"/>
      <w:bookmarkEnd w:id="1152"/>
      <w:bookmarkEnd w:id="1153"/>
      <w:bookmarkEnd w:id="1154"/>
      <w:bookmarkEnd w:id="1155"/>
      <w:bookmarkEnd w:id="1156"/>
      <w:bookmarkEnd w:id="1157"/>
      <w:bookmarkEnd w:id="1158"/>
    </w:p>
    <w:p>
      <w:pPr>
        <w:pStyle w:val="Heading5"/>
      </w:pPr>
      <w:bookmarkStart w:id="1159" w:name="_Toc201998435"/>
      <w:bookmarkStart w:id="1160" w:name="_Toc265588581"/>
      <w:bookmarkStart w:id="1161" w:name="_Toc265580081"/>
      <w:r>
        <w:rPr>
          <w:rStyle w:val="CharSectno"/>
        </w:rPr>
        <w:t>207</w:t>
      </w:r>
      <w:r>
        <w:t>.</w:t>
      </w:r>
      <w:r>
        <w:tab/>
        <w:t>Insurance duty imposed</w:t>
      </w:r>
      <w:bookmarkEnd w:id="1159"/>
      <w:bookmarkEnd w:id="1160"/>
      <w:bookmarkEnd w:id="1161"/>
    </w:p>
    <w:p>
      <w:pPr>
        <w:pStyle w:val="Subsection"/>
      </w:pPr>
      <w:r>
        <w:tab/>
      </w:r>
      <w:r>
        <w:tab/>
        <w:t>Duty is imposed on the premium paid in relation to a contract of insurance.</w:t>
      </w:r>
    </w:p>
    <w:p>
      <w:pPr>
        <w:pStyle w:val="Heading5"/>
      </w:pPr>
      <w:bookmarkStart w:id="1162" w:name="_Toc201998436"/>
      <w:bookmarkStart w:id="1163" w:name="_Toc265588582"/>
      <w:bookmarkStart w:id="1164" w:name="_Toc265580082"/>
      <w:r>
        <w:rPr>
          <w:rStyle w:val="CharSectno"/>
        </w:rPr>
        <w:t>208</w:t>
      </w:r>
      <w:r>
        <w:t>.</w:t>
      </w:r>
      <w:r>
        <w:tab/>
        <w:t>Contracts of insurance</w:t>
      </w:r>
      <w:bookmarkEnd w:id="1162"/>
      <w:bookmarkEnd w:id="1163"/>
      <w:bookmarkEnd w:id="1164"/>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pPr>
      <w:bookmarkStart w:id="1165" w:name="_Toc201998437"/>
      <w:bookmarkStart w:id="1166" w:name="_Toc265588583"/>
      <w:bookmarkStart w:id="1167" w:name="_Toc265580083"/>
      <w:r>
        <w:rPr>
          <w:rStyle w:val="CharSectno"/>
        </w:rPr>
        <w:t>209</w:t>
      </w:r>
      <w:r>
        <w:t>.</w:t>
      </w:r>
      <w:r>
        <w:tab/>
        <w:t>General insurance and connection to the State</w:t>
      </w:r>
      <w:bookmarkEnd w:id="1165"/>
      <w:bookmarkEnd w:id="1166"/>
      <w:bookmarkEnd w:id="1167"/>
    </w:p>
    <w:p>
      <w:pPr>
        <w:pStyle w:val="Subsection"/>
      </w:pPr>
      <w:r>
        <w:tab/>
        <w:t>(1)</w:t>
      </w:r>
      <w:r>
        <w:tab/>
      </w:r>
      <w:r>
        <w:rPr>
          <w:rStyle w:val="CharDefText"/>
        </w:rPr>
        <w:t>General insurance</w:t>
      </w:r>
      <w:r>
        <w:t xml:space="preserve"> is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insurance in respect of goods in the course of being transported, whether by rail, road, air or sea, and whether within Western Australia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1168" w:name="_Toc201998438"/>
      <w:bookmarkStart w:id="1169" w:name="_Toc265588584"/>
      <w:bookmarkStart w:id="1170" w:name="_Toc265580084"/>
      <w:r>
        <w:rPr>
          <w:rStyle w:val="CharSectno"/>
        </w:rPr>
        <w:t>210</w:t>
      </w:r>
      <w:r>
        <w:t>.</w:t>
      </w:r>
      <w:r>
        <w:tab/>
        <w:t>Additional insurance — life riders</w:t>
      </w:r>
      <w:bookmarkEnd w:id="1168"/>
      <w:bookmarkEnd w:id="1169"/>
      <w:bookmarkEnd w:id="1170"/>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pPr>
      <w:r>
        <w:tab/>
        <w:t>(b)</w:t>
      </w:r>
      <w:r>
        <w:tab/>
        <w:t>an identifiable part of the premium payable in respect of the policy is attributable to the additional insurance,</w:t>
      </w:r>
    </w:p>
    <w:p>
      <w:pPr>
        <w:pStyle w:val="Subsection"/>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pPr>
      <w:r>
        <w:tab/>
        <w:t>(a)</w:t>
      </w:r>
      <w:r>
        <w:tab/>
        <w:t>whether or not the life insurance and the additional insurance are distinct matters;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Heading5"/>
      </w:pPr>
      <w:bookmarkStart w:id="1171" w:name="_Toc201998439"/>
      <w:bookmarkStart w:id="1172" w:name="_Toc265588585"/>
      <w:bookmarkStart w:id="1173" w:name="_Toc265580085"/>
      <w:r>
        <w:rPr>
          <w:rStyle w:val="CharSectno"/>
        </w:rPr>
        <w:t>211</w:t>
      </w:r>
      <w:r>
        <w:t>.</w:t>
      </w:r>
      <w:r>
        <w:tab/>
        <w:t>The term “premium”</w:t>
      </w:r>
      <w:bookmarkEnd w:id="1171"/>
      <w:bookmarkEnd w:id="1172"/>
      <w:bookmarkEnd w:id="1173"/>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pPr>
      <w:r>
        <w:tab/>
        <w:t>(a)</w:t>
      </w:r>
      <w:r>
        <w:tab/>
        <w:t>an amount paid to an intermediary of the insurer by the insured person as a fee if the amount can be identified as a fee; or</w:t>
      </w:r>
    </w:p>
    <w:p>
      <w:pPr>
        <w:pStyle w:val="Indenta"/>
      </w:pPr>
      <w:r>
        <w:tab/>
        <w:t>(b)</w:t>
      </w:r>
      <w:r>
        <w:tab/>
        <w:t>an amount paid to take account of duty or interstate duty.</w:t>
      </w:r>
    </w:p>
    <w:p>
      <w:pPr>
        <w:pStyle w:val="Heading5"/>
      </w:pPr>
      <w:bookmarkStart w:id="1174" w:name="_Toc201998440"/>
      <w:bookmarkStart w:id="1175" w:name="_Toc265588586"/>
      <w:bookmarkStart w:id="1176" w:name="_Toc265580086"/>
      <w:r>
        <w:rPr>
          <w:rStyle w:val="CharSectno"/>
        </w:rPr>
        <w:t>212</w:t>
      </w:r>
      <w:r>
        <w:t>.</w:t>
      </w:r>
      <w:r>
        <w:tab/>
        <w:t>When a premium is paid</w:t>
      </w:r>
      <w:bookmarkEnd w:id="1174"/>
      <w:bookmarkEnd w:id="1175"/>
      <w:bookmarkEnd w:id="1176"/>
    </w:p>
    <w:p>
      <w:pPr>
        <w:pStyle w:val="Subsection"/>
      </w:pPr>
      <w:r>
        <w:tab/>
      </w:r>
      <w:r>
        <w:tab/>
        <w:t>For the purposes of this Chapter, a premium or an instalment of a premium is paid when the first of the following events occurs —</w:t>
      </w:r>
    </w:p>
    <w:p>
      <w:pPr>
        <w:pStyle w:val="Indenta"/>
      </w:pPr>
      <w:r>
        <w:tab/>
        <w:t>(a)</w:t>
      </w:r>
      <w:r>
        <w:tab/>
        <w:t>the premium or the instalment is received by or on behalf of the insurer;</w:t>
      </w:r>
    </w:p>
    <w:p>
      <w:pPr>
        <w:pStyle w:val="Indenta"/>
      </w:pPr>
      <w:r>
        <w:tab/>
        <w:t>(b)</w:t>
      </w:r>
      <w:r>
        <w:tab/>
        <w:t>an account of the insurer is credited with the amount of the premium or the instalment.</w:t>
      </w:r>
    </w:p>
    <w:p>
      <w:pPr>
        <w:pStyle w:val="Heading3"/>
        <w:rPr>
          <w:sz w:val="28"/>
        </w:rPr>
      </w:pPr>
      <w:bookmarkStart w:id="1177" w:name="_Toc201998441"/>
      <w:bookmarkStart w:id="1178" w:name="_Toc201999697"/>
      <w:bookmarkStart w:id="1179" w:name="_Toc202172216"/>
      <w:bookmarkStart w:id="1180" w:name="_Toc202172624"/>
      <w:bookmarkStart w:id="1181" w:name="_Toc202428862"/>
      <w:bookmarkStart w:id="1182" w:name="_Toc264020722"/>
      <w:bookmarkStart w:id="1183" w:name="_Toc264025075"/>
      <w:bookmarkStart w:id="1184" w:name="_Toc265580087"/>
      <w:bookmarkStart w:id="1185" w:name="_Toc265588169"/>
      <w:bookmarkStart w:id="1186" w:name="_Toc265588587"/>
      <w:r>
        <w:rPr>
          <w:rStyle w:val="CharDivNo"/>
          <w:sz w:val="28"/>
        </w:rPr>
        <w:t>Part 3</w:t>
      </w:r>
      <w:r>
        <w:rPr>
          <w:sz w:val="28"/>
        </w:rPr>
        <w:t> — </w:t>
      </w:r>
      <w:r>
        <w:rPr>
          <w:rStyle w:val="CharDivText"/>
          <w:sz w:val="28"/>
        </w:rPr>
        <w:t>Collection of insurance duty</w:t>
      </w:r>
      <w:bookmarkEnd w:id="1177"/>
      <w:bookmarkEnd w:id="1178"/>
      <w:bookmarkEnd w:id="1179"/>
      <w:bookmarkEnd w:id="1180"/>
      <w:bookmarkEnd w:id="1181"/>
      <w:bookmarkEnd w:id="1182"/>
      <w:bookmarkEnd w:id="1183"/>
      <w:bookmarkEnd w:id="1184"/>
      <w:bookmarkEnd w:id="1185"/>
      <w:bookmarkEnd w:id="1186"/>
    </w:p>
    <w:p>
      <w:pPr>
        <w:pStyle w:val="Heading4"/>
        <w:rPr>
          <w:sz w:val="26"/>
        </w:rPr>
      </w:pPr>
      <w:bookmarkStart w:id="1187" w:name="_Toc201998442"/>
      <w:bookmarkStart w:id="1188" w:name="_Toc201999698"/>
      <w:bookmarkStart w:id="1189" w:name="_Toc202172217"/>
      <w:bookmarkStart w:id="1190" w:name="_Toc202172625"/>
      <w:bookmarkStart w:id="1191" w:name="_Toc202428863"/>
      <w:bookmarkStart w:id="1192" w:name="_Toc264020723"/>
      <w:bookmarkStart w:id="1193" w:name="_Toc264025076"/>
      <w:bookmarkStart w:id="1194" w:name="_Toc265580088"/>
      <w:bookmarkStart w:id="1195" w:name="_Toc265588170"/>
      <w:bookmarkStart w:id="1196" w:name="_Toc265588588"/>
      <w:r>
        <w:rPr>
          <w:sz w:val="26"/>
        </w:rPr>
        <w:t>Division 1 — Liability</w:t>
      </w:r>
      <w:bookmarkEnd w:id="1187"/>
      <w:bookmarkEnd w:id="1188"/>
      <w:bookmarkEnd w:id="1189"/>
      <w:bookmarkEnd w:id="1190"/>
      <w:bookmarkEnd w:id="1191"/>
      <w:bookmarkEnd w:id="1192"/>
      <w:bookmarkEnd w:id="1193"/>
      <w:bookmarkEnd w:id="1194"/>
      <w:bookmarkEnd w:id="1195"/>
      <w:bookmarkEnd w:id="1196"/>
    </w:p>
    <w:p>
      <w:pPr>
        <w:pStyle w:val="Heading5"/>
      </w:pPr>
      <w:bookmarkStart w:id="1197" w:name="_Toc201998443"/>
      <w:bookmarkStart w:id="1198" w:name="_Toc265588589"/>
      <w:bookmarkStart w:id="1199" w:name="_Toc265580089"/>
      <w:r>
        <w:rPr>
          <w:rStyle w:val="CharSectno"/>
        </w:rPr>
        <w:t>213</w:t>
      </w:r>
      <w:r>
        <w:t>.</w:t>
      </w:r>
      <w:r>
        <w:tab/>
        <w:t>Person liable to pay duty</w:t>
      </w:r>
      <w:bookmarkEnd w:id="1197"/>
      <w:bookmarkEnd w:id="1198"/>
      <w:bookmarkEnd w:id="1199"/>
    </w:p>
    <w:p>
      <w:pPr>
        <w:pStyle w:val="Subsection"/>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pPr>
      <w:bookmarkStart w:id="1200" w:name="_Toc201998444"/>
      <w:bookmarkStart w:id="1201" w:name="_Toc265588590"/>
      <w:bookmarkStart w:id="1202" w:name="_Toc265580090"/>
      <w:r>
        <w:rPr>
          <w:rStyle w:val="CharSectno"/>
        </w:rPr>
        <w:t>214</w:t>
      </w:r>
      <w:r>
        <w:t>.</w:t>
      </w:r>
      <w:r>
        <w:tab/>
        <w:t>The term “general insurer”</w:t>
      </w:r>
      <w:bookmarkEnd w:id="1200"/>
      <w:bookmarkEnd w:id="1201"/>
      <w:bookmarkEnd w:id="1202"/>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rPr>
          <w:sz w:val="26"/>
        </w:rPr>
      </w:pPr>
      <w:bookmarkStart w:id="1203" w:name="_Toc201998445"/>
      <w:bookmarkStart w:id="1204" w:name="_Toc201999701"/>
      <w:bookmarkStart w:id="1205" w:name="_Toc202172220"/>
      <w:bookmarkStart w:id="1206" w:name="_Toc202172628"/>
      <w:bookmarkStart w:id="1207" w:name="_Toc202428866"/>
      <w:bookmarkStart w:id="1208" w:name="_Toc264020726"/>
      <w:bookmarkStart w:id="1209" w:name="_Toc264025079"/>
      <w:bookmarkStart w:id="1210" w:name="_Toc265580091"/>
      <w:bookmarkStart w:id="1211" w:name="_Toc265588173"/>
      <w:bookmarkStart w:id="1212" w:name="_Toc265588591"/>
      <w:r>
        <w:rPr>
          <w:sz w:val="26"/>
        </w:rPr>
        <w:t>Division 2 — Amount of insurance duty</w:t>
      </w:r>
      <w:bookmarkEnd w:id="1203"/>
      <w:bookmarkEnd w:id="1204"/>
      <w:bookmarkEnd w:id="1205"/>
      <w:bookmarkEnd w:id="1206"/>
      <w:bookmarkEnd w:id="1207"/>
      <w:bookmarkEnd w:id="1208"/>
      <w:bookmarkEnd w:id="1209"/>
      <w:bookmarkEnd w:id="1210"/>
      <w:bookmarkEnd w:id="1211"/>
      <w:bookmarkEnd w:id="1212"/>
    </w:p>
    <w:p>
      <w:pPr>
        <w:pStyle w:val="Heading5"/>
      </w:pPr>
      <w:bookmarkStart w:id="1213" w:name="_Toc201998446"/>
      <w:bookmarkStart w:id="1214" w:name="_Toc265588592"/>
      <w:bookmarkStart w:id="1215" w:name="_Toc265580092"/>
      <w:r>
        <w:rPr>
          <w:rStyle w:val="CharSectno"/>
        </w:rPr>
        <w:t>215</w:t>
      </w:r>
      <w:r>
        <w:t>.</w:t>
      </w:r>
      <w:r>
        <w:tab/>
        <w:t>Amount of duty payable</w:t>
      </w:r>
      <w:bookmarkEnd w:id="1213"/>
      <w:bookmarkEnd w:id="1214"/>
      <w:bookmarkEnd w:id="1215"/>
    </w:p>
    <w:p>
      <w:pPr>
        <w:pStyle w:val="Subsection"/>
      </w:pPr>
      <w:r>
        <w:tab/>
      </w:r>
      <w:r>
        <w:tab/>
        <w:t>The amount of duty payable on a premium, or an instalment of a premium, is 10% of the amount of the premium, or instalment, that is attributable to general insurance.</w:t>
      </w:r>
    </w:p>
    <w:p>
      <w:pPr>
        <w:pStyle w:val="Heading5"/>
      </w:pPr>
      <w:bookmarkStart w:id="1216" w:name="_Toc201998447"/>
      <w:bookmarkStart w:id="1217" w:name="_Toc265588593"/>
      <w:bookmarkStart w:id="1218" w:name="_Toc265580093"/>
      <w:r>
        <w:rPr>
          <w:rStyle w:val="CharSectno"/>
        </w:rPr>
        <w:t>216</w:t>
      </w:r>
      <w:r>
        <w:t>.</w:t>
      </w:r>
      <w:r>
        <w:tab/>
        <w:t>Apportionment of premiums and instalments</w:t>
      </w:r>
      <w:bookmarkEnd w:id="1216"/>
      <w:bookmarkEnd w:id="1217"/>
      <w:bookmarkEnd w:id="1218"/>
    </w:p>
    <w:p>
      <w:pPr>
        <w:pStyle w:val="Subsection"/>
      </w:pPr>
      <w:r>
        <w:tab/>
        <w:t>(1)</w:t>
      </w:r>
      <w:r>
        <w:tab/>
        <w:t>This section applies to a contract of insurance that effects both general insurance and one or more other kinds of insurance.</w:t>
      </w:r>
    </w:p>
    <w:p>
      <w:pPr>
        <w:pStyle w:val="Subsection"/>
      </w:pPr>
      <w:r>
        <w:tab/>
        <w:t>(2)</w:t>
      </w:r>
      <w:r>
        <w:tab/>
        <w:t>The proportion of the premium that is attributable to general insurance is to be determined in accordance with the Apportionment Schedule or Schedules published by the Commissioner from time to time.</w:t>
      </w:r>
    </w:p>
    <w:p>
      <w:pPr>
        <w:pStyle w:val="Subsection"/>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rPr>
          <w:sz w:val="26"/>
        </w:rPr>
      </w:pPr>
      <w:bookmarkStart w:id="1219" w:name="_Toc201998448"/>
      <w:bookmarkStart w:id="1220" w:name="_Toc201999704"/>
      <w:bookmarkStart w:id="1221" w:name="_Toc202172223"/>
      <w:bookmarkStart w:id="1222" w:name="_Toc202172631"/>
      <w:bookmarkStart w:id="1223" w:name="_Toc202428869"/>
      <w:bookmarkStart w:id="1224" w:name="_Toc264020729"/>
      <w:bookmarkStart w:id="1225" w:name="_Toc264025082"/>
      <w:bookmarkStart w:id="1226" w:name="_Toc265580094"/>
      <w:bookmarkStart w:id="1227" w:name="_Toc265588176"/>
      <w:bookmarkStart w:id="1228" w:name="_Toc265588594"/>
      <w:r>
        <w:rPr>
          <w:sz w:val="26"/>
        </w:rPr>
        <w:t>Division 3 — Insurers</w:t>
      </w:r>
      <w:bookmarkEnd w:id="1219"/>
      <w:bookmarkEnd w:id="1220"/>
      <w:bookmarkEnd w:id="1221"/>
      <w:bookmarkEnd w:id="1222"/>
      <w:bookmarkEnd w:id="1223"/>
      <w:bookmarkEnd w:id="1224"/>
      <w:bookmarkEnd w:id="1225"/>
      <w:bookmarkEnd w:id="1226"/>
      <w:bookmarkEnd w:id="1227"/>
      <w:bookmarkEnd w:id="1228"/>
    </w:p>
    <w:p>
      <w:pPr>
        <w:pStyle w:val="Heading5"/>
        <w:spacing w:before="120"/>
      </w:pPr>
      <w:bookmarkStart w:id="1229" w:name="_Toc201998449"/>
      <w:bookmarkStart w:id="1230" w:name="_Toc265588595"/>
      <w:bookmarkStart w:id="1231" w:name="_Toc265580095"/>
      <w:r>
        <w:rPr>
          <w:rStyle w:val="CharSectno"/>
        </w:rPr>
        <w:t>217</w:t>
      </w:r>
      <w:r>
        <w:t>.</w:t>
      </w:r>
      <w:r>
        <w:tab/>
        <w:t>Insurers to be registered</w:t>
      </w:r>
      <w:bookmarkEnd w:id="1229"/>
      <w:bookmarkEnd w:id="1230"/>
      <w:bookmarkEnd w:id="1231"/>
    </w:p>
    <w:p>
      <w:pPr>
        <w:pStyle w:val="Subsection"/>
      </w:pPr>
      <w:r>
        <w:tab/>
        <w:t>(1)</w:t>
      </w:r>
      <w:r>
        <w:tab/>
        <w:t>On becoming a general insurer, the insurer must apply to be registered under section 218.</w:t>
      </w:r>
    </w:p>
    <w:p>
      <w:pPr>
        <w:pStyle w:val="Subsection"/>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pPr>
      <w:r>
        <w:tab/>
        <w:t>Penalty: a fine of $20 000.</w:t>
      </w:r>
    </w:p>
    <w:p>
      <w:pPr>
        <w:pStyle w:val="Heading5"/>
        <w:spacing w:before="120"/>
      </w:pPr>
      <w:bookmarkStart w:id="1232" w:name="_Toc201998450"/>
      <w:bookmarkStart w:id="1233" w:name="_Toc265588596"/>
      <w:bookmarkStart w:id="1234" w:name="_Toc265580096"/>
      <w:r>
        <w:rPr>
          <w:rStyle w:val="CharSectno"/>
        </w:rPr>
        <w:t>218</w:t>
      </w:r>
      <w:r>
        <w:t>.</w:t>
      </w:r>
      <w:r>
        <w:tab/>
        <w:t>Registration of insurers</w:t>
      </w:r>
      <w:bookmarkEnd w:id="1232"/>
      <w:bookmarkEnd w:id="1233"/>
      <w:bookmarkEnd w:id="1234"/>
    </w:p>
    <w:p>
      <w:pPr>
        <w:pStyle w:val="Subsection"/>
      </w:pPr>
      <w:r>
        <w:tab/>
        <w:t>(1)</w:t>
      </w:r>
      <w:r>
        <w:tab/>
        <w:t>The Commissioner must register a general insurer that applies for registration.</w:t>
      </w:r>
    </w:p>
    <w:p>
      <w:pPr>
        <w:pStyle w:val="Subsection"/>
      </w:pPr>
      <w:r>
        <w:tab/>
        <w:t>(2)</w:t>
      </w:r>
      <w:r>
        <w:tab/>
        <w:t>The Commissioner must register a general insurer that has not applied for registration if satisfied that the insurer ought to be registered for the purposes of this Chapter.</w:t>
      </w:r>
    </w:p>
    <w:p>
      <w:pPr>
        <w:pStyle w:val="Subsection"/>
      </w:pPr>
      <w:r>
        <w:tab/>
        <w:t>(3)</w:t>
      </w:r>
      <w:r>
        <w:tab/>
        <w:t>The Commissioner must give notice to a general insurer of its registration.</w:t>
      </w:r>
    </w:p>
    <w:p>
      <w:pPr>
        <w:pStyle w:val="Heading5"/>
        <w:spacing w:before="120"/>
      </w:pPr>
      <w:bookmarkStart w:id="1235" w:name="_Toc201998451"/>
      <w:bookmarkStart w:id="1236" w:name="_Toc265588597"/>
      <w:bookmarkStart w:id="1237" w:name="_Toc265580097"/>
      <w:r>
        <w:rPr>
          <w:rStyle w:val="CharSectno"/>
        </w:rPr>
        <w:t>219</w:t>
      </w:r>
      <w:r>
        <w:t>.</w:t>
      </w:r>
      <w:r>
        <w:tab/>
        <w:t>Return period of an insurer</w:t>
      </w:r>
      <w:bookmarkEnd w:id="1235"/>
      <w:bookmarkEnd w:id="1236"/>
      <w:bookmarkEnd w:id="1237"/>
    </w:p>
    <w:p>
      <w:pPr>
        <w:pStyle w:val="Subsection"/>
      </w:pPr>
      <w:r>
        <w:tab/>
      </w:r>
      <w:r>
        <w:tab/>
        <w:t>The return period of a registered insurer is —</w:t>
      </w:r>
    </w:p>
    <w:p>
      <w:pPr>
        <w:pStyle w:val="Indenta"/>
      </w:pPr>
      <w:r>
        <w:tab/>
        <w:t>(a)</w:t>
      </w:r>
      <w:r>
        <w:tab/>
        <w:t>if a special tax return arrangement is not in force — one month; or</w:t>
      </w:r>
    </w:p>
    <w:p>
      <w:pPr>
        <w:pStyle w:val="Indenta"/>
      </w:pPr>
      <w:r>
        <w:tab/>
        <w:t>(b)</w:t>
      </w:r>
      <w:r>
        <w:tab/>
        <w:t>the return period provided in a special tax return arrangement in force under the Taxation Administration Act section 49.</w:t>
      </w:r>
    </w:p>
    <w:p>
      <w:pPr>
        <w:pStyle w:val="Heading5"/>
        <w:spacing w:before="120"/>
      </w:pPr>
      <w:bookmarkStart w:id="1238" w:name="_Toc201998452"/>
      <w:bookmarkStart w:id="1239" w:name="_Toc265588598"/>
      <w:bookmarkStart w:id="1240" w:name="_Toc265580098"/>
      <w:r>
        <w:rPr>
          <w:rStyle w:val="CharSectno"/>
        </w:rPr>
        <w:t>220</w:t>
      </w:r>
      <w:r>
        <w:t>.</w:t>
      </w:r>
      <w:r>
        <w:tab/>
        <w:t>Insurers to lodge returns</w:t>
      </w:r>
      <w:bookmarkEnd w:id="1238"/>
      <w:bookmarkEnd w:id="1239"/>
      <w:bookmarkEnd w:id="1240"/>
    </w:p>
    <w:p>
      <w:pPr>
        <w:pStyle w:val="Subsection"/>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keepNext/>
      </w:pPr>
      <w:r>
        <w:tab/>
        <w:t>(2)</w:t>
      </w:r>
      <w:r>
        <w:tab/>
        <w:t xml:space="preserve">On becoming a general insurer, the insurer must — </w:t>
      </w:r>
    </w:p>
    <w:p>
      <w:pPr>
        <w:pStyle w:val="Indenta"/>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1241" w:name="_Toc201998453"/>
      <w:bookmarkStart w:id="1242" w:name="_Toc265588599"/>
      <w:bookmarkStart w:id="1243" w:name="_Toc265580099"/>
      <w:r>
        <w:rPr>
          <w:rStyle w:val="CharSectno"/>
        </w:rPr>
        <w:t>221</w:t>
      </w:r>
      <w:r>
        <w:t>.</w:t>
      </w:r>
      <w:r>
        <w:tab/>
        <w:t>Time for payment of duty by insurers</w:t>
      </w:r>
      <w:bookmarkEnd w:id="1241"/>
      <w:bookmarkEnd w:id="1242"/>
      <w:bookmarkEnd w:id="1243"/>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1244" w:name="_Toc201998454"/>
      <w:bookmarkStart w:id="1245" w:name="_Toc265588600"/>
      <w:bookmarkStart w:id="1246" w:name="_Toc265580100"/>
      <w:r>
        <w:rPr>
          <w:rStyle w:val="CharSectno"/>
        </w:rPr>
        <w:t>222</w:t>
      </w:r>
      <w:r>
        <w:t>.</w:t>
      </w:r>
      <w:r>
        <w:tab/>
        <w:t>Cancelling registration of insurers</w:t>
      </w:r>
      <w:bookmarkEnd w:id="1244"/>
      <w:bookmarkEnd w:id="1245"/>
      <w:bookmarkEnd w:id="1246"/>
    </w:p>
    <w:p>
      <w:pPr>
        <w:pStyle w:val="Subsection"/>
      </w:pPr>
      <w:r>
        <w:tab/>
        <w:t>(1)</w:t>
      </w:r>
      <w:r>
        <w:tab/>
        <w:t>The Commissioner may cancel the registration of a general insurer on his or her own initiative or at the request of the insurer.</w:t>
      </w:r>
    </w:p>
    <w:p>
      <w:pPr>
        <w:pStyle w:val="Subsection"/>
        <w:keepNext/>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rPr>
          <w:sz w:val="26"/>
        </w:rPr>
      </w:pPr>
      <w:bookmarkStart w:id="1247" w:name="_Toc201998455"/>
      <w:bookmarkStart w:id="1248" w:name="_Toc201999711"/>
      <w:bookmarkStart w:id="1249" w:name="_Toc202172230"/>
      <w:bookmarkStart w:id="1250" w:name="_Toc202172638"/>
      <w:bookmarkStart w:id="1251" w:name="_Toc202428876"/>
      <w:bookmarkStart w:id="1252" w:name="_Toc264020736"/>
      <w:bookmarkStart w:id="1253" w:name="_Toc264025089"/>
      <w:bookmarkStart w:id="1254" w:name="_Toc265580101"/>
      <w:bookmarkStart w:id="1255" w:name="_Toc265588183"/>
      <w:bookmarkStart w:id="1256" w:name="_Toc265588601"/>
      <w:r>
        <w:rPr>
          <w:sz w:val="26"/>
        </w:rPr>
        <w:t>Division 4 — Insured persons</w:t>
      </w:r>
      <w:bookmarkEnd w:id="1247"/>
      <w:bookmarkEnd w:id="1248"/>
      <w:bookmarkEnd w:id="1249"/>
      <w:bookmarkEnd w:id="1250"/>
      <w:bookmarkEnd w:id="1251"/>
      <w:bookmarkEnd w:id="1252"/>
      <w:bookmarkEnd w:id="1253"/>
      <w:bookmarkEnd w:id="1254"/>
      <w:bookmarkEnd w:id="1255"/>
      <w:bookmarkEnd w:id="1256"/>
    </w:p>
    <w:p>
      <w:pPr>
        <w:pStyle w:val="Heading5"/>
      </w:pPr>
      <w:bookmarkStart w:id="1257" w:name="_Toc201998456"/>
      <w:bookmarkStart w:id="1258" w:name="_Toc265588602"/>
      <w:bookmarkStart w:id="1259" w:name="_Toc265580102"/>
      <w:r>
        <w:rPr>
          <w:rStyle w:val="CharSectno"/>
        </w:rPr>
        <w:t>223</w:t>
      </w:r>
      <w:r>
        <w:t>.</w:t>
      </w:r>
      <w:r>
        <w:tab/>
        <w:t>Insured persons to lodge statements</w:t>
      </w:r>
      <w:bookmarkEnd w:id="1257"/>
      <w:bookmarkEnd w:id="1258"/>
      <w:bookmarkEnd w:id="1259"/>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pPr>
      <w:bookmarkStart w:id="1260" w:name="_Toc201998457"/>
      <w:bookmarkStart w:id="1261" w:name="_Toc265588603"/>
      <w:bookmarkStart w:id="1262" w:name="_Toc265580103"/>
      <w:r>
        <w:rPr>
          <w:rStyle w:val="CharSectno"/>
        </w:rPr>
        <w:t>224</w:t>
      </w:r>
      <w:r>
        <w:t>.</w:t>
      </w:r>
      <w:r>
        <w:tab/>
        <w:t>Time for payment of duty by insured persons</w:t>
      </w:r>
      <w:bookmarkEnd w:id="1260"/>
      <w:bookmarkEnd w:id="1261"/>
      <w:bookmarkEnd w:id="1262"/>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rPr>
          <w:sz w:val="28"/>
        </w:rPr>
      </w:pPr>
      <w:bookmarkStart w:id="1263" w:name="_Toc201998458"/>
      <w:bookmarkStart w:id="1264" w:name="_Toc201999714"/>
      <w:bookmarkStart w:id="1265" w:name="_Toc202172233"/>
      <w:bookmarkStart w:id="1266" w:name="_Toc202172641"/>
      <w:bookmarkStart w:id="1267" w:name="_Toc202428879"/>
      <w:bookmarkStart w:id="1268" w:name="_Toc264020739"/>
      <w:bookmarkStart w:id="1269" w:name="_Toc264025092"/>
      <w:bookmarkStart w:id="1270" w:name="_Toc265580104"/>
      <w:bookmarkStart w:id="1271" w:name="_Toc265588186"/>
      <w:bookmarkStart w:id="1272" w:name="_Toc265588604"/>
      <w:r>
        <w:rPr>
          <w:rStyle w:val="CharDivNo"/>
          <w:sz w:val="28"/>
        </w:rPr>
        <w:t>Part 4</w:t>
      </w:r>
      <w:r>
        <w:rPr>
          <w:sz w:val="28"/>
        </w:rPr>
        <w:t> — </w:t>
      </w:r>
      <w:r>
        <w:rPr>
          <w:rStyle w:val="CharDivText"/>
          <w:sz w:val="28"/>
        </w:rPr>
        <w:t>General provisions as to insurance duty</w:t>
      </w:r>
      <w:bookmarkEnd w:id="1263"/>
      <w:bookmarkEnd w:id="1264"/>
      <w:bookmarkEnd w:id="1265"/>
      <w:bookmarkEnd w:id="1266"/>
      <w:bookmarkEnd w:id="1267"/>
      <w:bookmarkEnd w:id="1268"/>
      <w:bookmarkEnd w:id="1269"/>
      <w:bookmarkEnd w:id="1270"/>
      <w:bookmarkEnd w:id="1271"/>
      <w:bookmarkEnd w:id="1272"/>
    </w:p>
    <w:p>
      <w:pPr>
        <w:pStyle w:val="Heading5"/>
      </w:pPr>
      <w:bookmarkStart w:id="1273" w:name="_Toc201998459"/>
      <w:bookmarkStart w:id="1274" w:name="_Toc265588605"/>
      <w:bookmarkStart w:id="1275" w:name="_Toc265580105"/>
      <w:r>
        <w:rPr>
          <w:rStyle w:val="CharSectno"/>
        </w:rPr>
        <w:t>225</w:t>
      </w:r>
      <w:r>
        <w:t>.</w:t>
      </w:r>
      <w:r>
        <w:tab/>
        <w:t>Insurer and intermediary to notify Commissioner of contracts of insurance</w:t>
      </w:r>
      <w:bookmarkEnd w:id="1273"/>
      <w:bookmarkEnd w:id="1274"/>
      <w:bookmarkEnd w:id="1275"/>
    </w:p>
    <w:p>
      <w:pPr>
        <w:pStyle w:val="Subsection"/>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pPr>
      <w:bookmarkStart w:id="1276" w:name="_Toc201998460"/>
      <w:bookmarkStart w:id="1277" w:name="_Toc265588606"/>
      <w:bookmarkStart w:id="1278" w:name="_Toc265580106"/>
      <w:r>
        <w:rPr>
          <w:rStyle w:val="CharSectno"/>
        </w:rPr>
        <w:t>226</w:t>
      </w:r>
      <w:r>
        <w:t>.</w:t>
      </w:r>
      <w:r>
        <w:tab/>
        <w:t>Refunds</w:t>
      </w:r>
      <w:bookmarkEnd w:id="1276"/>
      <w:bookmarkEnd w:id="1277"/>
      <w:bookmarkEnd w:id="1278"/>
    </w:p>
    <w:p>
      <w:pPr>
        <w:pStyle w:val="Subsection"/>
        <w:keepNext/>
        <w:keepLines/>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and</w:t>
      </w:r>
    </w:p>
    <w:p>
      <w:pPr>
        <w:pStyle w:val="Indenta"/>
      </w:pPr>
      <w:r>
        <w:tab/>
        <w:t>(b)</w:t>
      </w:r>
      <w:r>
        <w:tab/>
        <w:t>the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pPr>
      <w:bookmarkStart w:id="1279" w:name="_Toc201998461"/>
      <w:bookmarkStart w:id="1280" w:name="_Toc265588607"/>
      <w:bookmarkStart w:id="1281" w:name="_Toc265580107"/>
      <w:r>
        <w:rPr>
          <w:rStyle w:val="CharSectno"/>
        </w:rPr>
        <w:t>227</w:t>
      </w:r>
      <w:r>
        <w:t>.</w:t>
      </w:r>
      <w:r>
        <w:tab/>
        <w:t>Records</w:t>
      </w:r>
      <w:bookmarkEnd w:id="1279"/>
      <w:bookmarkEnd w:id="1280"/>
      <w:bookmarkEnd w:id="1281"/>
    </w:p>
    <w:p>
      <w:pPr>
        <w:pStyle w:val="Subsection"/>
      </w:pPr>
      <w:r>
        <w:tab/>
        <w:t>(1)</w:t>
      </w:r>
      <w:r>
        <w:tab/>
        <w:t>A person that is liable to pay duty must keep —</w:t>
      </w:r>
    </w:p>
    <w:p>
      <w:pPr>
        <w:pStyle w:val="Indenta"/>
      </w:pPr>
      <w:r>
        <w:tab/>
        <w:t>(a)</w:t>
      </w:r>
      <w:r>
        <w:tab/>
        <w:t>the records that are prescribed for the purposes of this section (if any); and</w:t>
      </w:r>
    </w:p>
    <w:p>
      <w:pPr>
        <w:pStyle w:val="Indenta"/>
      </w:pPr>
      <w:r>
        <w:tab/>
        <w:t>(b)</w:t>
      </w:r>
      <w:r>
        <w:tab/>
        <w:t>any other records necessary to enable the Commissioner to determine the person’s liability to pay duty.</w:t>
      </w:r>
    </w:p>
    <w:p>
      <w:pPr>
        <w:pStyle w:val="Penstart"/>
      </w:pPr>
      <w:r>
        <w:tab/>
        <w:t>Penalty: a fine of $20 000.</w:t>
      </w:r>
    </w:p>
    <w:p>
      <w:pPr>
        <w:pStyle w:val="Subsection"/>
      </w:pPr>
      <w:r>
        <w:tab/>
        <w:t>(2)</w:t>
      </w:r>
      <w:r>
        <w:tab/>
        <w:t>A person referred to in section 225(1) or (2) must keep the records necessary to enable the Commissioner to verify the information in any notice.</w:t>
      </w:r>
    </w:p>
    <w:p>
      <w:pPr>
        <w:pStyle w:val="Penstart"/>
      </w:pPr>
      <w:r>
        <w:tab/>
        <w:t>Penalty: a fine of $20 000.</w:t>
      </w:r>
    </w:p>
    <w:p>
      <w:pPr>
        <w:pStyle w:val="Heading2"/>
        <w:rPr>
          <w:sz w:val="32"/>
        </w:rPr>
      </w:pPr>
      <w:bookmarkStart w:id="1282" w:name="_Toc201998462"/>
      <w:bookmarkStart w:id="1283" w:name="_Toc201999718"/>
      <w:bookmarkStart w:id="1284" w:name="_Toc202172237"/>
      <w:bookmarkStart w:id="1285" w:name="_Toc202172645"/>
      <w:bookmarkStart w:id="1286" w:name="_Toc202428883"/>
      <w:bookmarkStart w:id="1287" w:name="_Toc264020743"/>
      <w:bookmarkStart w:id="1288" w:name="_Toc264025096"/>
      <w:bookmarkStart w:id="1289" w:name="_Toc265580108"/>
      <w:bookmarkStart w:id="1290" w:name="_Toc265588190"/>
      <w:bookmarkStart w:id="1291" w:name="_Toc265588608"/>
      <w:r>
        <w:rPr>
          <w:rStyle w:val="CharPartNo"/>
          <w:sz w:val="32"/>
        </w:rPr>
        <w:t>Chapter 5</w:t>
      </w:r>
      <w:r>
        <w:rPr>
          <w:sz w:val="32"/>
        </w:rPr>
        <w:t> — </w:t>
      </w:r>
      <w:r>
        <w:rPr>
          <w:rStyle w:val="CharPartText"/>
          <w:sz w:val="32"/>
        </w:rPr>
        <w:t>Vehicle licence duty</w:t>
      </w:r>
      <w:bookmarkEnd w:id="1282"/>
      <w:bookmarkEnd w:id="1283"/>
      <w:bookmarkEnd w:id="1284"/>
      <w:bookmarkEnd w:id="1285"/>
      <w:bookmarkEnd w:id="1286"/>
      <w:bookmarkEnd w:id="1287"/>
      <w:bookmarkEnd w:id="1288"/>
      <w:bookmarkEnd w:id="1289"/>
      <w:bookmarkEnd w:id="1290"/>
      <w:bookmarkEnd w:id="1291"/>
    </w:p>
    <w:p>
      <w:pPr>
        <w:pStyle w:val="Heading3"/>
        <w:rPr>
          <w:sz w:val="28"/>
        </w:rPr>
      </w:pPr>
      <w:bookmarkStart w:id="1292" w:name="_Toc201998463"/>
      <w:bookmarkStart w:id="1293" w:name="_Toc201999719"/>
      <w:bookmarkStart w:id="1294" w:name="_Toc202172238"/>
      <w:bookmarkStart w:id="1295" w:name="_Toc202172646"/>
      <w:bookmarkStart w:id="1296" w:name="_Toc202428884"/>
      <w:bookmarkStart w:id="1297" w:name="_Toc264020744"/>
      <w:bookmarkStart w:id="1298" w:name="_Toc264025097"/>
      <w:bookmarkStart w:id="1299" w:name="_Toc265580109"/>
      <w:bookmarkStart w:id="1300" w:name="_Toc265588191"/>
      <w:bookmarkStart w:id="1301" w:name="_Toc265588609"/>
      <w:r>
        <w:rPr>
          <w:rStyle w:val="CharDivNo"/>
          <w:sz w:val="28"/>
        </w:rPr>
        <w:t>Part 1</w:t>
      </w:r>
      <w:r>
        <w:rPr>
          <w:sz w:val="28"/>
        </w:rPr>
        <w:t> — </w:t>
      </w:r>
      <w:r>
        <w:rPr>
          <w:rStyle w:val="CharDivText"/>
          <w:sz w:val="28"/>
        </w:rPr>
        <w:t>Preliminary</w:t>
      </w:r>
      <w:bookmarkEnd w:id="1292"/>
      <w:bookmarkEnd w:id="1293"/>
      <w:bookmarkEnd w:id="1294"/>
      <w:bookmarkEnd w:id="1295"/>
      <w:bookmarkEnd w:id="1296"/>
      <w:bookmarkEnd w:id="1297"/>
      <w:bookmarkEnd w:id="1298"/>
      <w:bookmarkEnd w:id="1299"/>
      <w:bookmarkEnd w:id="1300"/>
      <w:bookmarkEnd w:id="1301"/>
    </w:p>
    <w:p>
      <w:pPr>
        <w:pStyle w:val="Heading5"/>
        <w:rPr>
          <w:sz w:val="32"/>
        </w:rPr>
      </w:pPr>
      <w:bookmarkStart w:id="1302" w:name="_Toc201998464"/>
      <w:bookmarkStart w:id="1303" w:name="_Toc265588610"/>
      <w:bookmarkStart w:id="1304" w:name="_Toc265580110"/>
      <w:r>
        <w:rPr>
          <w:rStyle w:val="CharSectno"/>
        </w:rPr>
        <w:t>228</w:t>
      </w:r>
      <w:r>
        <w:t>.</w:t>
      </w:r>
      <w:r>
        <w:tab/>
        <w:t>Terms used in this Chapter</w:t>
      </w:r>
      <w:bookmarkEnd w:id="1302"/>
      <w:bookmarkEnd w:id="1303"/>
      <w:bookmarkEnd w:id="1304"/>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Road Traffic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Director General</w:t>
      </w:r>
      <w:r>
        <w:t xml:space="preserve"> means the chief executive officer of the department of the Public Service principally assisting in the administration of the provisions that the Road Traffic Act section 5 defines as the “licensing provisions of this Act”;</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means a vehicle with a gross vehicle mass of more than 4.5 tonnes;</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Road Traffic Act section 5,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Heading3"/>
        <w:rPr>
          <w:sz w:val="28"/>
        </w:rPr>
      </w:pPr>
      <w:bookmarkStart w:id="1305" w:name="_Toc201998465"/>
      <w:bookmarkStart w:id="1306" w:name="_Toc201999721"/>
      <w:bookmarkStart w:id="1307" w:name="_Toc202172240"/>
      <w:bookmarkStart w:id="1308" w:name="_Toc202172648"/>
      <w:bookmarkStart w:id="1309" w:name="_Toc202428886"/>
      <w:bookmarkStart w:id="1310" w:name="_Toc264020746"/>
      <w:bookmarkStart w:id="1311" w:name="_Toc264025099"/>
      <w:bookmarkStart w:id="1312" w:name="_Toc265580111"/>
      <w:bookmarkStart w:id="1313" w:name="_Toc265588193"/>
      <w:bookmarkStart w:id="1314" w:name="_Toc265588611"/>
      <w:r>
        <w:rPr>
          <w:rStyle w:val="CharDivNo"/>
          <w:sz w:val="28"/>
        </w:rPr>
        <w:t>Part 2</w:t>
      </w:r>
      <w:r>
        <w:rPr>
          <w:sz w:val="28"/>
        </w:rPr>
        <w:t> — </w:t>
      </w:r>
      <w:r>
        <w:rPr>
          <w:rStyle w:val="CharDivText"/>
          <w:sz w:val="28"/>
        </w:rPr>
        <w:t>Imposition of vehicle licence duty</w:t>
      </w:r>
      <w:bookmarkEnd w:id="1305"/>
      <w:bookmarkEnd w:id="1306"/>
      <w:bookmarkEnd w:id="1307"/>
      <w:bookmarkEnd w:id="1308"/>
      <w:bookmarkEnd w:id="1309"/>
      <w:bookmarkEnd w:id="1310"/>
      <w:bookmarkEnd w:id="1311"/>
      <w:bookmarkEnd w:id="1312"/>
      <w:bookmarkEnd w:id="1313"/>
      <w:bookmarkEnd w:id="1314"/>
    </w:p>
    <w:p>
      <w:pPr>
        <w:pStyle w:val="Heading5"/>
      </w:pPr>
      <w:bookmarkStart w:id="1315" w:name="_Toc201998466"/>
      <w:bookmarkStart w:id="1316" w:name="_Toc265588612"/>
      <w:bookmarkStart w:id="1317" w:name="_Toc265580112"/>
      <w:r>
        <w:rPr>
          <w:rStyle w:val="CharSectno"/>
        </w:rPr>
        <w:t>229</w:t>
      </w:r>
      <w:r>
        <w:t>.</w:t>
      </w:r>
      <w:r>
        <w:tab/>
        <w:t>Vehicle licence duty imposed</w:t>
      </w:r>
      <w:bookmarkEnd w:id="1315"/>
      <w:bookmarkEnd w:id="1316"/>
      <w:bookmarkEnd w:id="1317"/>
    </w:p>
    <w:p>
      <w:pPr>
        <w:pStyle w:val="Subsection"/>
      </w:pPr>
      <w:r>
        <w:tab/>
      </w:r>
      <w:r>
        <w:tab/>
        <w:t>Duty is imposed on the grant or transfer of a licence for a vehicle.</w:t>
      </w:r>
    </w:p>
    <w:p>
      <w:pPr>
        <w:pStyle w:val="Heading5"/>
      </w:pPr>
      <w:bookmarkStart w:id="1318" w:name="_Toc201998467"/>
      <w:bookmarkStart w:id="1319" w:name="_Toc265588613"/>
      <w:bookmarkStart w:id="1320" w:name="_Toc265580113"/>
      <w:r>
        <w:rPr>
          <w:rStyle w:val="CharSectno"/>
        </w:rPr>
        <w:t>230</w:t>
      </w:r>
      <w:r>
        <w:t>.</w:t>
      </w:r>
      <w:r>
        <w:tab/>
        <w:t>Vehicles and their licences</w:t>
      </w:r>
      <w:bookmarkEnd w:id="1318"/>
      <w:bookmarkEnd w:id="1319"/>
      <w:bookmarkEnd w:id="1320"/>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r>
        <w:rPr>
          <w:rStyle w:val="CharDefText"/>
        </w:rPr>
        <w:t>licence</w:t>
      </w:r>
      <w:r>
        <w:rPr>
          <w:bCs/>
        </w:rPr>
        <w:t>.</w:t>
      </w:r>
    </w:p>
    <w:p>
      <w:pPr>
        <w:pStyle w:val="Heading3"/>
        <w:rPr>
          <w:sz w:val="28"/>
        </w:rPr>
      </w:pPr>
      <w:bookmarkStart w:id="1321" w:name="_Toc201998468"/>
      <w:bookmarkStart w:id="1322" w:name="_Toc201999724"/>
      <w:bookmarkStart w:id="1323" w:name="_Toc202172243"/>
      <w:bookmarkStart w:id="1324" w:name="_Toc202172651"/>
      <w:bookmarkStart w:id="1325" w:name="_Toc202428889"/>
      <w:bookmarkStart w:id="1326" w:name="_Toc264020749"/>
      <w:bookmarkStart w:id="1327" w:name="_Toc264025102"/>
      <w:bookmarkStart w:id="1328" w:name="_Toc265580114"/>
      <w:bookmarkStart w:id="1329" w:name="_Toc265588196"/>
      <w:bookmarkStart w:id="1330" w:name="_Toc265588614"/>
      <w:r>
        <w:rPr>
          <w:rStyle w:val="CharDivNo"/>
          <w:sz w:val="28"/>
        </w:rPr>
        <w:t>Part 3</w:t>
      </w:r>
      <w:r>
        <w:rPr>
          <w:sz w:val="28"/>
        </w:rPr>
        <w:t> — </w:t>
      </w:r>
      <w:r>
        <w:rPr>
          <w:rStyle w:val="CharDivText"/>
          <w:sz w:val="28"/>
        </w:rPr>
        <w:t>Collection of vehicle licence duty</w:t>
      </w:r>
      <w:bookmarkEnd w:id="1321"/>
      <w:bookmarkEnd w:id="1322"/>
      <w:bookmarkEnd w:id="1323"/>
      <w:bookmarkEnd w:id="1324"/>
      <w:bookmarkEnd w:id="1325"/>
      <w:bookmarkEnd w:id="1326"/>
      <w:bookmarkEnd w:id="1327"/>
      <w:bookmarkEnd w:id="1328"/>
      <w:bookmarkEnd w:id="1329"/>
      <w:bookmarkEnd w:id="1330"/>
    </w:p>
    <w:p>
      <w:pPr>
        <w:pStyle w:val="Heading4"/>
        <w:rPr>
          <w:sz w:val="26"/>
        </w:rPr>
      </w:pPr>
      <w:bookmarkStart w:id="1331" w:name="_Toc201998469"/>
      <w:bookmarkStart w:id="1332" w:name="_Toc201999725"/>
      <w:bookmarkStart w:id="1333" w:name="_Toc202172244"/>
      <w:bookmarkStart w:id="1334" w:name="_Toc202172652"/>
      <w:bookmarkStart w:id="1335" w:name="_Toc202428890"/>
      <w:bookmarkStart w:id="1336" w:name="_Toc264020750"/>
      <w:bookmarkStart w:id="1337" w:name="_Toc264025103"/>
      <w:bookmarkStart w:id="1338" w:name="_Toc265580115"/>
      <w:bookmarkStart w:id="1339" w:name="_Toc265588197"/>
      <w:bookmarkStart w:id="1340" w:name="_Toc265588615"/>
      <w:r>
        <w:rPr>
          <w:sz w:val="26"/>
        </w:rPr>
        <w:t>Division 1 — Preliminary</w:t>
      </w:r>
      <w:bookmarkEnd w:id="1331"/>
      <w:bookmarkEnd w:id="1332"/>
      <w:bookmarkEnd w:id="1333"/>
      <w:bookmarkEnd w:id="1334"/>
      <w:bookmarkEnd w:id="1335"/>
      <w:bookmarkEnd w:id="1336"/>
      <w:bookmarkEnd w:id="1337"/>
      <w:bookmarkEnd w:id="1338"/>
      <w:bookmarkEnd w:id="1339"/>
      <w:bookmarkEnd w:id="1340"/>
    </w:p>
    <w:p>
      <w:pPr>
        <w:pStyle w:val="Heading5"/>
      </w:pPr>
      <w:bookmarkStart w:id="1341" w:name="_Toc201998470"/>
      <w:bookmarkStart w:id="1342" w:name="_Toc265588616"/>
      <w:bookmarkStart w:id="1343" w:name="_Toc265580116"/>
      <w:r>
        <w:rPr>
          <w:rStyle w:val="CharSectno"/>
        </w:rPr>
        <w:t>231</w:t>
      </w:r>
      <w:r>
        <w:t>.</w:t>
      </w:r>
      <w:r>
        <w:tab/>
        <w:t>Terms used in this Part</w:t>
      </w:r>
      <w:bookmarkEnd w:id="1341"/>
      <w:bookmarkEnd w:id="1342"/>
      <w:bookmarkEnd w:id="1343"/>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1344" w:name="_Toc201998471"/>
      <w:bookmarkStart w:id="1345" w:name="_Toc201999727"/>
      <w:bookmarkStart w:id="1346" w:name="_Toc202172246"/>
      <w:bookmarkStart w:id="1347" w:name="_Toc202172654"/>
      <w:bookmarkStart w:id="1348" w:name="_Toc202428892"/>
      <w:bookmarkStart w:id="1349" w:name="_Toc264020752"/>
      <w:bookmarkStart w:id="1350" w:name="_Toc264025105"/>
      <w:bookmarkStart w:id="1351" w:name="_Toc265580117"/>
      <w:bookmarkStart w:id="1352" w:name="_Toc265588199"/>
      <w:bookmarkStart w:id="1353" w:name="_Toc265588617"/>
      <w:r>
        <w:rPr>
          <w:sz w:val="26"/>
        </w:rPr>
        <w:t>Division 2 — Liability</w:t>
      </w:r>
      <w:bookmarkEnd w:id="1344"/>
      <w:bookmarkEnd w:id="1345"/>
      <w:bookmarkEnd w:id="1346"/>
      <w:bookmarkEnd w:id="1347"/>
      <w:bookmarkEnd w:id="1348"/>
      <w:bookmarkEnd w:id="1349"/>
      <w:bookmarkEnd w:id="1350"/>
      <w:bookmarkEnd w:id="1351"/>
      <w:bookmarkEnd w:id="1352"/>
      <w:bookmarkEnd w:id="1353"/>
    </w:p>
    <w:p>
      <w:pPr>
        <w:pStyle w:val="Heading5"/>
        <w:spacing w:before="120"/>
        <w:ind w:left="0" w:firstLine="0"/>
      </w:pPr>
      <w:bookmarkStart w:id="1354" w:name="_Toc201998472"/>
      <w:bookmarkStart w:id="1355" w:name="_Toc265588618"/>
      <w:bookmarkStart w:id="1356" w:name="_Toc265580118"/>
      <w:r>
        <w:rPr>
          <w:rStyle w:val="CharSectno"/>
        </w:rPr>
        <w:t>232</w:t>
      </w:r>
      <w:r>
        <w:t>.</w:t>
      </w:r>
      <w:r>
        <w:tab/>
        <w:t>Person liable to pay duty</w:t>
      </w:r>
      <w:bookmarkEnd w:id="1354"/>
      <w:bookmarkEnd w:id="1355"/>
      <w:bookmarkEnd w:id="1356"/>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1357" w:name="_Toc201998473"/>
      <w:bookmarkStart w:id="1358" w:name="_Toc201999729"/>
      <w:bookmarkStart w:id="1359" w:name="_Toc202172248"/>
      <w:bookmarkStart w:id="1360" w:name="_Toc202172656"/>
      <w:bookmarkStart w:id="1361" w:name="_Toc202428894"/>
      <w:bookmarkStart w:id="1362" w:name="_Toc264020754"/>
      <w:bookmarkStart w:id="1363" w:name="_Toc264025107"/>
      <w:bookmarkStart w:id="1364" w:name="_Toc265580119"/>
      <w:bookmarkStart w:id="1365" w:name="_Toc265588201"/>
      <w:bookmarkStart w:id="1366" w:name="_Toc265588619"/>
      <w:r>
        <w:rPr>
          <w:sz w:val="26"/>
        </w:rPr>
        <w:t>Division 3 — Assessment and payment of vehicle licence duty</w:t>
      </w:r>
      <w:bookmarkEnd w:id="1357"/>
      <w:bookmarkEnd w:id="1358"/>
      <w:bookmarkEnd w:id="1359"/>
      <w:bookmarkEnd w:id="1360"/>
      <w:bookmarkEnd w:id="1361"/>
      <w:bookmarkEnd w:id="1362"/>
      <w:bookmarkEnd w:id="1363"/>
      <w:bookmarkEnd w:id="1364"/>
      <w:bookmarkEnd w:id="1365"/>
      <w:bookmarkEnd w:id="1366"/>
    </w:p>
    <w:p>
      <w:pPr>
        <w:pStyle w:val="Heading5"/>
        <w:spacing w:before="120"/>
      </w:pPr>
      <w:bookmarkStart w:id="1367" w:name="_Toc201998474"/>
      <w:bookmarkStart w:id="1368" w:name="_Toc265588620"/>
      <w:bookmarkStart w:id="1369" w:name="_Toc265580120"/>
      <w:r>
        <w:rPr>
          <w:rStyle w:val="CharSectno"/>
        </w:rPr>
        <w:t>233</w:t>
      </w:r>
      <w:r>
        <w:t>.</w:t>
      </w:r>
      <w:r>
        <w:tab/>
        <w:t>Assessment of duty</w:t>
      </w:r>
      <w:bookmarkEnd w:id="1367"/>
      <w:bookmarkEnd w:id="1368"/>
      <w:bookmarkEnd w:id="1369"/>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1370" w:name="_Toc201998475"/>
      <w:bookmarkStart w:id="1371" w:name="_Toc265588621"/>
      <w:bookmarkStart w:id="1372" w:name="_Toc265580121"/>
      <w:r>
        <w:rPr>
          <w:rStyle w:val="CharSectno"/>
        </w:rPr>
        <w:t>234</w:t>
      </w:r>
      <w:r>
        <w:t>.</w:t>
      </w:r>
      <w:r>
        <w:tab/>
        <w:t>Applicant’s statement of value in application</w:t>
      </w:r>
      <w:bookmarkEnd w:id="1370"/>
      <w:bookmarkEnd w:id="1371"/>
      <w:bookmarkEnd w:id="1372"/>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1373" w:name="_Toc201998476"/>
      <w:bookmarkStart w:id="1374" w:name="_Toc265588622"/>
      <w:bookmarkStart w:id="1375" w:name="_Toc265580122"/>
      <w:r>
        <w:rPr>
          <w:rStyle w:val="CharSectno"/>
        </w:rPr>
        <w:t>235</w:t>
      </w:r>
      <w:r>
        <w:t>.</w:t>
      </w:r>
      <w:r>
        <w:tab/>
        <w:t>Payment of duty</w:t>
      </w:r>
      <w:bookmarkEnd w:id="1373"/>
      <w:bookmarkEnd w:id="1374"/>
      <w:bookmarkEnd w:id="1375"/>
    </w:p>
    <w:p>
      <w:pPr>
        <w:pStyle w:val="Subsection"/>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1376" w:name="_Toc201998477"/>
      <w:bookmarkStart w:id="1377" w:name="_Toc201999733"/>
      <w:bookmarkStart w:id="1378" w:name="_Toc202172252"/>
      <w:bookmarkStart w:id="1379" w:name="_Toc202172660"/>
      <w:bookmarkStart w:id="1380" w:name="_Toc202428898"/>
      <w:bookmarkStart w:id="1381" w:name="_Toc264020758"/>
      <w:bookmarkStart w:id="1382" w:name="_Toc264025111"/>
      <w:bookmarkStart w:id="1383" w:name="_Toc265580123"/>
      <w:bookmarkStart w:id="1384" w:name="_Toc265588205"/>
      <w:bookmarkStart w:id="1385" w:name="_Toc265588623"/>
      <w:r>
        <w:rPr>
          <w:sz w:val="26"/>
        </w:rPr>
        <w:t>Division 4 — Amount of vehicle licence duty</w:t>
      </w:r>
      <w:bookmarkEnd w:id="1376"/>
      <w:bookmarkEnd w:id="1377"/>
      <w:bookmarkEnd w:id="1378"/>
      <w:bookmarkEnd w:id="1379"/>
      <w:bookmarkEnd w:id="1380"/>
      <w:bookmarkEnd w:id="1381"/>
      <w:bookmarkEnd w:id="1382"/>
      <w:bookmarkEnd w:id="1383"/>
      <w:bookmarkEnd w:id="1384"/>
      <w:bookmarkEnd w:id="1385"/>
    </w:p>
    <w:p>
      <w:pPr>
        <w:pStyle w:val="Heading5"/>
      </w:pPr>
      <w:bookmarkStart w:id="1386" w:name="_Toc201998478"/>
      <w:bookmarkStart w:id="1387" w:name="_Toc265588624"/>
      <w:bookmarkStart w:id="1388" w:name="_Toc265580124"/>
      <w:r>
        <w:rPr>
          <w:rStyle w:val="CharSectno"/>
        </w:rPr>
        <w:t>236</w:t>
      </w:r>
      <w:r>
        <w:t>.</w:t>
      </w:r>
      <w:r>
        <w:tab/>
        <w:t>Amount of duty payable</w:t>
      </w:r>
      <w:bookmarkEnd w:id="1386"/>
      <w:bookmarkEnd w:id="1387"/>
      <w:bookmarkEnd w:id="1388"/>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 xml:space="preserve">if the dutiable value of the vehicle exceeds $25 000 but does not exceed $50 000 — R% of the dutiable value, where R is determined in accordance with the following formula — </w:t>
      </w:r>
    </w:p>
    <w:p>
      <w:pPr>
        <w:pStyle w:val="Indenta"/>
        <w:ind w:left="2127" w:hanging="1463"/>
        <w:rPr>
          <w:position w:val="-30"/>
        </w:rPr>
      </w:pPr>
    </w:p>
    <w:p>
      <w:pPr>
        <w:pStyle w:val="Equation"/>
        <w:jc w:val="center"/>
        <w:rPr>
          <w:sz w:val="22"/>
        </w:rPr>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0.25pt;height:36pt">
            <v:imagedata r:id="rId21" o:title=""/>
          </v:shape>
        </w:pict>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1389" w:name="_Toc201998479"/>
      <w:bookmarkStart w:id="1390" w:name="_Toc201999735"/>
      <w:bookmarkStart w:id="1391" w:name="_Toc202172254"/>
      <w:bookmarkStart w:id="1392" w:name="_Toc202172662"/>
      <w:bookmarkStart w:id="1393" w:name="_Toc202428900"/>
      <w:bookmarkStart w:id="1394" w:name="_Toc264020760"/>
      <w:bookmarkStart w:id="1395" w:name="_Toc264025113"/>
      <w:bookmarkStart w:id="1396" w:name="_Toc265580125"/>
      <w:bookmarkStart w:id="1397" w:name="_Toc265588207"/>
      <w:bookmarkStart w:id="1398" w:name="_Toc265588625"/>
      <w:r>
        <w:rPr>
          <w:sz w:val="26"/>
        </w:rPr>
        <w:t>Division 5 — Dutiable value of a vehicle</w:t>
      </w:r>
      <w:bookmarkEnd w:id="1389"/>
      <w:bookmarkEnd w:id="1390"/>
      <w:bookmarkEnd w:id="1391"/>
      <w:bookmarkEnd w:id="1392"/>
      <w:bookmarkEnd w:id="1393"/>
      <w:bookmarkEnd w:id="1394"/>
      <w:bookmarkEnd w:id="1395"/>
      <w:bookmarkEnd w:id="1396"/>
      <w:bookmarkEnd w:id="1397"/>
      <w:bookmarkEnd w:id="1398"/>
    </w:p>
    <w:p>
      <w:pPr>
        <w:pStyle w:val="Heading5"/>
      </w:pPr>
      <w:bookmarkStart w:id="1399" w:name="_Toc201998480"/>
      <w:bookmarkStart w:id="1400" w:name="_Toc265588626"/>
      <w:bookmarkStart w:id="1401" w:name="_Toc265580126"/>
      <w:r>
        <w:rPr>
          <w:rStyle w:val="CharSectno"/>
        </w:rPr>
        <w:t>237</w:t>
      </w:r>
      <w:r>
        <w:t>.</w:t>
      </w:r>
      <w:r>
        <w:tab/>
        <w:t>Dutiable value of certain new vehicles</w:t>
      </w:r>
      <w:bookmarkEnd w:id="1399"/>
      <w:bookmarkEnd w:id="1400"/>
      <w:bookmarkEnd w:id="1401"/>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for each optional feature in or of the vehicle — the additional amount fixed by the manufacturer, importer or principal distributor for the retail sale in Western Australia of the optional feature.</w:t>
      </w:r>
    </w:p>
    <w:p>
      <w:pPr>
        <w:pStyle w:val="Subsection"/>
      </w:pPr>
      <w:r>
        <w:tab/>
        <w:t>(2)</w:t>
      </w:r>
      <w:r>
        <w:tab/>
        <w:t>This section has effect subject to section 239.</w:t>
      </w:r>
    </w:p>
    <w:p>
      <w:pPr>
        <w:pStyle w:val="Heading5"/>
        <w:spacing w:before="120"/>
      </w:pPr>
      <w:bookmarkStart w:id="1402" w:name="_Toc201998481"/>
      <w:bookmarkStart w:id="1403" w:name="_Toc265588627"/>
      <w:bookmarkStart w:id="1404" w:name="_Toc265580127"/>
      <w:r>
        <w:rPr>
          <w:rStyle w:val="CharSectno"/>
        </w:rPr>
        <w:t>238</w:t>
      </w:r>
      <w:r>
        <w:t>.</w:t>
      </w:r>
      <w:r>
        <w:tab/>
        <w:t>Dutiable value of certain other vehicles</w:t>
      </w:r>
      <w:bookmarkEnd w:id="1402"/>
      <w:bookmarkEnd w:id="1403"/>
      <w:bookmarkEnd w:id="1404"/>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spacing w:before="120"/>
      </w:pPr>
      <w:bookmarkStart w:id="1405" w:name="_Toc201998482"/>
      <w:bookmarkStart w:id="1406" w:name="_Toc265588628"/>
      <w:bookmarkStart w:id="1407" w:name="_Toc265580128"/>
      <w:r>
        <w:rPr>
          <w:rStyle w:val="CharSectno"/>
        </w:rPr>
        <w:t>239</w:t>
      </w:r>
      <w:r>
        <w:t>.</w:t>
      </w:r>
      <w:r>
        <w:tab/>
        <w:t>Dutiable value of specialised vehicles</w:t>
      </w:r>
      <w:bookmarkEnd w:id="1405"/>
      <w:bookmarkEnd w:id="1406"/>
      <w:bookmarkEnd w:id="1407"/>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1408" w:name="_Toc201998483"/>
      <w:bookmarkStart w:id="1409" w:name="_Toc201999739"/>
      <w:bookmarkStart w:id="1410" w:name="_Toc202172258"/>
      <w:bookmarkStart w:id="1411" w:name="_Toc202172666"/>
      <w:bookmarkStart w:id="1412" w:name="_Toc202428904"/>
      <w:bookmarkStart w:id="1413" w:name="_Toc264020764"/>
      <w:bookmarkStart w:id="1414" w:name="_Toc264025117"/>
      <w:bookmarkStart w:id="1415" w:name="_Toc265580129"/>
      <w:bookmarkStart w:id="1416" w:name="_Toc265588211"/>
      <w:bookmarkStart w:id="1417" w:name="_Toc265588629"/>
      <w:r>
        <w:rPr>
          <w:rStyle w:val="CharDivNo"/>
          <w:sz w:val="28"/>
        </w:rPr>
        <w:t>Part 4</w:t>
      </w:r>
      <w:r>
        <w:rPr>
          <w:sz w:val="28"/>
        </w:rPr>
        <w:t> — </w:t>
      </w:r>
      <w:r>
        <w:rPr>
          <w:rStyle w:val="CharDivText"/>
          <w:sz w:val="28"/>
        </w:rPr>
        <w:t>Exemptions and nominal duty</w:t>
      </w:r>
      <w:bookmarkEnd w:id="1408"/>
      <w:bookmarkEnd w:id="1409"/>
      <w:bookmarkEnd w:id="1410"/>
      <w:bookmarkEnd w:id="1411"/>
      <w:bookmarkEnd w:id="1412"/>
      <w:bookmarkEnd w:id="1413"/>
      <w:bookmarkEnd w:id="1414"/>
      <w:bookmarkEnd w:id="1415"/>
      <w:bookmarkEnd w:id="1416"/>
      <w:bookmarkEnd w:id="1417"/>
    </w:p>
    <w:p>
      <w:pPr>
        <w:pStyle w:val="Heading4"/>
        <w:spacing w:before="120"/>
        <w:rPr>
          <w:sz w:val="26"/>
        </w:rPr>
      </w:pPr>
      <w:bookmarkStart w:id="1418" w:name="_Toc201998484"/>
      <w:bookmarkStart w:id="1419" w:name="_Toc201999740"/>
      <w:bookmarkStart w:id="1420" w:name="_Toc202172259"/>
      <w:bookmarkStart w:id="1421" w:name="_Toc202172667"/>
      <w:bookmarkStart w:id="1422" w:name="_Toc202428905"/>
      <w:bookmarkStart w:id="1423" w:name="_Toc264020765"/>
      <w:bookmarkStart w:id="1424" w:name="_Toc264025118"/>
      <w:bookmarkStart w:id="1425" w:name="_Toc265580130"/>
      <w:bookmarkStart w:id="1426" w:name="_Toc265588212"/>
      <w:bookmarkStart w:id="1427" w:name="_Toc265588630"/>
      <w:r>
        <w:rPr>
          <w:sz w:val="26"/>
        </w:rPr>
        <w:t>Division 1 — Exemptions — general</w:t>
      </w:r>
      <w:bookmarkEnd w:id="1418"/>
      <w:bookmarkEnd w:id="1419"/>
      <w:bookmarkEnd w:id="1420"/>
      <w:bookmarkEnd w:id="1421"/>
      <w:bookmarkEnd w:id="1422"/>
      <w:bookmarkEnd w:id="1423"/>
      <w:bookmarkEnd w:id="1424"/>
      <w:bookmarkEnd w:id="1425"/>
      <w:bookmarkEnd w:id="1426"/>
      <w:bookmarkEnd w:id="1427"/>
    </w:p>
    <w:p>
      <w:pPr>
        <w:pStyle w:val="Heading5"/>
        <w:spacing w:before="120"/>
      </w:pPr>
      <w:bookmarkStart w:id="1428" w:name="_Toc201998485"/>
      <w:bookmarkStart w:id="1429" w:name="_Toc265588631"/>
      <w:bookmarkStart w:id="1430" w:name="_Toc265580131"/>
      <w:r>
        <w:rPr>
          <w:rStyle w:val="CharSectno"/>
        </w:rPr>
        <w:t>240</w:t>
      </w:r>
      <w:r>
        <w:t>.</w:t>
      </w:r>
      <w:r>
        <w:tab/>
        <w:t>If no vehicle licence fee payable under Road Traffic Act</w:t>
      </w:r>
      <w:bookmarkEnd w:id="1428"/>
      <w:bookmarkEnd w:id="1429"/>
      <w:bookmarkEnd w:id="1430"/>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20"/>
      </w:pPr>
      <w:bookmarkStart w:id="1431" w:name="_Toc201998486"/>
      <w:bookmarkStart w:id="1432" w:name="_Toc265588632"/>
      <w:bookmarkStart w:id="1433" w:name="_Toc265580132"/>
      <w:r>
        <w:rPr>
          <w:rStyle w:val="CharSectno"/>
        </w:rPr>
        <w:t>241</w:t>
      </w:r>
      <w:r>
        <w:t>.</w:t>
      </w:r>
      <w:r>
        <w:tab/>
        <w:t>Reconstruction exemption</w:t>
      </w:r>
      <w:bookmarkEnd w:id="1431"/>
      <w:bookmarkEnd w:id="1432"/>
      <w:bookmarkEnd w:id="1433"/>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pPr>
      <w:bookmarkStart w:id="1434" w:name="_Toc201998487"/>
      <w:bookmarkStart w:id="1435" w:name="_Toc265588633"/>
      <w:bookmarkStart w:id="1436" w:name="_Toc265580133"/>
      <w:r>
        <w:rPr>
          <w:rStyle w:val="CharSectno"/>
        </w:rPr>
        <w:t>242</w:t>
      </w:r>
      <w:r>
        <w:t>.</w:t>
      </w:r>
      <w:r>
        <w:tab/>
        <w:t>Previous licence or registration</w:t>
      </w:r>
      <w:bookmarkEnd w:id="1434"/>
      <w:bookmarkEnd w:id="1435"/>
      <w:bookmarkEnd w:id="1436"/>
    </w:p>
    <w:p>
      <w:pPr>
        <w:pStyle w:val="Subsection"/>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Australia</w:t>
      </w:r>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1437" w:name="_Toc201998488"/>
      <w:bookmarkStart w:id="1438" w:name="_Toc265588634"/>
      <w:bookmarkStart w:id="1439" w:name="_Toc265580134"/>
      <w:r>
        <w:rPr>
          <w:rStyle w:val="CharSectno"/>
        </w:rPr>
        <w:t>243</w:t>
      </w:r>
      <w:r>
        <w:t>.</w:t>
      </w:r>
      <w:r>
        <w:tab/>
        <w:t>Certain heavy vehicles</w:t>
      </w:r>
      <w:bookmarkEnd w:id="1437"/>
      <w:bookmarkEnd w:id="1438"/>
      <w:bookmarkEnd w:id="1439"/>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r>
        <w:rPr>
          <w:i/>
        </w:rPr>
        <w:t>Interstate Road Transport Act 1985</w:t>
      </w:r>
      <w:r>
        <w:t xml:space="preserve"> (Commonwealth); and</w:t>
      </w:r>
    </w:p>
    <w:p>
      <w:pPr>
        <w:pStyle w:val="Indenta"/>
      </w:pPr>
      <w:r>
        <w:tab/>
        <w:t>(b)</w:t>
      </w:r>
      <w:r>
        <w:tab/>
        <w:t>since 16 January 1997, no licence or registration has been granted under the Road Traffic Act or a corresponding State law for the vehicle in any other person’s name.</w:t>
      </w:r>
    </w:p>
    <w:p>
      <w:pPr>
        <w:pStyle w:val="Heading5"/>
      </w:pPr>
      <w:bookmarkStart w:id="1440" w:name="_Toc201998489"/>
      <w:bookmarkStart w:id="1441" w:name="_Toc265588635"/>
      <w:bookmarkStart w:id="1442" w:name="_Toc265580135"/>
      <w:r>
        <w:rPr>
          <w:rStyle w:val="CharSectno"/>
        </w:rPr>
        <w:t>244</w:t>
      </w:r>
      <w:r>
        <w:t>.</w:t>
      </w:r>
      <w:r>
        <w:tab/>
        <w:t>Prescribed class of person or vehicle or prescribed purpose</w:t>
      </w:r>
      <w:bookmarkEnd w:id="1440"/>
      <w:bookmarkEnd w:id="1441"/>
      <w:bookmarkEnd w:id="1442"/>
    </w:p>
    <w:p>
      <w:pPr>
        <w:pStyle w:val="Subsection"/>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1443" w:name="_Toc201998490"/>
      <w:bookmarkStart w:id="1444" w:name="_Toc201999746"/>
      <w:bookmarkStart w:id="1445" w:name="_Toc202172265"/>
      <w:bookmarkStart w:id="1446" w:name="_Toc202172673"/>
      <w:bookmarkStart w:id="1447" w:name="_Toc202428911"/>
      <w:bookmarkStart w:id="1448" w:name="_Toc264020771"/>
      <w:bookmarkStart w:id="1449" w:name="_Toc264025124"/>
      <w:bookmarkStart w:id="1450" w:name="_Toc265580136"/>
      <w:bookmarkStart w:id="1451" w:name="_Toc265588218"/>
      <w:bookmarkStart w:id="1452" w:name="_Toc265588636"/>
      <w:r>
        <w:rPr>
          <w:sz w:val="26"/>
        </w:rPr>
        <w:t>Division 2 — Exemptions — motor vehicle dealers</w:t>
      </w:r>
      <w:bookmarkEnd w:id="1443"/>
      <w:bookmarkEnd w:id="1444"/>
      <w:bookmarkEnd w:id="1445"/>
      <w:bookmarkEnd w:id="1446"/>
      <w:bookmarkEnd w:id="1447"/>
      <w:bookmarkEnd w:id="1448"/>
      <w:bookmarkEnd w:id="1449"/>
      <w:bookmarkEnd w:id="1450"/>
      <w:bookmarkEnd w:id="1451"/>
      <w:bookmarkEnd w:id="1452"/>
    </w:p>
    <w:p>
      <w:pPr>
        <w:pStyle w:val="Heading5"/>
      </w:pPr>
      <w:bookmarkStart w:id="1453" w:name="_Toc201998491"/>
      <w:bookmarkStart w:id="1454" w:name="_Toc265588637"/>
      <w:bookmarkStart w:id="1455" w:name="_Toc265580137"/>
      <w:r>
        <w:rPr>
          <w:rStyle w:val="CharSectno"/>
        </w:rPr>
        <w:t>245</w:t>
      </w:r>
      <w:r>
        <w:t>.</w:t>
      </w:r>
      <w:r>
        <w:tab/>
        <w:t>Minor incidental purposes</w:t>
      </w:r>
      <w:bookmarkEnd w:id="1453"/>
      <w:bookmarkEnd w:id="1454"/>
      <w:bookmarkEnd w:id="1455"/>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1456" w:name="_Toc201998492"/>
      <w:bookmarkStart w:id="1457" w:name="_Toc265588638"/>
      <w:bookmarkStart w:id="1458" w:name="_Toc265580138"/>
      <w:r>
        <w:rPr>
          <w:rStyle w:val="CharSectno"/>
        </w:rPr>
        <w:t>246</w:t>
      </w:r>
      <w:r>
        <w:t>.</w:t>
      </w:r>
      <w:r>
        <w:tab/>
        <w:t>Exempt use of a vehicle — trading stock</w:t>
      </w:r>
      <w:bookmarkEnd w:id="1456"/>
      <w:bookmarkEnd w:id="1457"/>
      <w:bookmarkEnd w:id="1458"/>
    </w:p>
    <w:p>
      <w:pPr>
        <w:pStyle w:val="Subsection"/>
      </w:pPr>
      <w:r>
        <w:tab/>
        <w:t>(1)</w:t>
      </w:r>
      <w:r>
        <w:tab/>
        <w:t xml:space="preserve">Duty is not chargeable on the grant of a licence for a vehicle to a dealer if — </w:t>
      </w:r>
    </w:p>
    <w:p>
      <w:pPr>
        <w:pStyle w:val="Indenta"/>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pPr>
      <w:r>
        <w:tab/>
        <w:t>(ii)</w:t>
      </w:r>
      <w:r>
        <w:tab/>
        <w:t>demonstrating it to prospective purchasers;</w:t>
      </w:r>
    </w:p>
    <w:p>
      <w:pPr>
        <w:pStyle w:val="Indenta"/>
      </w:pPr>
      <w:r>
        <w:tab/>
      </w:r>
      <w:r>
        <w:tab/>
        <w:t>and</w:t>
      </w:r>
    </w:p>
    <w:p>
      <w:pPr>
        <w:pStyle w:val="Indenta"/>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1459" w:name="_Toc201998493"/>
      <w:bookmarkStart w:id="1460" w:name="_Toc265588639"/>
      <w:bookmarkStart w:id="1461" w:name="_Toc265580139"/>
      <w:r>
        <w:rPr>
          <w:rStyle w:val="CharSectno"/>
        </w:rPr>
        <w:t>247</w:t>
      </w:r>
      <w:r>
        <w:t>.</w:t>
      </w:r>
      <w:r>
        <w:tab/>
        <w:t>Exempt use of a vehicle — charitable and other purposes</w:t>
      </w:r>
      <w:bookmarkEnd w:id="1459"/>
      <w:bookmarkEnd w:id="1460"/>
      <w:bookmarkEnd w:id="1461"/>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1462" w:name="_Toc201998494"/>
      <w:bookmarkStart w:id="1463" w:name="_Toc265588640"/>
      <w:bookmarkStart w:id="1464" w:name="_Toc265580140"/>
      <w:r>
        <w:rPr>
          <w:rStyle w:val="CharSectno"/>
        </w:rPr>
        <w:t>248</w:t>
      </w:r>
      <w:r>
        <w:t>.</w:t>
      </w:r>
      <w:r>
        <w:tab/>
        <w:t>Change of exempt use of a vehicle</w:t>
      </w:r>
      <w:bookmarkEnd w:id="1462"/>
      <w:bookmarkEnd w:id="1463"/>
      <w:bookmarkEnd w:id="1464"/>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1465" w:name="_Toc201998495"/>
      <w:bookmarkStart w:id="1466" w:name="_Toc265588641"/>
      <w:bookmarkStart w:id="1467" w:name="_Toc265580141"/>
      <w:r>
        <w:rPr>
          <w:rStyle w:val="CharSectno"/>
        </w:rPr>
        <w:t>249</w:t>
      </w:r>
      <w:r>
        <w:t>.</w:t>
      </w:r>
      <w:r>
        <w:tab/>
        <w:t>Change to non</w:t>
      </w:r>
      <w:r>
        <w:noBreakHyphen/>
        <w:t>exempt use of a vehicle</w:t>
      </w:r>
      <w:bookmarkEnd w:id="1465"/>
      <w:bookmarkEnd w:id="1466"/>
      <w:bookmarkEnd w:id="1467"/>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1468" w:name="_Toc201998496"/>
      <w:bookmarkStart w:id="1469" w:name="_Toc201999752"/>
      <w:bookmarkStart w:id="1470" w:name="_Toc202172271"/>
      <w:bookmarkStart w:id="1471" w:name="_Toc202172679"/>
      <w:bookmarkStart w:id="1472" w:name="_Toc202428917"/>
      <w:bookmarkStart w:id="1473" w:name="_Toc264020777"/>
      <w:bookmarkStart w:id="1474" w:name="_Toc264025130"/>
      <w:bookmarkStart w:id="1475" w:name="_Toc265580142"/>
      <w:bookmarkStart w:id="1476" w:name="_Toc265588224"/>
      <w:bookmarkStart w:id="1477" w:name="_Toc265588642"/>
      <w:r>
        <w:rPr>
          <w:sz w:val="26"/>
        </w:rPr>
        <w:t>Division 3 — Nominal duty</w:t>
      </w:r>
      <w:bookmarkEnd w:id="1468"/>
      <w:bookmarkEnd w:id="1469"/>
      <w:bookmarkEnd w:id="1470"/>
      <w:bookmarkEnd w:id="1471"/>
      <w:bookmarkEnd w:id="1472"/>
      <w:bookmarkEnd w:id="1473"/>
      <w:bookmarkEnd w:id="1474"/>
      <w:bookmarkEnd w:id="1475"/>
      <w:bookmarkEnd w:id="1476"/>
      <w:bookmarkEnd w:id="1477"/>
    </w:p>
    <w:p>
      <w:pPr>
        <w:pStyle w:val="Heading5"/>
        <w:spacing w:before="120"/>
      </w:pPr>
      <w:bookmarkStart w:id="1478" w:name="_Toc201998497"/>
      <w:bookmarkStart w:id="1479" w:name="_Toc265588643"/>
      <w:bookmarkStart w:id="1480" w:name="_Toc265580143"/>
      <w:r>
        <w:rPr>
          <w:rStyle w:val="CharSectno"/>
        </w:rPr>
        <w:t>250</w:t>
      </w:r>
      <w:r>
        <w:t>.</w:t>
      </w:r>
      <w:r>
        <w:tab/>
        <w:t>Transactions for which nominal duty is chargeable</w:t>
      </w:r>
      <w:bookmarkEnd w:id="1478"/>
      <w:bookmarkEnd w:id="1479"/>
      <w:bookmarkEnd w:id="1480"/>
    </w:p>
    <w:p>
      <w:pPr>
        <w:pStyle w:val="Subsection"/>
      </w:pPr>
      <w:r>
        <w:tab/>
        <w:t>(1)</w:t>
      </w:r>
      <w:r>
        <w:tab/>
        <w:t>This section applies to the transfer of a licence for a vehicle that is the result of a transfer of the vehicle within the meaning of Chapter 2.</w:t>
      </w:r>
    </w:p>
    <w:p>
      <w:pPr>
        <w:pStyle w:val="Subsection"/>
      </w:pPr>
      <w:r>
        <w:tab/>
        <w:t>(2)</w:t>
      </w:r>
      <w:r>
        <w:tab/>
        <w:t xml:space="preserve">If, on application, the Commissioner is satisfied that — </w:t>
      </w:r>
    </w:p>
    <w:p>
      <w:pPr>
        <w:pStyle w:val="Indenta"/>
      </w:pPr>
      <w:r>
        <w:tab/>
        <w:t>(a)</w:t>
      </w:r>
      <w:r>
        <w:tab/>
        <w:t>if the transfer of the vehicle were to be treated as a dutiable transaction — section 29, 114, 115, 116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Heading3"/>
        <w:rPr>
          <w:sz w:val="28"/>
        </w:rPr>
      </w:pPr>
      <w:bookmarkStart w:id="1481" w:name="_Toc201998498"/>
      <w:bookmarkStart w:id="1482" w:name="_Toc201999754"/>
      <w:bookmarkStart w:id="1483" w:name="_Toc202172273"/>
      <w:bookmarkStart w:id="1484" w:name="_Toc202172681"/>
      <w:bookmarkStart w:id="1485" w:name="_Toc202428919"/>
      <w:bookmarkStart w:id="1486" w:name="_Toc264020779"/>
      <w:bookmarkStart w:id="1487" w:name="_Toc264025132"/>
      <w:bookmarkStart w:id="1488" w:name="_Toc265580144"/>
      <w:bookmarkStart w:id="1489" w:name="_Toc265588226"/>
      <w:bookmarkStart w:id="1490" w:name="_Toc265588644"/>
      <w:r>
        <w:rPr>
          <w:rStyle w:val="CharDivNo"/>
          <w:sz w:val="28"/>
        </w:rPr>
        <w:t>Part 5</w:t>
      </w:r>
      <w:r>
        <w:rPr>
          <w:sz w:val="28"/>
        </w:rPr>
        <w:t> — </w:t>
      </w:r>
      <w:r>
        <w:rPr>
          <w:rStyle w:val="CharDivText"/>
          <w:sz w:val="28"/>
        </w:rPr>
        <w:t>General provisions as to vehicle licence duty</w:t>
      </w:r>
      <w:bookmarkEnd w:id="1481"/>
      <w:bookmarkEnd w:id="1482"/>
      <w:bookmarkEnd w:id="1483"/>
      <w:bookmarkEnd w:id="1484"/>
      <w:bookmarkEnd w:id="1485"/>
      <w:bookmarkEnd w:id="1486"/>
      <w:bookmarkEnd w:id="1487"/>
      <w:bookmarkEnd w:id="1488"/>
      <w:bookmarkEnd w:id="1489"/>
      <w:bookmarkEnd w:id="1490"/>
    </w:p>
    <w:p>
      <w:pPr>
        <w:pStyle w:val="Heading5"/>
      </w:pPr>
      <w:bookmarkStart w:id="1491" w:name="_Toc201998499"/>
      <w:bookmarkStart w:id="1492" w:name="_Toc265588645"/>
      <w:bookmarkStart w:id="1493" w:name="_Toc265580145"/>
      <w:r>
        <w:rPr>
          <w:rStyle w:val="CharSectno"/>
        </w:rPr>
        <w:t>251</w:t>
      </w:r>
      <w:r>
        <w:t>.</w:t>
      </w:r>
      <w:r>
        <w:tab/>
        <w:t>Failure to apply for transfer of licence</w:t>
      </w:r>
      <w:bookmarkEnd w:id="1491"/>
      <w:bookmarkEnd w:id="1492"/>
      <w:bookmarkEnd w:id="1493"/>
    </w:p>
    <w:p>
      <w:pPr>
        <w:pStyle w:val="Subsection"/>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1494" w:name="_Toc201998500"/>
      <w:bookmarkStart w:id="1495" w:name="_Toc265588646"/>
      <w:bookmarkStart w:id="1496" w:name="_Toc265580146"/>
      <w:r>
        <w:rPr>
          <w:rStyle w:val="CharSectno"/>
        </w:rPr>
        <w:t>252</w:t>
      </w:r>
      <w:r>
        <w:t>.</w:t>
      </w:r>
      <w:r>
        <w:tab/>
        <w:t>Seller’s obligation to notify purchase price</w:t>
      </w:r>
      <w:bookmarkEnd w:id="1494"/>
      <w:bookmarkEnd w:id="1495"/>
      <w:bookmarkEnd w:id="1496"/>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1497" w:name="_Toc201998501"/>
      <w:bookmarkStart w:id="1498" w:name="_Toc265588647"/>
      <w:bookmarkStart w:id="1499" w:name="_Toc265580147"/>
      <w:r>
        <w:rPr>
          <w:rStyle w:val="CharSectno"/>
        </w:rPr>
        <w:t>253</w:t>
      </w:r>
      <w:r>
        <w:t>.</w:t>
      </w:r>
      <w:r>
        <w:tab/>
        <w:t>Functions of Director General and Commissioner</w:t>
      </w:r>
      <w:bookmarkEnd w:id="1497"/>
      <w:bookmarkEnd w:id="1498"/>
      <w:bookmarkEnd w:id="1499"/>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1500" w:name="_Toc201998502"/>
      <w:bookmarkStart w:id="1501" w:name="_Toc265588648"/>
      <w:bookmarkStart w:id="1502" w:name="_Toc265580148"/>
      <w:r>
        <w:rPr>
          <w:rStyle w:val="CharSectno"/>
        </w:rPr>
        <w:t>254</w:t>
      </w:r>
      <w:r>
        <w:t>.</w:t>
      </w:r>
      <w:r>
        <w:tab/>
        <w:t>Form of certain declarations</w:t>
      </w:r>
      <w:bookmarkEnd w:id="1500"/>
      <w:bookmarkEnd w:id="1501"/>
      <w:bookmarkEnd w:id="1502"/>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1503" w:name="_Toc201998503"/>
      <w:bookmarkStart w:id="1504" w:name="_Toc265588649"/>
      <w:bookmarkStart w:id="1505" w:name="_Toc265580149"/>
      <w:r>
        <w:rPr>
          <w:rStyle w:val="CharSectno"/>
        </w:rPr>
        <w:t>255</w:t>
      </w:r>
      <w:r>
        <w:t>.</w:t>
      </w:r>
      <w:r>
        <w:tab/>
        <w:t>Duty to be credited to Commissioner</w:t>
      </w:r>
      <w:bookmarkEnd w:id="1503"/>
      <w:bookmarkEnd w:id="1504"/>
      <w:bookmarkEnd w:id="1505"/>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1506" w:name="_Toc201998504"/>
      <w:bookmarkStart w:id="1507" w:name="_Toc265588650"/>
      <w:bookmarkStart w:id="1508" w:name="_Toc265580150"/>
      <w:r>
        <w:rPr>
          <w:rStyle w:val="CharSectno"/>
        </w:rPr>
        <w:t>256</w:t>
      </w:r>
      <w:r>
        <w:t>.</w:t>
      </w:r>
      <w:r>
        <w:tab/>
        <w:t>Records</w:t>
      </w:r>
      <w:bookmarkEnd w:id="1506"/>
      <w:bookmarkEnd w:id="1507"/>
      <w:bookmarkEnd w:id="1508"/>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1509" w:name="_Toc201998505"/>
      <w:bookmarkStart w:id="1510" w:name="_Toc201999761"/>
      <w:bookmarkStart w:id="1511" w:name="_Toc202172280"/>
      <w:bookmarkStart w:id="1512" w:name="_Toc202172688"/>
      <w:bookmarkStart w:id="1513" w:name="_Toc202428926"/>
      <w:bookmarkStart w:id="1514" w:name="_Toc264020786"/>
      <w:bookmarkStart w:id="1515" w:name="_Toc264025139"/>
      <w:bookmarkStart w:id="1516" w:name="_Toc265580151"/>
      <w:bookmarkStart w:id="1517" w:name="_Toc265588233"/>
      <w:bookmarkStart w:id="1518" w:name="_Toc265588651"/>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1509"/>
      <w:bookmarkEnd w:id="1510"/>
      <w:bookmarkEnd w:id="1511"/>
      <w:bookmarkEnd w:id="1512"/>
      <w:bookmarkEnd w:id="1513"/>
      <w:bookmarkEnd w:id="1514"/>
      <w:bookmarkEnd w:id="1515"/>
      <w:bookmarkEnd w:id="1516"/>
      <w:bookmarkEnd w:id="1517"/>
      <w:bookmarkEnd w:id="1518"/>
    </w:p>
    <w:p>
      <w:pPr>
        <w:pStyle w:val="Heading5"/>
      </w:pPr>
      <w:bookmarkStart w:id="1519" w:name="_Toc201998506"/>
      <w:bookmarkStart w:id="1520" w:name="_Toc265588652"/>
      <w:bookmarkStart w:id="1521" w:name="_Toc265580152"/>
      <w:r>
        <w:rPr>
          <w:rStyle w:val="CharSectno"/>
        </w:rPr>
        <w:t>257</w:t>
      </w:r>
      <w:r>
        <w:t>.</w:t>
      </w:r>
      <w:r>
        <w:tab/>
        <w:t>Terms used in this Chapter</w:t>
      </w:r>
      <w:bookmarkEnd w:id="1519"/>
      <w:bookmarkEnd w:id="1520"/>
      <w:bookmarkEnd w:id="1521"/>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pPr>
      <w:r>
        <w:tab/>
        <w:t>(2)</w:t>
      </w:r>
      <w:r>
        <w:tab/>
        <w:t>If a corporation, or the trustee of a unit trust scheme as trustee, (</w:t>
      </w:r>
      <w:r>
        <w:rPr>
          <w:b/>
          <w:bCs/>
        </w:rPr>
        <w:t>“A”</w:t>
      </w:r>
      <w:r>
        <w:t>) directly or indirectly —</w:t>
      </w:r>
    </w:p>
    <w:p>
      <w:pPr>
        <w:pStyle w:val="Indenta"/>
      </w:pPr>
      <w:r>
        <w:tab/>
        <w:t>(a)</w:t>
      </w:r>
      <w:r>
        <w:tab/>
        <w:t>holds at least 90% of the securities of another entity (</w:t>
      </w:r>
      <w:r>
        <w:rPr>
          <w:b/>
          <w:bCs/>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pPr>
      <w:r>
        <w:tab/>
      </w:r>
      <w:r>
        <w:tab/>
        <w:t>then, for the purposes of this Chapter, A is the parent entity of B and B is a subsidiary of A.</w:t>
      </w:r>
    </w:p>
    <w:p>
      <w:pPr>
        <w:pStyle w:val="Heading5"/>
      </w:pPr>
      <w:bookmarkStart w:id="1522" w:name="_Toc201998507"/>
      <w:bookmarkStart w:id="1523" w:name="_Toc265588653"/>
      <w:bookmarkStart w:id="1524" w:name="_Toc265580153"/>
      <w:r>
        <w:rPr>
          <w:rStyle w:val="CharSectno"/>
        </w:rPr>
        <w:t>258</w:t>
      </w:r>
      <w:r>
        <w:t>.</w:t>
      </w:r>
      <w:r>
        <w:tab/>
        <w:t>The term “family”</w:t>
      </w:r>
      <w:bookmarkEnd w:id="1522"/>
      <w:bookmarkEnd w:id="1523"/>
      <w:bookmarkEnd w:id="1524"/>
    </w:p>
    <w:p>
      <w:pPr>
        <w:pStyle w:val="Subsection"/>
        <w:rPr>
          <w:bCs/>
        </w:rPr>
      </w:pPr>
      <w:r>
        <w:tab/>
        <w:t>(1)</w:t>
      </w:r>
      <w:r>
        <w:tab/>
        <w:t>A parent entity and its subsidiaries are members of a family.</w:t>
      </w:r>
    </w:p>
    <w:p>
      <w:pPr>
        <w:pStyle w:val="Subsection"/>
        <w:keepNext/>
      </w:pPr>
      <w:r>
        <w:tab/>
        <w:t>(2)</w:t>
      </w:r>
      <w:r>
        <w:tab/>
        <w:t>If all of the securities of an entity are stapled to the securities of one or more other entities, all of the entities and their subsidiaries are members of a family.</w:t>
      </w:r>
    </w:p>
    <w:p>
      <w:pPr>
        <w:pStyle w:val="Heading5"/>
      </w:pPr>
      <w:bookmarkStart w:id="1525" w:name="_Toc201998508"/>
      <w:bookmarkStart w:id="1526" w:name="_Toc265588654"/>
      <w:bookmarkStart w:id="1527" w:name="_Toc265580154"/>
      <w:r>
        <w:rPr>
          <w:rStyle w:val="CharSectno"/>
        </w:rPr>
        <w:t>259</w:t>
      </w:r>
      <w:r>
        <w:t>.</w:t>
      </w:r>
      <w:r>
        <w:tab/>
        <w:t>The term “relevant consolidation transaction”</w:t>
      </w:r>
      <w:bookmarkEnd w:id="1525"/>
      <w:bookmarkEnd w:id="1526"/>
      <w:bookmarkEnd w:id="1527"/>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1528" w:name="_Toc201998509"/>
      <w:bookmarkStart w:id="1529" w:name="_Toc265588655"/>
      <w:bookmarkStart w:id="1530" w:name="_Toc265580155"/>
      <w:r>
        <w:rPr>
          <w:rStyle w:val="CharSectno"/>
        </w:rPr>
        <w:t>260</w:t>
      </w:r>
      <w:r>
        <w:t>.</w:t>
      </w:r>
      <w:r>
        <w:tab/>
        <w:t>The term “relevant reconstruction transaction”</w:t>
      </w:r>
      <w:bookmarkEnd w:id="1528"/>
      <w:bookmarkEnd w:id="1529"/>
      <w:bookmarkEnd w:id="1530"/>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pPr>
      <w:r>
        <w:tab/>
        <w:t>[(c)</w:t>
      </w:r>
      <w:r>
        <w:tab/>
        <w:t>deleted]</w:t>
      </w:r>
    </w:p>
    <w:p>
      <w:pPr>
        <w:pStyle w:val="Indenta"/>
      </w:pPr>
      <w:r>
        <w:tab/>
        <w:t>(d)</w:t>
      </w:r>
      <w:r>
        <w:tab/>
        <w:t>an acquisition by one member of a family from another member of the family of an interest in an entity, if landholder duty is chargeable.</w:t>
      </w:r>
    </w:p>
    <w:p>
      <w:pPr>
        <w:pStyle w:val="Subsection"/>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 amended by No. 9 of 2010 s. 5.]</w:t>
      </w:r>
    </w:p>
    <w:p>
      <w:pPr>
        <w:pStyle w:val="Heading5"/>
      </w:pPr>
      <w:bookmarkStart w:id="1531" w:name="_Toc201998510"/>
      <w:bookmarkStart w:id="1532" w:name="_Toc265588656"/>
      <w:bookmarkStart w:id="1533" w:name="_Toc265580156"/>
      <w:r>
        <w:rPr>
          <w:rStyle w:val="CharSectno"/>
        </w:rPr>
        <w:t>261</w:t>
      </w:r>
      <w:r>
        <w:t>.</w:t>
      </w:r>
      <w:r>
        <w:tab/>
        <w:t>Pre</w:t>
      </w:r>
      <w:r>
        <w:noBreakHyphen/>
        <w:t>determining certain questions</w:t>
      </w:r>
      <w:bookmarkEnd w:id="1531"/>
      <w:bookmarkEnd w:id="1532"/>
      <w:bookmarkEnd w:id="1533"/>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1534" w:name="_Toc201998511"/>
      <w:bookmarkStart w:id="1535" w:name="_Toc265588657"/>
      <w:bookmarkStart w:id="1536" w:name="_Toc265580157"/>
      <w:r>
        <w:rPr>
          <w:rStyle w:val="CharSectno"/>
        </w:rPr>
        <w:t>262</w:t>
      </w:r>
      <w:r>
        <w:t>.</w:t>
      </w:r>
      <w:r>
        <w:tab/>
        <w:t>Application for exemption</w:t>
      </w:r>
      <w:bookmarkEnd w:id="1534"/>
      <w:bookmarkEnd w:id="1535"/>
      <w:bookmarkEnd w:id="1536"/>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r>
      <w:del w:id="1537" w:author="svcMRProcess" w:date="2020-02-15T03:25:00Z">
        <w:r>
          <w:delText>within</w:delText>
        </w:r>
      </w:del>
      <w:ins w:id="1538" w:author="svcMRProcess" w:date="2020-02-15T03:25:00Z">
        <w:r>
          <w:t>not later than</w:t>
        </w:r>
      </w:ins>
      <w:r>
        <w:t xml:space="preserve"> 12 months after the date of the transaction; and</w:t>
      </w:r>
    </w:p>
    <w:p>
      <w:pPr>
        <w:pStyle w:val="Indenta"/>
      </w:pPr>
      <w:r>
        <w:tab/>
        <w:t>(b)</w:t>
      </w:r>
      <w:r>
        <w:tab/>
        <w:t>by lodging an application in the approved form.</w:t>
      </w:r>
    </w:p>
    <w:p>
      <w:pPr>
        <w:pStyle w:val="Footnotesection"/>
        <w:rPr>
          <w:ins w:id="1539" w:author="svcMRProcess" w:date="2020-02-15T03:25:00Z"/>
        </w:rPr>
      </w:pPr>
      <w:bookmarkStart w:id="1540" w:name="_Toc201998512"/>
      <w:ins w:id="1541" w:author="svcMRProcess" w:date="2020-02-15T03:25:00Z">
        <w:r>
          <w:tab/>
          <w:t>[Section 262 amended by No. 17 of 2010 s. 16.]</w:t>
        </w:r>
      </w:ins>
    </w:p>
    <w:p>
      <w:pPr>
        <w:pStyle w:val="Heading5"/>
      </w:pPr>
      <w:bookmarkStart w:id="1542" w:name="_Toc265588658"/>
      <w:bookmarkStart w:id="1543" w:name="_Toc265580158"/>
      <w:r>
        <w:rPr>
          <w:rStyle w:val="CharSectno"/>
        </w:rPr>
        <w:t>263</w:t>
      </w:r>
      <w:r>
        <w:t>.</w:t>
      </w:r>
      <w:r>
        <w:tab/>
        <w:t>Grant of exemption</w:t>
      </w:r>
      <w:bookmarkEnd w:id="1540"/>
      <w:bookmarkEnd w:id="1542"/>
      <w:bookmarkEnd w:id="1543"/>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1544" w:name="_Toc201998513"/>
      <w:bookmarkStart w:id="1545" w:name="_Toc265588659"/>
      <w:bookmarkStart w:id="1546" w:name="_Toc265580159"/>
      <w:r>
        <w:rPr>
          <w:rStyle w:val="CharSectno"/>
        </w:rPr>
        <w:t>264</w:t>
      </w:r>
      <w:r>
        <w:t>.</w:t>
      </w:r>
      <w:r>
        <w:tab/>
        <w:t>Commissioner to be notified of certain events after an exempt relevant transaction</w:t>
      </w:r>
      <w:bookmarkEnd w:id="1544"/>
      <w:bookmarkEnd w:id="1545"/>
      <w:bookmarkEnd w:id="1546"/>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pPr>
      <w:r>
        <w:tab/>
        <w:t>(a)</w:t>
      </w:r>
      <w:r>
        <w:tab/>
        <w:t xml:space="preserve">for a notifiable event that occurs in relation to a relevant transaction as described in subsection (2)(a) — </w:t>
      </w:r>
    </w:p>
    <w:p>
      <w:pPr>
        <w:pStyle w:val="Defsubpara"/>
      </w:pPr>
      <w:r>
        <w:tab/>
        <w:t>(i)</w:t>
      </w:r>
      <w:r>
        <w:tab/>
        <w:t>if the controlling entity is a corporation — each person who is a director of the entity when the winding up begins; or</w:t>
      </w:r>
    </w:p>
    <w:p>
      <w:pPr>
        <w:pStyle w:val="Defsubpara"/>
      </w:pPr>
      <w:r>
        <w:tab/>
        <w:t>(ii)</w:t>
      </w:r>
      <w:r>
        <w:tab/>
        <w:t>if the controlling entity is a unit trust scheme — the trustee of the entity when the winding up begins; or</w:t>
      </w:r>
    </w:p>
    <w:p>
      <w:pPr>
        <w:pStyle w:val="Defsubpara"/>
      </w:pPr>
      <w:r>
        <w:tab/>
        <w:t>(iii)</w:t>
      </w:r>
      <w:r>
        <w:tab/>
        <w:t>if the controlling entity is a unit trust scheme and the trustee of the entity, being a corporation, is wound up — each person who is a director of the trustee when the winding up begins;</w:t>
      </w:r>
    </w:p>
    <w:p>
      <w:pPr>
        <w:pStyle w:val="Defpara"/>
      </w:pPr>
      <w:r>
        <w:tab/>
        <w:t>or</w:t>
      </w:r>
    </w:p>
    <w:p>
      <w:pPr>
        <w:pStyle w:val="Defpara"/>
        <w:keepNext/>
      </w:pPr>
      <w:r>
        <w:tab/>
        <w:t>(b)</w:t>
      </w:r>
      <w:r>
        <w:tab/>
        <w:t>for a notifiable event that occurs in relation to a relevant transaction as described in subsection (2)(b) —</w:t>
      </w:r>
    </w:p>
    <w:p>
      <w:pPr>
        <w:pStyle w:val="Defsubpara"/>
      </w:pPr>
      <w:r>
        <w:tab/>
        <w:t>(i)</w:t>
      </w:r>
      <w:r>
        <w:tab/>
        <w:t>the controlling entity or, if the controlling entity is wound up, the major holder (if any) of the controlling entity when the winding up begins; and</w:t>
      </w:r>
    </w:p>
    <w:p>
      <w:pPr>
        <w:pStyle w:val="Defsubpara"/>
      </w:pPr>
      <w:r>
        <w:tab/>
        <w:t>(ii)</w:t>
      </w:r>
      <w:r>
        <w:tab/>
        <w:t>the member of the transaction group referred to in subsection (2)(b);</w:t>
      </w:r>
    </w:p>
    <w:p>
      <w:pPr>
        <w:pStyle w:val="Defpara"/>
      </w:pP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1547" w:name="_Toc201998514"/>
      <w:bookmarkStart w:id="1548" w:name="_Toc265588660"/>
      <w:bookmarkStart w:id="1549" w:name="_Toc265580160"/>
      <w:r>
        <w:rPr>
          <w:rStyle w:val="CharSectno"/>
        </w:rPr>
        <w:t>265</w:t>
      </w:r>
      <w:r>
        <w:t>.</w:t>
      </w:r>
      <w:r>
        <w:tab/>
        <w:t>Revoking an exemption</w:t>
      </w:r>
      <w:bookmarkEnd w:id="1547"/>
      <w:bookmarkEnd w:id="1548"/>
      <w:bookmarkEnd w:id="1549"/>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1550" w:name="_Toc201998515"/>
      <w:bookmarkStart w:id="1551" w:name="_Toc265588661"/>
      <w:bookmarkStart w:id="1552" w:name="_Toc265580161"/>
      <w:r>
        <w:rPr>
          <w:rStyle w:val="CharSectno"/>
        </w:rPr>
        <w:t>266</w:t>
      </w:r>
      <w:r>
        <w:t>.</w:t>
      </w:r>
      <w:r>
        <w:tab/>
        <w:t>Liability for duty and tax if exemption revoked</w:t>
      </w:r>
      <w:bookmarkEnd w:id="1550"/>
      <w:bookmarkEnd w:id="1551"/>
      <w:bookmarkEnd w:id="1552"/>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1553" w:name="_Toc201998516"/>
      <w:bookmarkStart w:id="1554" w:name="_Toc201999772"/>
      <w:bookmarkStart w:id="1555" w:name="_Toc202172291"/>
      <w:bookmarkStart w:id="1556" w:name="_Toc202172699"/>
      <w:bookmarkStart w:id="1557" w:name="_Toc202428937"/>
      <w:bookmarkStart w:id="1558" w:name="_Toc264020797"/>
      <w:bookmarkStart w:id="1559" w:name="_Toc264025150"/>
      <w:bookmarkStart w:id="1560" w:name="_Toc265580162"/>
      <w:bookmarkStart w:id="1561" w:name="_Toc265588244"/>
      <w:bookmarkStart w:id="1562" w:name="_Toc265588662"/>
      <w:r>
        <w:rPr>
          <w:rStyle w:val="CharPartNo"/>
          <w:sz w:val="32"/>
        </w:rPr>
        <w:t>Chapter 7</w:t>
      </w:r>
      <w:r>
        <w:rPr>
          <w:sz w:val="32"/>
        </w:rPr>
        <w:t> — </w:t>
      </w:r>
      <w:r>
        <w:rPr>
          <w:rStyle w:val="CharPartText"/>
          <w:sz w:val="32"/>
        </w:rPr>
        <w:t>General anti</w:t>
      </w:r>
      <w:r>
        <w:rPr>
          <w:rStyle w:val="CharPartText"/>
          <w:sz w:val="32"/>
        </w:rPr>
        <w:noBreakHyphen/>
        <w:t>avoidance provisions</w:t>
      </w:r>
      <w:bookmarkEnd w:id="1553"/>
      <w:bookmarkEnd w:id="1554"/>
      <w:bookmarkEnd w:id="1555"/>
      <w:bookmarkEnd w:id="1556"/>
      <w:bookmarkEnd w:id="1557"/>
      <w:bookmarkEnd w:id="1558"/>
      <w:bookmarkEnd w:id="1559"/>
      <w:bookmarkEnd w:id="1560"/>
      <w:bookmarkEnd w:id="1561"/>
      <w:bookmarkEnd w:id="1562"/>
    </w:p>
    <w:p>
      <w:pPr>
        <w:pStyle w:val="Heading5"/>
      </w:pPr>
      <w:bookmarkStart w:id="1563" w:name="_Toc201998517"/>
      <w:bookmarkStart w:id="1564" w:name="_Toc265588663"/>
      <w:bookmarkStart w:id="1565" w:name="_Toc265580163"/>
      <w:r>
        <w:rPr>
          <w:rStyle w:val="CharSectno"/>
        </w:rPr>
        <w:t>267</w:t>
      </w:r>
      <w:r>
        <w:t>.</w:t>
      </w:r>
      <w:r>
        <w:tab/>
        <w:t>Schemes affected by this Chapter</w:t>
      </w:r>
      <w:bookmarkEnd w:id="1563"/>
      <w:bookmarkEnd w:id="1564"/>
      <w:bookmarkEnd w:id="1565"/>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1566" w:name="_Toc201998518"/>
      <w:bookmarkStart w:id="1567" w:name="_Toc265588664"/>
      <w:bookmarkStart w:id="1568" w:name="_Toc265580164"/>
      <w:r>
        <w:rPr>
          <w:rStyle w:val="CharSectno"/>
        </w:rPr>
        <w:t>268</w:t>
      </w:r>
      <w:r>
        <w:t>.</w:t>
      </w:r>
      <w:r>
        <w:tab/>
        <w:t>The term “tax avoidance scheme”</w:t>
      </w:r>
      <w:bookmarkEnd w:id="1566"/>
      <w:bookmarkEnd w:id="1567"/>
      <w:bookmarkEnd w:id="1568"/>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means a tax, duty or impost imposed under a law of the Commonwealth, another State, a Territory or a country other than Australia.</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1569" w:name="_Toc201998519"/>
      <w:bookmarkStart w:id="1570" w:name="_Toc265588665"/>
      <w:bookmarkStart w:id="1571" w:name="_Toc265580165"/>
      <w:r>
        <w:rPr>
          <w:rStyle w:val="CharSectno"/>
        </w:rPr>
        <w:t>269</w:t>
      </w:r>
      <w:r>
        <w:t>.</w:t>
      </w:r>
      <w:r>
        <w:tab/>
        <w:t>Tax avoidance scheme — pre</w:t>
      </w:r>
      <w:r>
        <w:noBreakHyphen/>
        <w:t>determination of section 270 decision</w:t>
      </w:r>
      <w:bookmarkEnd w:id="1569"/>
      <w:bookmarkEnd w:id="1570"/>
      <w:bookmarkEnd w:id="1571"/>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1572" w:name="_Toc201998520"/>
      <w:bookmarkStart w:id="1573" w:name="_Toc265588666"/>
      <w:bookmarkStart w:id="1574" w:name="_Toc265580166"/>
      <w:r>
        <w:rPr>
          <w:rStyle w:val="CharSectno"/>
        </w:rPr>
        <w:t>270</w:t>
      </w:r>
      <w:r>
        <w:t>.</w:t>
      </w:r>
      <w:r>
        <w:tab/>
        <w:t>Decision of Commissioner about tax avoidance scheme</w:t>
      </w:r>
      <w:bookmarkEnd w:id="1572"/>
      <w:bookmarkEnd w:id="1573"/>
      <w:bookmarkEnd w:id="1574"/>
    </w:p>
    <w:p>
      <w:pPr>
        <w:pStyle w:val="Subsection"/>
      </w:pPr>
      <w:r>
        <w:tab/>
        <w:t>(1)</w:t>
      </w:r>
      <w:r>
        <w:tab/>
        <w:t>If the Commissioner decides that a person has entered into or carried out a tax avoidance scheme that is of a blatant, artificial or contrived nature, the Commissioner may disregard the scheme.</w:t>
      </w:r>
    </w:p>
    <w:p>
      <w:pPr>
        <w:pStyle w:val="Subsection"/>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Heading5"/>
      </w:pPr>
      <w:bookmarkStart w:id="1575" w:name="_Toc201998521"/>
      <w:bookmarkStart w:id="1576" w:name="_Toc265588667"/>
      <w:bookmarkStart w:id="1577" w:name="_Toc265580167"/>
      <w:r>
        <w:rPr>
          <w:rStyle w:val="CharSectno"/>
        </w:rPr>
        <w:t>271</w:t>
      </w:r>
      <w:r>
        <w:t>.</w:t>
      </w:r>
      <w:r>
        <w:tab/>
        <w:t>Statement in relation to determination</w:t>
      </w:r>
      <w:bookmarkEnd w:id="1575"/>
      <w:bookmarkEnd w:id="1576"/>
      <w:bookmarkEnd w:id="1577"/>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1578" w:name="_Toc201998522"/>
      <w:bookmarkStart w:id="1579" w:name="_Toc201999778"/>
      <w:bookmarkStart w:id="1580" w:name="_Toc202172297"/>
      <w:bookmarkStart w:id="1581" w:name="_Toc202172705"/>
      <w:bookmarkStart w:id="1582" w:name="_Toc202428943"/>
      <w:bookmarkStart w:id="1583" w:name="_Toc264020803"/>
      <w:bookmarkStart w:id="1584" w:name="_Toc264025156"/>
      <w:bookmarkStart w:id="1585" w:name="_Toc265580168"/>
      <w:bookmarkStart w:id="1586" w:name="_Toc265588250"/>
      <w:bookmarkStart w:id="1587" w:name="_Toc265588668"/>
      <w:r>
        <w:rPr>
          <w:rStyle w:val="CharPartNo"/>
          <w:sz w:val="32"/>
        </w:rPr>
        <w:t>Chapter 8</w:t>
      </w:r>
      <w:r>
        <w:rPr>
          <w:sz w:val="32"/>
        </w:rPr>
        <w:t> — </w:t>
      </w:r>
      <w:r>
        <w:rPr>
          <w:rStyle w:val="CharPartText"/>
          <w:sz w:val="32"/>
        </w:rPr>
        <w:t>Other general provisions</w:t>
      </w:r>
      <w:bookmarkEnd w:id="1578"/>
      <w:bookmarkEnd w:id="1579"/>
      <w:bookmarkEnd w:id="1580"/>
      <w:bookmarkEnd w:id="1581"/>
      <w:bookmarkEnd w:id="1582"/>
      <w:bookmarkEnd w:id="1583"/>
      <w:bookmarkEnd w:id="1584"/>
      <w:bookmarkEnd w:id="1585"/>
      <w:bookmarkEnd w:id="1586"/>
      <w:bookmarkEnd w:id="1587"/>
    </w:p>
    <w:p>
      <w:pPr>
        <w:pStyle w:val="Heading3"/>
        <w:rPr>
          <w:sz w:val="28"/>
        </w:rPr>
      </w:pPr>
      <w:bookmarkStart w:id="1588" w:name="_Toc201998523"/>
      <w:bookmarkStart w:id="1589" w:name="_Toc201999779"/>
      <w:bookmarkStart w:id="1590" w:name="_Toc202172298"/>
      <w:bookmarkStart w:id="1591" w:name="_Toc202172706"/>
      <w:bookmarkStart w:id="1592" w:name="_Toc202428944"/>
      <w:bookmarkStart w:id="1593" w:name="_Toc264020804"/>
      <w:bookmarkStart w:id="1594" w:name="_Toc264025157"/>
      <w:bookmarkStart w:id="1595" w:name="_Toc265580169"/>
      <w:bookmarkStart w:id="1596" w:name="_Toc265588251"/>
      <w:bookmarkStart w:id="1597" w:name="_Toc265588669"/>
      <w:r>
        <w:rPr>
          <w:rStyle w:val="CharDivNo"/>
          <w:sz w:val="28"/>
        </w:rPr>
        <w:t>Part 1</w:t>
      </w:r>
      <w:r>
        <w:rPr>
          <w:sz w:val="28"/>
        </w:rPr>
        <w:t> — </w:t>
      </w:r>
      <w:r>
        <w:rPr>
          <w:rStyle w:val="CharDivText"/>
          <w:sz w:val="28"/>
        </w:rPr>
        <w:t>Duty endorsement</w:t>
      </w:r>
      <w:bookmarkEnd w:id="1588"/>
      <w:bookmarkEnd w:id="1589"/>
      <w:bookmarkEnd w:id="1590"/>
      <w:bookmarkEnd w:id="1591"/>
      <w:bookmarkEnd w:id="1592"/>
      <w:bookmarkEnd w:id="1593"/>
      <w:bookmarkEnd w:id="1594"/>
      <w:bookmarkEnd w:id="1595"/>
      <w:bookmarkEnd w:id="1596"/>
      <w:bookmarkEnd w:id="1597"/>
    </w:p>
    <w:p>
      <w:pPr>
        <w:pStyle w:val="Heading5"/>
        <w:spacing w:before="200"/>
      </w:pPr>
      <w:bookmarkStart w:id="1598" w:name="_Toc201998524"/>
      <w:bookmarkStart w:id="1599" w:name="_Toc265588670"/>
      <w:bookmarkStart w:id="1600" w:name="_Toc265580170"/>
      <w:r>
        <w:rPr>
          <w:rStyle w:val="CharSectno"/>
        </w:rPr>
        <w:t>272</w:t>
      </w:r>
      <w:r>
        <w:t>.</w:t>
      </w:r>
      <w:r>
        <w:tab/>
        <w:t>The term “duty endorsed”</w:t>
      </w:r>
      <w:bookmarkEnd w:id="1598"/>
      <w:bookmarkEnd w:id="1599"/>
      <w:bookmarkEnd w:id="1600"/>
    </w:p>
    <w:p>
      <w:pPr>
        <w:pStyle w:val="Subsection"/>
        <w:spacing w:before="140"/>
      </w:pPr>
      <w:r>
        <w:tab/>
        <w:t>(1)</w:t>
      </w:r>
      <w:r>
        <w:tab/>
        <w:t xml:space="preserve">A dutiable transaction is </w:t>
      </w:r>
      <w:r>
        <w:rPr>
          <w:rStyle w:val="CharDefText"/>
        </w:rPr>
        <w:t>duty endorsed</w:t>
      </w:r>
      <w:r>
        <w:t xml:space="preserve"> if a transaction record for it is duty endorsed.</w:t>
      </w:r>
    </w:p>
    <w:p>
      <w:pPr>
        <w:pStyle w:val="Subsection"/>
        <w:spacing w:before="140"/>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spacing w:before="140"/>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spacing w:before="200"/>
      </w:pPr>
      <w:bookmarkStart w:id="1601" w:name="_Toc201998525"/>
      <w:bookmarkStart w:id="1602" w:name="_Toc265588671"/>
      <w:bookmarkStart w:id="1603" w:name="_Toc265580171"/>
      <w:r>
        <w:rPr>
          <w:rStyle w:val="CharSectno"/>
        </w:rPr>
        <w:t>273</w:t>
      </w:r>
      <w:r>
        <w:t>.</w:t>
      </w:r>
      <w:r>
        <w:tab/>
        <w:t>Endorsement of duty or exemption from duty</w:t>
      </w:r>
      <w:bookmarkEnd w:id="1601"/>
      <w:bookmarkEnd w:id="1602"/>
      <w:bookmarkEnd w:id="1603"/>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spacing w:before="140"/>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spacing w:before="140"/>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spacing w:before="140"/>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40"/>
      </w:pPr>
      <w:r>
        <w:tab/>
      </w:r>
      <w:r>
        <w:tab/>
        <w:t>to indicate the amount of duty paid or payable or that duty was not chargeable.</w:t>
      </w:r>
    </w:p>
    <w:p>
      <w:pPr>
        <w:pStyle w:val="Heading5"/>
      </w:pPr>
      <w:bookmarkStart w:id="1604" w:name="_Toc201998526"/>
      <w:bookmarkStart w:id="1605" w:name="_Toc265588672"/>
      <w:bookmarkStart w:id="1606" w:name="_Toc265580172"/>
      <w:r>
        <w:rPr>
          <w:rStyle w:val="CharSectno"/>
        </w:rPr>
        <w:t>274.</w:t>
      </w:r>
      <w:r>
        <w:tab/>
        <w:t>Endorsement of duty that depends on duty paid on another transaction</w:t>
      </w:r>
      <w:bookmarkEnd w:id="1604"/>
      <w:bookmarkEnd w:id="1605"/>
      <w:bookmarkEnd w:id="1606"/>
    </w:p>
    <w:p>
      <w:pPr>
        <w:pStyle w:val="Subsection"/>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spacing w:before="140"/>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spacing w:before="140"/>
      </w:pPr>
      <w:r>
        <w:tab/>
      </w:r>
      <w:r>
        <w:tab/>
        <w:t>to indicate the amount of duty paid or payable on the related transaction.</w:t>
      </w:r>
    </w:p>
    <w:p>
      <w:pPr>
        <w:pStyle w:val="NotesPerm"/>
        <w:tabs>
          <w:tab w:val="left" w:pos="1418"/>
        </w:tabs>
        <w:ind w:left="1418" w:hanging="1418"/>
      </w:pPr>
      <w:r>
        <w:tab/>
        <w:t>Note:</w:t>
      </w:r>
      <w:r>
        <w:tab/>
        <w:t>For example, duty of $20 700 is paid on an agreement for the transfer of dutiable property (the “</w:t>
      </w:r>
      <w:r>
        <w:rPr>
          <w:b/>
          <w:bCs/>
        </w:rPr>
        <w:t>related transaction</w:t>
      </w:r>
      <w:r>
        <w:t>”).  A transfer of the dutiable property (the “</w:t>
      </w:r>
      <w:r>
        <w:rPr>
          <w:b/>
          <w:bCs/>
        </w:rPr>
        <w:t>dependent transaction</w:t>
      </w:r>
      <w:r>
        <w:t>”) is lodged and is in conformity with the agreement for transfer for the purposes of section 42(1).  The transfer will be endorsed to indicate:</w:t>
      </w:r>
    </w:p>
    <w:p>
      <w:pPr>
        <w:pStyle w:val="NotesPerm"/>
        <w:numPr>
          <w:ilvl w:val="0"/>
          <w:numId w:val="1"/>
        </w:numPr>
        <w:tabs>
          <w:tab w:val="left" w:pos="1418"/>
        </w:tabs>
        <w:ind w:left="1775" w:hanging="357"/>
      </w:pPr>
      <w:r>
        <w:t>that no duty is chargeable on the transfer; and</w:t>
      </w:r>
    </w:p>
    <w:p>
      <w:pPr>
        <w:pStyle w:val="NotesPerm"/>
        <w:numPr>
          <w:ilvl w:val="0"/>
          <w:numId w:val="1"/>
        </w:numPr>
        <w:tabs>
          <w:tab w:val="left" w:pos="1418"/>
        </w:tabs>
      </w:pPr>
      <w:r>
        <w:t>the duty of $20 700 paid on the agreement for transfer.</w:t>
      </w:r>
    </w:p>
    <w:p>
      <w:pPr>
        <w:pStyle w:val="Heading5"/>
      </w:pPr>
      <w:bookmarkStart w:id="1607" w:name="_Toc201998527"/>
      <w:bookmarkStart w:id="1608" w:name="_Toc265588673"/>
      <w:bookmarkStart w:id="1609" w:name="_Toc265580173"/>
      <w:r>
        <w:rPr>
          <w:rStyle w:val="CharSectno"/>
        </w:rPr>
        <w:t>275</w:t>
      </w:r>
      <w:r>
        <w:t>.</w:t>
      </w:r>
      <w:r>
        <w:tab/>
        <w:t>Duty endorsement as evidence</w:t>
      </w:r>
      <w:bookmarkEnd w:id="1607"/>
      <w:bookmarkEnd w:id="1608"/>
      <w:bookmarkEnd w:id="1609"/>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1610" w:name="_Toc201998528"/>
      <w:bookmarkStart w:id="1611" w:name="_Toc201999784"/>
      <w:bookmarkStart w:id="1612" w:name="_Toc202172303"/>
      <w:bookmarkStart w:id="1613" w:name="_Toc202172711"/>
      <w:bookmarkStart w:id="1614" w:name="_Toc202428949"/>
      <w:bookmarkStart w:id="1615" w:name="_Toc264020809"/>
      <w:bookmarkStart w:id="1616" w:name="_Toc264025162"/>
      <w:bookmarkStart w:id="1617" w:name="_Toc265580174"/>
      <w:bookmarkStart w:id="1618" w:name="_Toc265588256"/>
      <w:bookmarkStart w:id="1619" w:name="_Toc265588674"/>
      <w:r>
        <w:rPr>
          <w:rStyle w:val="CharDivNo"/>
          <w:sz w:val="28"/>
        </w:rPr>
        <w:t>Part 2</w:t>
      </w:r>
      <w:r>
        <w:rPr>
          <w:sz w:val="28"/>
        </w:rPr>
        <w:t> — </w:t>
      </w:r>
      <w:r>
        <w:rPr>
          <w:rStyle w:val="CharDivText"/>
          <w:sz w:val="28"/>
        </w:rPr>
        <w:t>Enforcement</w:t>
      </w:r>
      <w:bookmarkEnd w:id="1610"/>
      <w:bookmarkEnd w:id="1611"/>
      <w:bookmarkEnd w:id="1612"/>
      <w:bookmarkEnd w:id="1613"/>
      <w:bookmarkEnd w:id="1614"/>
      <w:bookmarkEnd w:id="1615"/>
      <w:bookmarkEnd w:id="1616"/>
      <w:bookmarkEnd w:id="1617"/>
      <w:bookmarkEnd w:id="1618"/>
      <w:bookmarkEnd w:id="1619"/>
    </w:p>
    <w:p>
      <w:pPr>
        <w:pStyle w:val="Heading5"/>
      </w:pPr>
      <w:bookmarkStart w:id="1620" w:name="_Toc201998529"/>
      <w:bookmarkStart w:id="1621" w:name="_Toc265588675"/>
      <w:bookmarkStart w:id="1622" w:name="_Toc265580175"/>
      <w:r>
        <w:rPr>
          <w:rStyle w:val="CharSectno"/>
        </w:rPr>
        <w:t>276</w:t>
      </w:r>
      <w:r>
        <w:t>.</w:t>
      </w:r>
      <w:r>
        <w:tab/>
        <w:t>Registration or recording of dutiable transactions</w:t>
      </w:r>
      <w:bookmarkEnd w:id="1620"/>
      <w:bookmarkEnd w:id="1621"/>
      <w:bookmarkEnd w:id="1622"/>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1623" w:name="_Toc201998530"/>
      <w:bookmarkStart w:id="1624" w:name="_Toc265588676"/>
      <w:bookmarkStart w:id="1625" w:name="_Toc265580176"/>
      <w:r>
        <w:rPr>
          <w:rStyle w:val="CharSectno"/>
        </w:rPr>
        <w:t>277</w:t>
      </w:r>
      <w:r>
        <w:t>.</w:t>
      </w:r>
      <w:r>
        <w:tab/>
        <w:t>Functions as to business licences</w:t>
      </w:r>
      <w:bookmarkEnd w:id="1623"/>
      <w:bookmarkEnd w:id="1624"/>
      <w:bookmarkEnd w:id="1625"/>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1626" w:name="_Toc201998531"/>
      <w:bookmarkStart w:id="1627" w:name="_Toc265588677"/>
      <w:bookmarkStart w:id="1628" w:name="_Toc265580177"/>
      <w:r>
        <w:rPr>
          <w:rStyle w:val="CharSectno"/>
        </w:rPr>
        <w:t>278</w:t>
      </w:r>
      <w:r>
        <w:t>.</w:t>
      </w:r>
      <w:r>
        <w:tab/>
        <w:t>Lodgment of certain caveats</w:t>
      </w:r>
      <w:bookmarkEnd w:id="1626"/>
      <w:bookmarkEnd w:id="1627"/>
      <w:bookmarkEnd w:id="1628"/>
    </w:p>
    <w:p>
      <w:pPr>
        <w:pStyle w:val="Subsection"/>
      </w:pPr>
      <w:r>
        <w:rPr>
          <w:b/>
        </w:rPr>
        <w:tab/>
      </w:r>
      <w:r>
        <w:t>(1)</w:t>
      </w:r>
      <w:r>
        <w:tab/>
        <w:t xml:space="preserve">In this section — </w:t>
      </w:r>
    </w:p>
    <w:p>
      <w:pPr>
        <w:pStyle w:val="Defstart"/>
      </w:pPr>
      <w:r>
        <w:rPr>
          <w:b/>
        </w:rPr>
        <w:tab/>
      </w:r>
      <w:r>
        <w:rPr>
          <w:rStyle w:val="CharDefText"/>
        </w:rPr>
        <w:t>caveat</w:t>
      </w:r>
      <w:r>
        <w:t xml:space="preserve"> means a caveat lodged under —</w:t>
      </w:r>
    </w:p>
    <w:p>
      <w:pPr>
        <w:pStyle w:val="Defpara"/>
      </w:pPr>
      <w:r>
        <w:tab/>
        <w:t>(a)</w:t>
      </w:r>
      <w:r>
        <w:tab/>
        <w:t xml:space="preserve">the </w:t>
      </w:r>
      <w:r>
        <w:rPr>
          <w:i/>
          <w:iCs/>
        </w:rPr>
        <w:t>Transfer of Land Act 1893</w:t>
      </w:r>
      <w:r>
        <w:t xml:space="preserve"> Part V;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as defined in the </w:t>
      </w:r>
      <w:r>
        <w:rPr>
          <w:i/>
        </w:rPr>
        <w:t xml:space="preserve">Mining Act 1978 </w:t>
      </w:r>
      <w:r>
        <w:rPr>
          <w:iCs/>
        </w:rPr>
        <w:t xml:space="preserve">section 8(1) </w:t>
      </w:r>
      <w:r>
        <w:t>(as the case requires).</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Heading5"/>
      </w:pPr>
      <w:bookmarkStart w:id="1629" w:name="_Toc201998532"/>
      <w:bookmarkStart w:id="1630" w:name="_Toc265588678"/>
      <w:bookmarkStart w:id="1631" w:name="_Toc265580178"/>
      <w:r>
        <w:rPr>
          <w:rStyle w:val="CharSectno"/>
        </w:rPr>
        <w:t>279</w:t>
      </w:r>
      <w:r>
        <w:t>.</w:t>
      </w:r>
      <w:r>
        <w:tab/>
        <w:t>Receipt of transaction records in evidence</w:t>
      </w:r>
      <w:bookmarkEnd w:id="1629"/>
      <w:bookmarkEnd w:id="1630"/>
      <w:bookmarkEnd w:id="1631"/>
    </w:p>
    <w:p>
      <w:pPr>
        <w:pStyle w:val="Subsection"/>
      </w:pPr>
      <w:r>
        <w:rPr>
          <w:lang w:val="en-US"/>
        </w:rPr>
        <w:tab/>
        <w:t>(1)</w:t>
      </w:r>
      <w:r>
        <w:rPr>
          <w:lang w:val="en-US"/>
        </w:rPr>
        <w:tab/>
        <w:t xml:space="preserve">A </w:t>
      </w:r>
      <w:r>
        <w:t xml:space="preserve">transaction record for a dutiable transaction — </w:t>
      </w:r>
    </w:p>
    <w:p>
      <w:pPr>
        <w:pStyle w:val="Indenta"/>
        <w:rPr>
          <w:lang w:val="en-US"/>
        </w:rPr>
      </w:pPr>
      <w:r>
        <w:tab/>
        <w:t>(a)</w:t>
      </w:r>
      <w:r>
        <w:tab/>
      </w:r>
      <w:r>
        <w:rPr>
          <w:lang w:val="en-US"/>
        </w:rPr>
        <w:t>is not available for use in law or equity for any purpose; and</w:t>
      </w:r>
    </w:p>
    <w:p>
      <w:pPr>
        <w:pStyle w:val="Indenta"/>
        <w:rPr>
          <w:szCs w:val="24"/>
          <w:lang w:val="en-US"/>
        </w:rPr>
      </w:pPr>
      <w:r>
        <w:rPr>
          <w:lang w:val="en-US"/>
        </w:rPr>
        <w:tab/>
        <w:t>(b)</w:t>
      </w:r>
      <w:r>
        <w:rPr>
          <w:lang w:val="en-US"/>
        </w:rPr>
        <w:tab/>
        <w:t xml:space="preserve">cannot be presented in evidence in a court </w:t>
      </w:r>
      <w:r>
        <w:rPr>
          <w:szCs w:val="24"/>
          <w:lang w:val="en-US"/>
        </w:rPr>
        <w:t>exercising civil jurisdiction,</w:t>
      </w:r>
    </w:p>
    <w:p>
      <w:pPr>
        <w:pStyle w:val="Subsection"/>
        <w:rPr>
          <w:szCs w:val="24"/>
          <w:lang w:val="en-US"/>
        </w:rPr>
      </w:pPr>
      <w:r>
        <w:rPr>
          <w:szCs w:val="24"/>
          <w:lang w:val="en-US"/>
        </w:rPr>
        <w:tab/>
      </w:r>
      <w:r>
        <w:rPr>
          <w:szCs w:val="24"/>
          <w:lang w:val="en-US"/>
        </w:rPr>
        <w:tab/>
        <w:t xml:space="preserve">unless </w:t>
      </w:r>
      <w:r>
        <w:rPr>
          <w:lang w:val="en-US"/>
        </w:rPr>
        <w:t xml:space="preserve">it is </w:t>
      </w:r>
      <w:r>
        <w:t>duty endorsed</w:t>
      </w:r>
      <w:r>
        <w:rPr>
          <w:lang w:val="en-US"/>
        </w:rPr>
        <w:t>.</w:t>
      </w:r>
    </w:p>
    <w:p>
      <w:pPr>
        <w:pStyle w:val="Subsection"/>
        <w:rPr>
          <w:szCs w:val="24"/>
          <w:lang w:val="en-US"/>
        </w:rPr>
      </w:pPr>
      <w:r>
        <w:rPr>
          <w:lang w:val="en-US"/>
        </w:rPr>
        <w:tab/>
        <w:t>(2)</w:t>
      </w:r>
      <w:r>
        <w:rPr>
          <w:lang w:val="en-US"/>
        </w:rPr>
        <w:tab/>
        <w:t xml:space="preserve">Despite subsection (1), a court may admit in evidence a </w:t>
      </w:r>
      <w:r>
        <w:t xml:space="preserve">transaction record </w:t>
      </w:r>
      <w:r>
        <w:rPr>
          <w:szCs w:val="24"/>
          <w:lang w:val="en-US"/>
        </w:rPr>
        <w:t xml:space="preserve">that is not </w:t>
      </w:r>
      <w:r>
        <w:t>duty endorsed</w:t>
      </w:r>
      <w:r>
        <w:rPr>
          <w:szCs w:val="24"/>
          <w:lang w:val="en-US"/>
        </w:rPr>
        <w:t xml:space="preserve"> — </w:t>
      </w:r>
    </w:p>
    <w:p>
      <w:pPr>
        <w:pStyle w:val="Indenta"/>
        <w:rPr>
          <w:lang w:val="en-US"/>
        </w:rPr>
      </w:pPr>
      <w:r>
        <w:rPr>
          <w:lang w:val="en-US"/>
        </w:rPr>
        <w:tab/>
        <w:t>(a)</w:t>
      </w:r>
      <w:r>
        <w:rPr>
          <w:lang w:val="en-US"/>
        </w:rPr>
        <w:tab/>
        <w:t xml:space="preserve">where the person </w:t>
      </w:r>
      <w:r>
        <w:t>that</w:t>
      </w:r>
      <w:r>
        <w:rPr>
          <w:lang w:val="en-US"/>
        </w:rPr>
        <w:t xml:space="preserve"> produces the </w:t>
      </w:r>
      <w:r>
        <w:t>transaction record</w:t>
      </w:r>
      <w:r>
        <w:rPr>
          <w:lang w:val="en-US"/>
        </w:rPr>
        <w:t xml:space="preserve"> is the person liable to pay the duty — </w:t>
      </w:r>
    </w:p>
    <w:p>
      <w:pPr>
        <w:pStyle w:val="Indenti"/>
        <w:rPr>
          <w:lang w:val="en-US"/>
        </w:rPr>
      </w:pPr>
      <w:r>
        <w:rPr>
          <w:lang w:val="en-US"/>
        </w:rPr>
        <w:tab/>
        <w:t>(i)</w:t>
      </w:r>
      <w:r>
        <w:rPr>
          <w:lang w:val="en-US"/>
        </w:rPr>
        <w:tab/>
        <w:t xml:space="preserve">if the </w:t>
      </w:r>
      <w:r>
        <w:t>transaction record</w:t>
      </w:r>
      <w:r>
        <w:rPr>
          <w:lang w:val="en-US"/>
        </w:rPr>
        <w:t xml:space="preserve"> has been transmitted to the Commissioner; or</w:t>
      </w:r>
    </w:p>
    <w:p>
      <w:pPr>
        <w:pStyle w:val="Indenti"/>
        <w:rPr>
          <w:lang w:val="en-US"/>
        </w:rPr>
      </w:pPr>
      <w:r>
        <w:rPr>
          <w:lang w:val="en-US"/>
        </w:rPr>
        <w:tab/>
        <w:t>(ii)</w:t>
      </w:r>
      <w:r>
        <w:rPr>
          <w:lang w:val="en-US"/>
        </w:rPr>
        <w:tab/>
        <w:t xml:space="preserve">if the court is satisfied that the </w:t>
      </w:r>
      <w:r>
        <w:t>transaction record</w:t>
      </w:r>
      <w:r>
        <w:rPr>
          <w:lang w:val="en-US"/>
        </w:rPr>
        <w:t xml:space="preserve"> will, after its admission, be transmitted to the Commissioner in accordance with arrangements approved by the court; </w:t>
      </w:r>
    </w:p>
    <w:p>
      <w:pPr>
        <w:pStyle w:val="Indenta"/>
        <w:rPr>
          <w:lang w:val="en-US"/>
        </w:rPr>
      </w:pPr>
      <w:r>
        <w:rPr>
          <w:lang w:val="en-US"/>
        </w:rPr>
        <w:tab/>
      </w:r>
      <w:r>
        <w:rPr>
          <w:lang w:val="en-US"/>
        </w:rPr>
        <w:tab/>
        <w:t>or</w:t>
      </w:r>
    </w:p>
    <w:p>
      <w:pPr>
        <w:pStyle w:val="Indenta"/>
      </w:pPr>
      <w:r>
        <w:rPr>
          <w:lang w:val="en-US"/>
        </w:rPr>
        <w:tab/>
        <w:t>(b)</w:t>
      </w:r>
      <w:r>
        <w:rPr>
          <w:lang w:val="en-US"/>
        </w:rPr>
        <w:tab/>
        <w:t xml:space="preserve">where the person </w:t>
      </w:r>
      <w:r>
        <w:t>that</w:t>
      </w:r>
      <w:r>
        <w:rPr>
          <w:lang w:val="en-US"/>
        </w:rPr>
        <w:t xml:space="preserve"> produces the </w:t>
      </w:r>
      <w:r>
        <w:t>transaction record</w:t>
      </w:r>
      <w:r>
        <w:rPr>
          <w:lang w:val="en-US"/>
        </w:rPr>
        <w:t xml:space="preserve"> is not the person liable to pay the duty</w:t>
      </w:r>
      <w:r>
        <w:t xml:space="preserve"> — </w:t>
      </w:r>
    </w:p>
    <w:p>
      <w:pPr>
        <w:pStyle w:val="Indenti"/>
        <w:rPr>
          <w:lang w:val="en-US"/>
        </w:rPr>
      </w:pPr>
      <w:r>
        <w:rPr>
          <w:lang w:val="en-US"/>
        </w:rPr>
        <w:tab/>
        <w:t>(i)</w:t>
      </w:r>
      <w:r>
        <w:rPr>
          <w:lang w:val="en-US"/>
        </w:rPr>
        <w:tab/>
        <w:t xml:space="preserve">if the name and address of the person so liable and the </w:t>
      </w:r>
      <w:r>
        <w:t>transaction record</w:t>
      </w:r>
      <w:r>
        <w:rPr>
          <w:lang w:val="en-US"/>
        </w:rPr>
        <w:t xml:space="preserve"> have been transmitted to the Commissioner; or</w:t>
      </w:r>
    </w:p>
    <w:p>
      <w:pPr>
        <w:pStyle w:val="Indenti"/>
        <w:rPr>
          <w:lang w:val="en-US"/>
        </w:rPr>
      </w:pPr>
      <w:r>
        <w:rPr>
          <w:lang w:val="en-US"/>
        </w:rPr>
        <w:tab/>
        <w:t>(ii)</w:t>
      </w:r>
      <w:r>
        <w:rPr>
          <w:lang w:val="en-US"/>
        </w:rPr>
        <w:tab/>
        <w:t xml:space="preserve">if </w:t>
      </w:r>
      <w:r>
        <w:rPr>
          <w:szCs w:val="24"/>
          <w:lang w:val="en-US"/>
        </w:rPr>
        <w:t xml:space="preserve">the court </w:t>
      </w:r>
      <w:r>
        <w:rPr>
          <w:lang w:val="en-US"/>
        </w:rPr>
        <w:t xml:space="preserve">is satisfied that the name and address of the person so liable and the </w:t>
      </w:r>
      <w:r>
        <w:t>transaction record</w:t>
      </w:r>
      <w:r>
        <w:rPr>
          <w:lang w:val="en-US"/>
        </w:rPr>
        <w:t xml:space="preserve"> will be transmitted to the Commissioner in accordance with arrangements approved by the court.</w:t>
      </w:r>
    </w:p>
    <w:p>
      <w:pPr>
        <w:pStyle w:val="Subsection"/>
        <w:rPr>
          <w:szCs w:val="24"/>
          <w:lang w:val="en-US"/>
        </w:rPr>
      </w:pPr>
      <w:r>
        <w:rPr>
          <w:lang w:val="en-US"/>
        </w:rPr>
        <w:tab/>
        <w:t>(3)</w:t>
      </w:r>
      <w:r>
        <w:rPr>
          <w:lang w:val="en-US"/>
        </w:rPr>
        <w:tab/>
        <w:t xml:space="preserve">A court may admit in evidence a duty endorsed duplicate of a </w:t>
      </w:r>
      <w:r>
        <w:t>transaction record for a dutiable transaction</w:t>
      </w:r>
      <w:r>
        <w:rPr>
          <w:szCs w:val="24"/>
          <w:lang w:val="en-US"/>
        </w:rPr>
        <w:t>.</w:t>
      </w:r>
    </w:p>
    <w:p>
      <w:pPr>
        <w:pStyle w:val="Subsection"/>
        <w:rPr>
          <w:szCs w:val="24"/>
          <w:lang w:val="en-US"/>
        </w:rPr>
      </w:pPr>
      <w:r>
        <w:rPr>
          <w:lang w:val="en-US"/>
        </w:rPr>
        <w:tab/>
        <w:t>(4)</w:t>
      </w:r>
      <w:r>
        <w:rPr>
          <w:lang w:val="en-US"/>
        </w:rPr>
        <w:tab/>
        <w:t xml:space="preserve">Despite subsection (1), a court may admit in evidence an unexecuted copy of </w:t>
      </w:r>
      <w:r>
        <w:t>an instrument that effects a dutiable transaction or</w:t>
      </w:r>
      <w:r>
        <w:rPr>
          <w:lang w:val="en-US"/>
        </w:rPr>
        <w:t xml:space="preserve"> an instrument that evidences a dutiable transaction </w:t>
      </w:r>
      <w:r>
        <w:t xml:space="preserve">if the court is satisfied that </w:t>
      </w:r>
      <w:r>
        <w:rPr>
          <w:lang w:val="en-US"/>
        </w:rPr>
        <w:t xml:space="preserve">a </w:t>
      </w:r>
      <w:r>
        <w:t>transaction record for the dutiable transaction is duty endorsed</w:t>
      </w:r>
      <w:r>
        <w:rPr>
          <w:szCs w:val="24"/>
          <w:lang w:val="en-US"/>
        </w:rPr>
        <w:t>.</w:t>
      </w:r>
    </w:p>
    <w:p>
      <w:pPr>
        <w:pStyle w:val="Heading5"/>
      </w:pPr>
      <w:bookmarkStart w:id="1632" w:name="_Toc201998533"/>
      <w:bookmarkStart w:id="1633" w:name="_Toc265588679"/>
      <w:bookmarkStart w:id="1634" w:name="_Toc265580179"/>
      <w:r>
        <w:rPr>
          <w:rStyle w:val="CharSectno"/>
        </w:rPr>
        <w:t>280</w:t>
      </w:r>
      <w:r>
        <w:t>.</w:t>
      </w:r>
      <w:r>
        <w:tab/>
        <w:t>Obligations relating to unlodged instruments</w:t>
      </w:r>
      <w:bookmarkEnd w:id="1632"/>
      <w:bookmarkEnd w:id="1633"/>
      <w:bookmarkEnd w:id="1634"/>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1635" w:name="_Toc201998534"/>
      <w:bookmarkStart w:id="1636" w:name="_Toc201999790"/>
      <w:bookmarkStart w:id="1637" w:name="_Toc202172309"/>
      <w:bookmarkStart w:id="1638" w:name="_Toc202172717"/>
      <w:bookmarkStart w:id="1639" w:name="_Toc202428955"/>
      <w:bookmarkStart w:id="1640" w:name="_Toc264020815"/>
      <w:bookmarkStart w:id="1641" w:name="_Toc264025168"/>
      <w:bookmarkStart w:id="1642" w:name="_Toc265580180"/>
      <w:bookmarkStart w:id="1643" w:name="_Toc265588262"/>
      <w:bookmarkStart w:id="1644" w:name="_Toc265588680"/>
      <w:r>
        <w:rPr>
          <w:rStyle w:val="CharDivNo"/>
          <w:sz w:val="28"/>
        </w:rPr>
        <w:t>Part 3</w:t>
      </w:r>
      <w:r>
        <w:rPr>
          <w:sz w:val="28"/>
        </w:rPr>
        <w:t> — </w:t>
      </w:r>
      <w:r>
        <w:rPr>
          <w:rStyle w:val="CharDivText"/>
          <w:sz w:val="28"/>
        </w:rPr>
        <w:t>Miscellaneous</w:t>
      </w:r>
      <w:bookmarkEnd w:id="1635"/>
      <w:bookmarkEnd w:id="1636"/>
      <w:bookmarkEnd w:id="1637"/>
      <w:bookmarkEnd w:id="1638"/>
      <w:bookmarkEnd w:id="1639"/>
      <w:bookmarkEnd w:id="1640"/>
      <w:bookmarkEnd w:id="1641"/>
      <w:bookmarkEnd w:id="1642"/>
      <w:bookmarkEnd w:id="1643"/>
      <w:bookmarkEnd w:id="1644"/>
    </w:p>
    <w:p>
      <w:pPr>
        <w:pStyle w:val="Heading5"/>
      </w:pPr>
      <w:bookmarkStart w:id="1645" w:name="_Toc201998535"/>
      <w:bookmarkStart w:id="1646" w:name="_Toc265588681"/>
      <w:bookmarkStart w:id="1647" w:name="_Toc265580181"/>
      <w:r>
        <w:rPr>
          <w:rStyle w:val="CharSectno"/>
        </w:rPr>
        <w:t>281</w:t>
      </w:r>
      <w:r>
        <w:t>.</w:t>
      </w:r>
      <w:r>
        <w:tab/>
        <w:t>Destruction of transaction records and relevant material</w:t>
      </w:r>
      <w:bookmarkEnd w:id="1645"/>
      <w:bookmarkEnd w:id="1646"/>
      <w:bookmarkEnd w:id="1647"/>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1648" w:name="_Toc201998536"/>
      <w:bookmarkStart w:id="1649" w:name="_Toc265588682"/>
      <w:bookmarkStart w:id="1650" w:name="_Toc265580182"/>
      <w:r>
        <w:rPr>
          <w:rStyle w:val="CharSectno"/>
        </w:rPr>
        <w:t>282</w:t>
      </w:r>
      <w:r>
        <w:t>.</w:t>
      </w:r>
      <w:r>
        <w:tab/>
        <w:t>Correction of errors</w:t>
      </w:r>
      <w:bookmarkEnd w:id="1648"/>
      <w:bookmarkEnd w:id="1649"/>
      <w:bookmarkEnd w:id="1650"/>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418"/>
        </w:tabs>
        <w:ind w:left="1418" w:hanging="1418"/>
      </w:pPr>
      <w:r>
        <w:tab/>
        <w:t>Note: The following are examples of clerical errors in an instrument that effects or evidences a dutiable transaction —</w:t>
      </w:r>
    </w:p>
    <w:p>
      <w:pPr>
        <w:pStyle w:val="NotesPerm"/>
        <w:numPr>
          <w:ilvl w:val="0"/>
          <w:numId w:val="1"/>
        </w:numPr>
        <w:tabs>
          <w:tab w:val="left" w:pos="1418"/>
        </w:tabs>
        <w:ind w:left="1775" w:hanging="357"/>
      </w:pPr>
      <w:r>
        <w:t>an accidental misdescription of property;</w:t>
      </w:r>
    </w:p>
    <w:p>
      <w:pPr>
        <w:pStyle w:val="NotesPerm"/>
        <w:numPr>
          <w:ilvl w:val="0"/>
          <w:numId w:val="1"/>
        </w:numPr>
        <w:tabs>
          <w:tab w:val="left" w:pos="1418"/>
        </w:tabs>
        <w:ind w:left="1775" w:hanging="357"/>
      </w:pPr>
      <w:r>
        <w:t>an accidental misdescription of a party to the transaction.</w:t>
      </w:r>
    </w:p>
    <w:p>
      <w:pPr>
        <w:pStyle w:val="Heading5"/>
        <w:rPr>
          <w:snapToGrid w:val="0"/>
        </w:rPr>
      </w:pPr>
      <w:bookmarkStart w:id="1651" w:name="_Toc201998537"/>
      <w:bookmarkStart w:id="1652" w:name="_Toc265588683"/>
      <w:bookmarkStart w:id="1653" w:name="_Toc265580183"/>
      <w:r>
        <w:rPr>
          <w:rStyle w:val="CharSectno"/>
        </w:rPr>
        <w:t>283</w:t>
      </w:r>
      <w:r>
        <w:t>.</w:t>
      </w:r>
      <w:r>
        <w:tab/>
      </w:r>
      <w:r>
        <w:rPr>
          <w:snapToGrid w:val="0"/>
        </w:rPr>
        <w:t>Amounts expressed in foreign currency</w:t>
      </w:r>
      <w:bookmarkEnd w:id="1651"/>
      <w:bookmarkEnd w:id="1652"/>
      <w:bookmarkEnd w:id="1653"/>
    </w:p>
    <w:p>
      <w:pPr>
        <w:pStyle w:val="Subsection"/>
        <w:rPr>
          <w:snapToGrid w:val="0"/>
        </w:rPr>
      </w:pPr>
      <w:r>
        <w:rPr>
          <w:snapToGrid w:val="0"/>
        </w:rPr>
        <w:tab/>
      </w:r>
      <w:r>
        <w:rPr>
          <w:snapToGrid w:val="0"/>
        </w:rPr>
        <w:tab/>
        <w:t xml:space="preserve">If an amount by reference to which duty has to be calculated is expressed in a currency other than the currency of Australia, the amount is the amount expressed in Australian currency according to the buy rate of exchange reported by the Reserve Bank of Australia and applicable in Australia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if the rate is not obtainable for Australia on that day — the last earlier day on which the rate was obtainable for Australia.</w:t>
      </w:r>
    </w:p>
    <w:p>
      <w:pPr>
        <w:pStyle w:val="Heading5"/>
      </w:pPr>
      <w:bookmarkStart w:id="1654" w:name="_Toc201998538"/>
      <w:bookmarkStart w:id="1655" w:name="_Toc265588684"/>
      <w:bookmarkStart w:id="1656" w:name="_Toc265580184"/>
      <w:r>
        <w:rPr>
          <w:rStyle w:val="CharSectno"/>
        </w:rPr>
        <w:t>284</w:t>
      </w:r>
      <w:r>
        <w:t>.</w:t>
      </w:r>
      <w:r>
        <w:tab/>
        <w:t>Application of Corporations Act section 1070A(1)(a) limited</w:t>
      </w:r>
      <w:bookmarkEnd w:id="1654"/>
      <w:bookmarkEnd w:id="1655"/>
      <w:bookmarkEnd w:id="1656"/>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1657" w:name="_Toc201998539"/>
      <w:bookmarkStart w:id="1658" w:name="_Toc265588685"/>
      <w:bookmarkStart w:id="1659" w:name="_Toc265580185"/>
      <w:r>
        <w:rPr>
          <w:rStyle w:val="CharSectno"/>
        </w:rPr>
        <w:t>285</w:t>
      </w:r>
      <w:r>
        <w:t>.</w:t>
      </w:r>
      <w:r>
        <w:tab/>
        <w:t>Regulations</w:t>
      </w:r>
      <w:bookmarkEnd w:id="1657"/>
      <w:bookmarkEnd w:id="1658"/>
      <w:bookmarkEnd w:id="1659"/>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1660" w:name="_Toc201998540"/>
      <w:bookmarkStart w:id="1661" w:name="_Toc265588686"/>
      <w:bookmarkStart w:id="1662" w:name="_Toc265580186"/>
      <w:r>
        <w:rPr>
          <w:rStyle w:val="CharSectno"/>
        </w:rPr>
        <w:t>286</w:t>
      </w:r>
      <w:r>
        <w:t>.</w:t>
      </w:r>
      <w:r>
        <w:tab/>
        <w:t>Transitional provisions</w:t>
      </w:r>
      <w:bookmarkEnd w:id="1660"/>
      <w:bookmarkEnd w:id="1661"/>
      <w:bookmarkEnd w:id="1662"/>
    </w:p>
    <w:p>
      <w:pPr>
        <w:pStyle w:val="Subsection"/>
      </w:pPr>
      <w:r>
        <w:tab/>
      </w:r>
      <w:r>
        <w:tab/>
        <w:t>Schedule 3 sets out transitional provisions.</w:t>
      </w:r>
    </w:p>
    <w:p>
      <w:pPr>
        <w:pStyle w:val="Subsection"/>
        <w:sectPr>
          <w:headerReference w:type="even" r:id="rId22"/>
          <w:headerReference w:type="default" r:id="rId23"/>
          <w:footerReference w:type="even" r:id="rId24"/>
          <w:footerReference w:type="default" r:id="rId25"/>
          <w:footerReference w:type="first" r:id="rId26"/>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1663" w:name="_Toc201998541"/>
      <w:bookmarkStart w:id="1664" w:name="_Toc201999797"/>
      <w:bookmarkStart w:id="1665" w:name="_Toc202172316"/>
      <w:bookmarkStart w:id="1666" w:name="_Toc202172724"/>
      <w:bookmarkStart w:id="1667" w:name="_Toc202428962"/>
      <w:bookmarkStart w:id="1668" w:name="_Toc264020822"/>
      <w:bookmarkStart w:id="1669" w:name="_Toc264025175"/>
      <w:bookmarkStart w:id="1670" w:name="_Toc265580187"/>
      <w:bookmarkStart w:id="1671" w:name="_Toc265588269"/>
      <w:bookmarkStart w:id="1672" w:name="_Toc265588687"/>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1663"/>
      <w:bookmarkEnd w:id="1664"/>
      <w:bookmarkEnd w:id="1665"/>
      <w:bookmarkEnd w:id="1666"/>
      <w:bookmarkEnd w:id="1667"/>
      <w:bookmarkEnd w:id="1668"/>
      <w:bookmarkEnd w:id="1669"/>
      <w:bookmarkEnd w:id="1670"/>
      <w:bookmarkEnd w:id="1671"/>
      <w:bookmarkEnd w:id="1672"/>
    </w:p>
    <w:p>
      <w:pPr>
        <w:pStyle w:val="yShoulderClause"/>
        <w:spacing w:after="120"/>
      </w:pPr>
      <w:r>
        <w:t>[s. 19 and 20]</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01"/>
        <w:gridCol w:w="1842"/>
        <w:gridCol w:w="1985"/>
      </w:tblGrid>
      <w:tr>
        <w:trPr>
          <w:cantSplit/>
          <w:tblHeader/>
        </w:trPr>
        <w:tc>
          <w:tcPr>
            <w:tcW w:w="1418" w:type="dxa"/>
            <w:tcBorders>
              <w:left w:val="nil"/>
              <w:bottom w:val="single" w:sz="4" w:space="0" w:color="auto"/>
              <w:right w:val="nil"/>
            </w:tcBorders>
          </w:tcPr>
          <w:p>
            <w:pPr>
              <w:pStyle w:val="yTable"/>
              <w:jc w:val="center"/>
              <w:rPr>
                <w:b/>
                <w:bCs/>
              </w:rPr>
            </w:pPr>
            <w:r>
              <w:rPr>
                <w:b/>
                <w:bCs/>
              </w:rPr>
              <w:t>Column 1</w:t>
            </w:r>
          </w:p>
          <w:p>
            <w:pPr>
              <w:pStyle w:val="yTable"/>
              <w:jc w:val="center"/>
              <w:rPr>
                <w:b/>
                <w:bCs/>
              </w:rPr>
            </w:pPr>
            <w:r>
              <w:rPr>
                <w:b/>
                <w:bCs/>
              </w:rPr>
              <w:t>Provision of section 11</w:t>
            </w:r>
          </w:p>
        </w:tc>
        <w:tc>
          <w:tcPr>
            <w:tcW w:w="1701" w:type="dxa"/>
            <w:tcBorders>
              <w:left w:val="nil"/>
              <w:bottom w:val="single" w:sz="4" w:space="0" w:color="auto"/>
              <w:right w:val="nil"/>
            </w:tcBorders>
          </w:tcPr>
          <w:p>
            <w:pPr>
              <w:pStyle w:val="yTable"/>
              <w:jc w:val="center"/>
              <w:rPr>
                <w:b/>
                <w:bCs/>
              </w:rPr>
            </w:pPr>
            <w:r>
              <w:rPr>
                <w:b/>
                <w:bCs/>
              </w:rPr>
              <w:t>Column 2</w:t>
            </w:r>
          </w:p>
          <w:p>
            <w:pPr>
              <w:pStyle w:val="yTable"/>
              <w:jc w:val="center"/>
              <w:rPr>
                <w:b/>
                <w:bCs/>
              </w:rPr>
            </w:pPr>
            <w:r>
              <w:rPr>
                <w:b/>
                <w:bCs/>
              </w:rPr>
              <w:t>Dutiable transaction</w:t>
            </w:r>
          </w:p>
        </w:tc>
        <w:tc>
          <w:tcPr>
            <w:tcW w:w="1842" w:type="dxa"/>
            <w:tcBorders>
              <w:left w:val="nil"/>
              <w:bottom w:val="single" w:sz="4" w:space="0" w:color="auto"/>
              <w:right w:val="nil"/>
            </w:tcBorders>
          </w:tcPr>
          <w:p>
            <w:pPr>
              <w:pStyle w:val="yTable"/>
              <w:jc w:val="center"/>
              <w:rPr>
                <w:b/>
                <w:bCs/>
              </w:rPr>
            </w:pPr>
            <w:r>
              <w:rPr>
                <w:b/>
                <w:bCs/>
              </w:rPr>
              <w:t>Column 3</w:t>
            </w:r>
          </w:p>
          <w:p>
            <w:pPr>
              <w:pStyle w:val="yTable"/>
              <w:jc w:val="center"/>
              <w:rPr>
                <w:b/>
                <w:bCs/>
              </w:rPr>
            </w:pPr>
            <w:r>
              <w:rPr>
                <w:b/>
                <w:bCs/>
              </w:rPr>
              <w:t>When liability for transfer duty arises</w:t>
            </w:r>
          </w:p>
        </w:tc>
        <w:tc>
          <w:tcPr>
            <w:tcW w:w="1985" w:type="dxa"/>
            <w:tcBorders>
              <w:left w:val="nil"/>
              <w:bottom w:val="single" w:sz="4" w:space="0" w:color="auto"/>
              <w:right w:val="nil"/>
            </w:tcBorders>
          </w:tcPr>
          <w:p>
            <w:pPr>
              <w:pStyle w:val="yTable"/>
              <w:jc w:val="center"/>
              <w:rPr>
                <w:b/>
                <w:bCs/>
              </w:rPr>
            </w:pPr>
            <w:r>
              <w:rPr>
                <w:b/>
                <w:bCs/>
              </w:rPr>
              <w:t>Column 4</w:t>
            </w:r>
          </w:p>
          <w:p>
            <w:pPr>
              <w:pStyle w:val="yTable"/>
              <w:jc w:val="center"/>
              <w:rPr>
                <w:b/>
                <w:bCs/>
              </w:rPr>
            </w:pPr>
            <w:r>
              <w:rPr>
                <w:b/>
                <w:bCs/>
              </w:rPr>
              <w:t>Person liable to pay transfer duty</w:t>
            </w:r>
          </w:p>
        </w:tc>
      </w:tr>
      <w:tr>
        <w:trPr>
          <w:cantSplit/>
        </w:trPr>
        <w:tc>
          <w:tcPr>
            <w:tcW w:w="1418" w:type="dxa"/>
            <w:tcBorders>
              <w:top w:val="nil"/>
              <w:left w:val="nil"/>
              <w:bottom w:val="nil"/>
              <w:right w:val="nil"/>
            </w:tcBorders>
          </w:tcPr>
          <w:p>
            <w:pPr>
              <w:pStyle w:val="yTable"/>
            </w:pPr>
            <w:r>
              <w:t>s. 11(1)(a)</w:t>
            </w:r>
          </w:p>
        </w:tc>
        <w:tc>
          <w:tcPr>
            <w:tcW w:w="1701" w:type="dxa"/>
            <w:tcBorders>
              <w:top w:val="nil"/>
              <w:left w:val="nil"/>
              <w:bottom w:val="nil"/>
              <w:right w:val="nil"/>
            </w:tcBorders>
          </w:tcPr>
          <w:p>
            <w:pPr>
              <w:pStyle w:val="yTable"/>
            </w:pPr>
            <w:r>
              <w:t>Transfer</w:t>
            </w:r>
          </w:p>
        </w:tc>
        <w:tc>
          <w:tcPr>
            <w:tcW w:w="1842" w:type="dxa"/>
            <w:tcBorders>
              <w:top w:val="nil"/>
              <w:left w:val="nil"/>
              <w:bottom w:val="nil"/>
              <w:right w:val="nil"/>
            </w:tcBorders>
          </w:tcPr>
          <w:p>
            <w:pPr>
              <w:pStyle w:val="yTable"/>
            </w:pPr>
            <w:r>
              <w:t xml:space="preserve">When the property is transferred </w:t>
            </w:r>
          </w:p>
        </w:tc>
        <w:tc>
          <w:tcPr>
            <w:tcW w:w="1985" w:type="dxa"/>
            <w:tcBorders>
              <w:top w:val="nil"/>
              <w:left w:val="nil"/>
              <w:bottom w:val="nil"/>
              <w:right w:val="nil"/>
            </w:tcBorders>
          </w:tcPr>
          <w:p>
            <w:pPr>
              <w:pStyle w:val="yTable"/>
            </w:pPr>
            <w:r>
              <w:t>Transferee</w:t>
            </w:r>
          </w:p>
        </w:tc>
      </w:tr>
      <w:tr>
        <w:trPr>
          <w:cantSplit/>
        </w:trPr>
        <w:tc>
          <w:tcPr>
            <w:tcW w:w="1418" w:type="dxa"/>
            <w:tcBorders>
              <w:top w:val="nil"/>
              <w:left w:val="nil"/>
              <w:bottom w:val="nil"/>
              <w:right w:val="nil"/>
            </w:tcBorders>
          </w:tcPr>
          <w:p>
            <w:pPr>
              <w:pStyle w:val="yTable"/>
            </w:pPr>
            <w:r>
              <w:t>s. 11(1)(b)</w:t>
            </w:r>
          </w:p>
        </w:tc>
        <w:tc>
          <w:tcPr>
            <w:tcW w:w="1701" w:type="dxa"/>
            <w:tcBorders>
              <w:top w:val="nil"/>
              <w:left w:val="nil"/>
              <w:bottom w:val="nil"/>
              <w:right w:val="nil"/>
            </w:tcBorders>
          </w:tcPr>
          <w:p>
            <w:pPr>
              <w:pStyle w:val="yTable"/>
            </w:pPr>
            <w:r>
              <w:t>Agreement for transfer</w:t>
            </w:r>
          </w:p>
        </w:tc>
        <w:tc>
          <w:tcPr>
            <w:tcW w:w="1842" w:type="dxa"/>
            <w:tcBorders>
              <w:top w:val="nil"/>
              <w:left w:val="nil"/>
              <w:bottom w:val="nil"/>
              <w:right w:val="nil"/>
            </w:tcBorders>
          </w:tcPr>
          <w:p>
            <w:pPr>
              <w:pStyle w:val="yTable"/>
            </w:pPr>
            <w:r>
              <w:t>When the agreement is made</w:t>
            </w:r>
          </w:p>
        </w:tc>
        <w:tc>
          <w:tcPr>
            <w:tcW w:w="1985" w:type="dxa"/>
            <w:tcBorders>
              <w:top w:val="nil"/>
              <w:left w:val="nil"/>
              <w:bottom w:val="nil"/>
              <w:right w:val="nil"/>
            </w:tcBorders>
          </w:tcPr>
          <w:p>
            <w:pPr>
              <w:pStyle w:val="yTable"/>
            </w:pPr>
            <w:r>
              <w:t>Purchaser or transferee</w:t>
            </w:r>
          </w:p>
        </w:tc>
      </w:tr>
      <w:tr>
        <w:trPr>
          <w:cantSplit/>
        </w:trPr>
        <w:tc>
          <w:tcPr>
            <w:tcW w:w="1418" w:type="dxa"/>
            <w:tcBorders>
              <w:top w:val="nil"/>
              <w:left w:val="nil"/>
              <w:bottom w:val="nil"/>
              <w:right w:val="nil"/>
            </w:tcBorders>
          </w:tcPr>
          <w:p>
            <w:pPr>
              <w:pStyle w:val="yTable"/>
            </w:pPr>
            <w:r>
              <w:t>s. 11(1)(c)</w:t>
            </w:r>
          </w:p>
        </w:tc>
        <w:tc>
          <w:tcPr>
            <w:tcW w:w="1701" w:type="dxa"/>
            <w:tcBorders>
              <w:top w:val="nil"/>
              <w:left w:val="nil"/>
              <w:bottom w:val="nil"/>
              <w:right w:val="nil"/>
            </w:tcBorders>
          </w:tcPr>
          <w:p>
            <w:pPr>
              <w:pStyle w:val="yTable"/>
            </w:pPr>
            <w:r>
              <w:t>Declaration of trust</w:t>
            </w:r>
          </w:p>
        </w:tc>
        <w:tc>
          <w:tcPr>
            <w:tcW w:w="1842" w:type="dxa"/>
            <w:tcBorders>
              <w:top w:val="nil"/>
              <w:left w:val="nil"/>
              <w:bottom w:val="nil"/>
              <w:right w:val="nil"/>
            </w:tcBorders>
          </w:tcPr>
          <w:p>
            <w:pPr>
              <w:pStyle w:val="yTable"/>
            </w:pPr>
            <w:r>
              <w:t>When the declaration is made</w:t>
            </w:r>
          </w:p>
        </w:tc>
        <w:tc>
          <w:tcPr>
            <w:tcW w:w="1985" w:type="dxa"/>
            <w:tcBorders>
              <w:top w:val="nil"/>
              <w:left w:val="nil"/>
              <w:bottom w:val="nil"/>
              <w:right w:val="nil"/>
            </w:tcBorders>
          </w:tcPr>
          <w:p>
            <w:pPr>
              <w:pStyle w:val="yTable"/>
            </w:pPr>
            <w:r>
              <w:t>Person making the declaration</w:t>
            </w:r>
          </w:p>
        </w:tc>
      </w:tr>
      <w:tr>
        <w:trPr>
          <w:cantSplit/>
        </w:trPr>
        <w:tc>
          <w:tcPr>
            <w:tcW w:w="1418" w:type="dxa"/>
            <w:tcBorders>
              <w:top w:val="nil"/>
              <w:left w:val="nil"/>
              <w:bottom w:val="nil"/>
              <w:right w:val="nil"/>
            </w:tcBorders>
          </w:tcPr>
          <w:p>
            <w:pPr>
              <w:pStyle w:val="yTable"/>
            </w:pPr>
            <w:r>
              <w:t>s. 11(1)(d)(i)</w:t>
            </w:r>
          </w:p>
        </w:tc>
        <w:tc>
          <w:tcPr>
            <w:tcW w:w="1701" w:type="dxa"/>
            <w:tcBorders>
              <w:top w:val="nil"/>
              <w:left w:val="nil"/>
              <w:bottom w:val="nil"/>
              <w:right w:val="nil"/>
            </w:tcBorders>
          </w:tcPr>
          <w:p>
            <w:pPr>
              <w:pStyle w:val="yTable"/>
            </w:pPr>
            <w:r>
              <w:t>Vesting by statute law</w:t>
            </w:r>
          </w:p>
        </w:tc>
        <w:tc>
          <w:tcPr>
            <w:tcW w:w="1842" w:type="dxa"/>
            <w:tcBorders>
              <w:top w:val="nil"/>
              <w:left w:val="nil"/>
              <w:bottom w:val="nil"/>
              <w:right w:val="nil"/>
            </w:tcBorders>
          </w:tcPr>
          <w:p>
            <w:pPr>
              <w:pStyle w:val="yTable"/>
            </w:pPr>
            <w:r>
              <w:t>When the vesting takes place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11(1)(d)(ii)</w:t>
            </w:r>
          </w:p>
        </w:tc>
        <w:tc>
          <w:tcPr>
            <w:tcW w:w="1701" w:type="dxa"/>
            <w:tcBorders>
              <w:top w:val="nil"/>
              <w:left w:val="nil"/>
              <w:bottom w:val="nil"/>
              <w:right w:val="nil"/>
            </w:tcBorders>
          </w:tcPr>
          <w:p>
            <w:pPr>
              <w:pStyle w:val="yTable"/>
            </w:pPr>
            <w:r>
              <w:t>Vesting by court order</w:t>
            </w:r>
          </w:p>
        </w:tc>
        <w:tc>
          <w:tcPr>
            <w:tcW w:w="1842" w:type="dxa"/>
            <w:tcBorders>
              <w:top w:val="nil"/>
              <w:left w:val="nil"/>
              <w:bottom w:val="nil"/>
              <w:right w:val="nil"/>
            </w:tcBorders>
          </w:tcPr>
          <w:p>
            <w:pPr>
              <w:pStyle w:val="yTable"/>
            </w:pPr>
            <w:r>
              <w:t>When the order is made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11(1)(e)</w:t>
            </w:r>
          </w:p>
        </w:tc>
        <w:tc>
          <w:tcPr>
            <w:tcW w:w="1701" w:type="dxa"/>
            <w:tcBorders>
              <w:top w:val="nil"/>
              <w:left w:val="nil"/>
              <w:bottom w:val="nil"/>
              <w:right w:val="nil"/>
            </w:tcBorders>
          </w:tcPr>
          <w:p>
            <w:pPr>
              <w:pStyle w:val="yTable"/>
            </w:pPr>
            <w:r>
              <w:t>Foreclosure of mortgage</w:t>
            </w:r>
          </w:p>
        </w:tc>
        <w:tc>
          <w:tcPr>
            <w:tcW w:w="1842" w:type="dxa"/>
            <w:tcBorders>
              <w:top w:val="nil"/>
              <w:left w:val="nil"/>
              <w:bottom w:val="nil"/>
              <w:right w:val="nil"/>
            </w:tcBorders>
          </w:tcPr>
          <w:p>
            <w:pPr>
              <w:pStyle w:val="yTable"/>
            </w:pPr>
            <w:r>
              <w:t>When the foreclosure order is made</w:t>
            </w:r>
          </w:p>
        </w:tc>
        <w:tc>
          <w:tcPr>
            <w:tcW w:w="1985" w:type="dxa"/>
            <w:tcBorders>
              <w:top w:val="nil"/>
              <w:left w:val="nil"/>
              <w:bottom w:val="nil"/>
              <w:right w:val="nil"/>
            </w:tcBorders>
          </w:tcPr>
          <w:p>
            <w:pPr>
              <w:pStyle w:val="yTable"/>
            </w:pPr>
            <w:r>
              <w:t>Mortgagee</w:t>
            </w:r>
          </w:p>
        </w:tc>
      </w:tr>
      <w:tr>
        <w:trPr>
          <w:cantSplit/>
        </w:trPr>
        <w:tc>
          <w:tcPr>
            <w:tcW w:w="1418" w:type="dxa"/>
            <w:tcBorders>
              <w:top w:val="nil"/>
              <w:left w:val="nil"/>
              <w:bottom w:val="nil"/>
              <w:right w:val="nil"/>
            </w:tcBorders>
          </w:tcPr>
          <w:p>
            <w:pPr>
              <w:pStyle w:val="yTable"/>
            </w:pPr>
            <w:r>
              <w:t>s. 11(1)(f)</w:t>
            </w:r>
          </w:p>
        </w:tc>
        <w:tc>
          <w:tcPr>
            <w:tcW w:w="1701" w:type="dxa"/>
            <w:tcBorders>
              <w:top w:val="nil"/>
              <w:left w:val="nil"/>
              <w:bottom w:val="nil"/>
              <w:right w:val="nil"/>
            </w:tcBorders>
          </w:tcPr>
          <w:p>
            <w:pPr>
              <w:pStyle w:val="yTable"/>
            </w:pPr>
            <w:r>
              <w:t>Acquisition of new dutiable property</w:t>
            </w:r>
          </w:p>
        </w:tc>
        <w:tc>
          <w:tcPr>
            <w:tcW w:w="1842" w:type="dxa"/>
            <w:tcBorders>
              <w:top w:val="nil"/>
              <w:left w:val="nil"/>
              <w:bottom w:val="nil"/>
              <w:right w:val="nil"/>
            </w:tcBorders>
          </w:tcPr>
          <w:p>
            <w:pPr>
              <w:pStyle w:val="yTable"/>
              <w:tabs>
                <w:tab w:val="left" w:pos="317"/>
              </w:tabs>
            </w:pPr>
            <w:r>
              <w:t xml:space="preserve">The earlier of the following — </w:t>
            </w:r>
          </w:p>
          <w:p>
            <w:pPr>
              <w:pStyle w:val="yTable"/>
              <w:tabs>
                <w:tab w:val="left" w:pos="317"/>
              </w:tabs>
            </w:pPr>
            <w:r>
              <w:t>(a)</w:t>
            </w:r>
            <w:r>
              <w:tab/>
              <w:t xml:space="preserve">when the </w:t>
            </w:r>
            <w:r>
              <w:tab/>
              <w:t xml:space="preserve">property is </w:t>
            </w:r>
            <w:r>
              <w:tab/>
              <w:t>acquired; or</w:t>
            </w:r>
          </w:p>
          <w:p>
            <w:pPr>
              <w:pStyle w:val="yTable"/>
              <w:tabs>
                <w:tab w:val="left" w:pos="317"/>
              </w:tabs>
            </w:pPr>
            <w:r>
              <w:t>(b)</w:t>
            </w:r>
            <w:r>
              <w:tab/>
              <w:t xml:space="preserve">if an </w:t>
            </w:r>
            <w:r>
              <w:tab/>
              <w:t xml:space="preserve">instrument </w:t>
            </w:r>
            <w:r>
              <w:tab/>
              <w:t xml:space="preserve">evidences the </w:t>
            </w:r>
            <w:r>
              <w:tab/>
              <w:t xml:space="preserve">acquisition,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property</w:t>
            </w:r>
          </w:p>
        </w:tc>
      </w:tr>
      <w:tr>
        <w:trPr>
          <w:cantSplit/>
        </w:trPr>
        <w:tc>
          <w:tcPr>
            <w:tcW w:w="1418" w:type="dxa"/>
            <w:tcBorders>
              <w:top w:val="nil"/>
              <w:left w:val="nil"/>
              <w:bottom w:val="nil"/>
              <w:right w:val="nil"/>
            </w:tcBorders>
          </w:tcPr>
          <w:p>
            <w:pPr>
              <w:pStyle w:val="yTable"/>
            </w:pPr>
            <w:r>
              <w:t>s. 11(1)(g)</w:t>
            </w:r>
          </w:p>
        </w:tc>
        <w:tc>
          <w:tcPr>
            <w:tcW w:w="1701" w:type="dxa"/>
            <w:tcBorders>
              <w:top w:val="nil"/>
              <w:left w:val="nil"/>
              <w:bottom w:val="nil"/>
              <w:right w:val="nil"/>
            </w:tcBorders>
          </w:tcPr>
          <w:p>
            <w:pPr>
              <w:pStyle w:val="yTable"/>
            </w:pPr>
            <w:r>
              <w:t>Surrender of special dutiable property</w:t>
            </w:r>
          </w:p>
        </w:tc>
        <w:tc>
          <w:tcPr>
            <w:tcW w:w="1842" w:type="dxa"/>
            <w:tcBorders>
              <w:top w:val="nil"/>
              <w:left w:val="nil"/>
              <w:bottom w:val="nil"/>
              <w:right w:val="nil"/>
            </w:tcBorders>
          </w:tcPr>
          <w:p>
            <w:pPr>
              <w:pStyle w:val="yTable"/>
            </w:pPr>
            <w:r>
              <w:t>When the surrender takes place</w:t>
            </w:r>
          </w:p>
        </w:tc>
        <w:tc>
          <w:tcPr>
            <w:tcW w:w="1985" w:type="dxa"/>
            <w:tcBorders>
              <w:top w:val="nil"/>
              <w:left w:val="nil"/>
              <w:bottom w:val="nil"/>
              <w:right w:val="nil"/>
            </w:tcBorders>
          </w:tcPr>
          <w:p>
            <w:pPr>
              <w:pStyle w:val="yTable"/>
            </w:pPr>
            <w:r>
              <w:t>Person to whom the interest is surrendered;</w:t>
            </w:r>
            <w:r>
              <w:br/>
              <w:t>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18(f), the person to whom the mining tenement is granted in accordance with the agreement;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18(g), the person that paid the consideration for the surrender</w:t>
            </w:r>
          </w:p>
        </w:tc>
      </w:tr>
      <w:tr>
        <w:trPr>
          <w:cantSplit/>
        </w:trPr>
        <w:tc>
          <w:tcPr>
            <w:tcW w:w="1418" w:type="dxa"/>
            <w:tcBorders>
              <w:top w:val="nil"/>
              <w:left w:val="nil"/>
              <w:bottom w:val="nil"/>
              <w:right w:val="nil"/>
            </w:tcBorders>
          </w:tcPr>
          <w:p>
            <w:pPr>
              <w:pStyle w:val="yTable"/>
            </w:pPr>
            <w:r>
              <w:t xml:space="preserve">s. 11(1)(h) </w:t>
            </w:r>
          </w:p>
        </w:tc>
        <w:tc>
          <w:tcPr>
            <w:tcW w:w="1701" w:type="dxa"/>
            <w:tcBorders>
              <w:top w:val="nil"/>
              <w:left w:val="nil"/>
              <w:bottom w:val="nil"/>
              <w:right w:val="nil"/>
            </w:tcBorders>
          </w:tcPr>
          <w:p>
            <w:pPr>
              <w:pStyle w:val="yTable"/>
            </w:pPr>
            <w:r>
              <w:t xml:space="preserve">A trust acquisition or trust surrender </w:t>
            </w:r>
          </w:p>
        </w:tc>
        <w:tc>
          <w:tcPr>
            <w:tcW w:w="1842" w:type="dxa"/>
            <w:tcBorders>
              <w:top w:val="nil"/>
              <w:left w:val="nil"/>
              <w:bottom w:val="nil"/>
              <w:right w:val="nil"/>
            </w:tcBorders>
          </w:tcPr>
          <w:p>
            <w:pPr>
              <w:pStyle w:val="yTable"/>
            </w:pPr>
            <w:r>
              <w:t>When the interest in the trust is acquired or surrendered</w:t>
            </w:r>
          </w:p>
        </w:tc>
        <w:tc>
          <w:tcPr>
            <w:tcW w:w="1985" w:type="dxa"/>
            <w:tcBorders>
              <w:top w:val="nil"/>
              <w:left w:val="nil"/>
              <w:bottom w:val="nil"/>
              <w:right w:val="nil"/>
            </w:tcBorders>
          </w:tcPr>
          <w:p>
            <w:pPr>
              <w:pStyle w:val="yTable"/>
            </w:pPr>
            <w:r>
              <w:t>Person that is the trustee of the discretionary trust</w:t>
            </w:r>
          </w:p>
        </w:tc>
      </w:tr>
      <w:tr>
        <w:trPr>
          <w:cantSplit/>
        </w:trPr>
        <w:tc>
          <w:tcPr>
            <w:tcW w:w="1418" w:type="dxa"/>
            <w:tcBorders>
              <w:top w:val="nil"/>
              <w:left w:val="nil"/>
              <w:bottom w:val="nil"/>
              <w:right w:val="nil"/>
            </w:tcBorders>
          </w:tcPr>
          <w:p>
            <w:pPr>
              <w:pStyle w:val="yTable"/>
            </w:pPr>
            <w:r>
              <w:t>s. 11(1)(i)</w:t>
            </w:r>
          </w:p>
        </w:tc>
        <w:tc>
          <w:tcPr>
            <w:tcW w:w="1701" w:type="dxa"/>
            <w:tcBorders>
              <w:top w:val="nil"/>
              <w:left w:val="nil"/>
              <w:bottom w:val="nil"/>
              <w:right w:val="nil"/>
            </w:tcBorders>
          </w:tcPr>
          <w:p>
            <w:pPr>
              <w:pStyle w:val="yTable"/>
            </w:pPr>
            <w:r>
              <w:t>A partnership acquisition</w:t>
            </w:r>
          </w:p>
        </w:tc>
        <w:tc>
          <w:tcPr>
            <w:tcW w:w="1842" w:type="dxa"/>
            <w:tcBorders>
              <w:top w:val="nil"/>
              <w:left w:val="nil"/>
              <w:bottom w:val="nil"/>
              <w:right w:val="nil"/>
            </w:tcBorders>
          </w:tcPr>
          <w:p>
            <w:pPr>
              <w:pStyle w:val="yTable"/>
              <w:tabs>
                <w:tab w:val="left" w:pos="459"/>
              </w:tabs>
            </w:pPr>
            <w:r>
              <w:t xml:space="preserve">The earlier of the following — </w:t>
            </w:r>
          </w:p>
          <w:p>
            <w:pPr>
              <w:pStyle w:val="yTable"/>
              <w:tabs>
                <w:tab w:val="left" w:pos="317"/>
              </w:tabs>
            </w:pPr>
            <w:r>
              <w:t>(a)</w:t>
            </w:r>
            <w:r>
              <w:tab/>
              <w:t xml:space="preserve">when the </w:t>
            </w:r>
            <w:r>
              <w:tab/>
              <w:t xml:space="preserve">partnership </w:t>
            </w:r>
            <w:r>
              <w:tab/>
              <w:t xml:space="preserve">interest is </w:t>
            </w:r>
            <w:r>
              <w:tab/>
              <w:t>acquired; or</w:t>
            </w:r>
          </w:p>
          <w:p>
            <w:pPr>
              <w:pStyle w:val="yTable"/>
              <w:tabs>
                <w:tab w:val="left" w:pos="317"/>
              </w:tabs>
            </w:pPr>
            <w:r>
              <w:t>(b)</w:t>
            </w:r>
            <w:r>
              <w:tab/>
              <w:t xml:space="preserve">if the </w:t>
            </w:r>
            <w:r>
              <w:tab/>
              <w:t xml:space="preserve">acquisition is </w:t>
            </w:r>
            <w:r>
              <w:tab/>
              <w:t xml:space="preserve">evidenced by </w:t>
            </w:r>
            <w:r>
              <w:tab/>
              <w:t xml:space="preserve">an instrument,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partnership interest</w:t>
            </w:r>
          </w:p>
        </w:tc>
      </w:tr>
      <w:tr>
        <w:trPr>
          <w:cantSplit/>
        </w:trPr>
        <w:tc>
          <w:tcPr>
            <w:tcW w:w="1418" w:type="dxa"/>
            <w:tcBorders>
              <w:top w:val="nil"/>
              <w:left w:val="nil"/>
              <w:bottom w:val="single" w:sz="4" w:space="0" w:color="auto"/>
              <w:right w:val="nil"/>
            </w:tcBorders>
          </w:tcPr>
          <w:p>
            <w:pPr>
              <w:pStyle w:val="yTable"/>
            </w:pPr>
            <w:r>
              <w:t>s. 11(1)(j)</w:t>
            </w:r>
          </w:p>
        </w:tc>
        <w:tc>
          <w:tcPr>
            <w:tcW w:w="1701" w:type="dxa"/>
            <w:tcBorders>
              <w:top w:val="nil"/>
              <w:left w:val="nil"/>
              <w:bottom w:val="single" w:sz="4" w:space="0" w:color="auto"/>
              <w:right w:val="nil"/>
            </w:tcBorders>
          </w:tcPr>
          <w:p>
            <w:pPr>
              <w:pStyle w:val="yTable"/>
            </w:pPr>
            <w:r>
              <w:t>A farm</w:t>
            </w:r>
            <w:r>
              <w:noBreakHyphen/>
              <w:t>in agreement</w:t>
            </w:r>
          </w:p>
        </w:tc>
        <w:tc>
          <w:tcPr>
            <w:tcW w:w="1842" w:type="dxa"/>
            <w:tcBorders>
              <w:top w:val="nil"/>
              <w:left w:val="nil"/>
              <w:bottom w:val="single" w:sz="4" w:space="0" w:color="auto"/>
              <w:right w:val="nil"/>
            </w:tcBorders>
          </w:tcPr>
          <w:p>
            <w:pPr>
              <w:pStyle w:val="yTable"/>
            </w:pPr>
            <w:r>
              <w:t>When the agreement is made</w:t>
            </w:r>
          </w:p>
        </w:tc>
        <w:tc>
          <w:tcPr>
            <w:tcW w:w="1985" w:type="dxa"/>
            <w:tcBorders>
              <w:top w:val="nil"/>
              <w:left w:val="nil"/>
              <w:bottom w:val="single" w:sz="4" w:space="0" w:color="auto"/>
              <w:right w:val="nil"/>
            </w:tcBorders>
          </w:tcPr>
          <w:p>
            <w:pPr>
              <w:pStyle w:val="yTable"/>
            </w:pPr>
            <w:r>
              <w:t>Person referred to in section 13(1)(b)</w:t>
            </w:r>
          </w:p>
        </w:tc>
      </w:tr>
    </w:tbl>
    <w:p>
      <w:pPr>
        <w:pStyle w:val="yScheduleHeading"/>
      </w:pPr>
      <w:bookmarkStart w:id="1673" w:name="_Toc201998542"/>
      <w:bookmarkStart w:id="1674" w:name="_Toc201999798"/>
      <w:bookmarkStart w:id="1675" w:name="_Toc202172317"/>
      <w:bookmarkStart w:id="1676" w:name="_Toc202172725"/>
      <w:bookmarkStart w:id="1677" w:name="_Toc202428963"/>
      <w:bookmarkStart w:id="1678" w:name="_Toc264020823"/>
      <w:bookmarkStart w:id="1679" w:name="_Toc264025176"/>
      <w:bookmarkStart w:id="1680" w:name="_Toc265580188"/>
      <w:bookmarkStart w:id="1681" w:name="_Toc265588270"/>
      <w:bookmarkStart w:id="1682" w:name="_Toc265588688"/>
      <w:r>
        <w:rPr>
          <w:rStyle w:val="CharSchNo"/>
        </w:rPr>
        <w:t>Schedule 2</w:t>
      </w:r>
      <w:r>
        <w:t> — </w:t>
      </w:r>
      <w:r>
        <w:rPr>
          <w:rStyle w:val="CharSchText"/>
        </w:rPr>
        <w:t>Rates of transfer duty</w:t>
      </w:r>
      <w:bookmarkEnd w:id="1673"/>
      <w:bookmarkEnd w:id="1674"/>
      <w:bookmarkEnd w:id="1675"/>
      <w:bookmarkEnd w:id="1676"/>
      <w:bookmarkEnd w:id="1677"/>
      <w:bookmarkEnd w:id="1678"/>
      <w:bookmarkEnd w:id="1679"/>
      <w:bookmarkEnd w:id="1680"/>
      <w:bookmarkEnd w:id="1681"/>
      <w:bookmarkEnd w:id="1682"/>
    </w:p>
    <w:p>
      <w:pPr>
        <w:pStyle w:val="yHeading3"/>
      </w:pPr>
      <w:bookmarkStart w:id="1683" w:name="_Toc201998543"/>
      <w:bookmarkStart w:id="1684" w:name="_Toc201999799"/>
      <w:bookmarkStart w:id="1685" w:name="_Toc202172318"/>
      <w:bookmarkStart w:id="1686" w:name="_Toc202172726"/>
      <w:bookmarkStart w:id="1687" w:name="_Toc202428964"/>
      <w:bookmarkStart w:id="1688" w:name="_Toc264020824"/>
      <w:bookmarkStart w:id="1689" w:name="_Toc264025177"/>
      <w:bookmarkStart w:id="1690" w:name="_Toc265580189"/>
      <w:bookmarkStart w:id="1691" w:name="_Toc265588271"/>
      <w:bookmarkStart w:id="1692" w:name="_Toc265588689"/>
      <w:r>
        <w:rPr>
          <w:rStyle w:val="CharSDivNo"/>
        </w:rPr>
        <w:t>Division 1</w:t>
      </w:r>
      <w:r>
        <w:t> — </w:t>
      </w:r>
      <w:r>
        <w:rPr>
          <w:rStyle w:val="CharSDivText"/>
        </w:rPr>
        <w:t>General rate</w:t>
      </w:r>
      <w:bookmarkEnd w:id="1683"/>
      <w:bookmarkEnd w:id="1684"/>
      <w:bookmarkEnd w:id="1685"/>
      <w:bookmarkEnd w:id="1686"/>
      <w:bookmarkEnd w:id="1687"/>
      <w:bookmarkEnd w:id="1688"/>
      <w:bookmarkEnd w:id="1689"/>
      <w:bookmarkEnd w:id="1690"/>
      <w:bookmarkEnd w:id="1691"/>
      <w:bookmarkEnd w:id="1692"/>
    </w:p>
    <w:p>
      <w:pPr>
        <w:pStyle w:val="yShoulderClause"/>
        <w:spacing w:after="120"/>
      </w:pPr>
      <w:r>
        <w:t>[s. 26 and 184]</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9"/>
        <w:gridCol w:w="4253"/>
      </w:tblGrid>
      <w:tr>
        <w:tc>
          <w:tcPr>
            <w:tcW w:w="2409" w:type="dxa"/>
            <w:tcBorders>
              <w:left w:val="nil"/>
              <w:bottom w:val="single" w:sz="4" w:space="0" w:color="auto"/>
              <w:right w:val="nil"/>
            </w:tcBorders>
          </w:tcPr>
          <w:p>
            <w:pPr>
              <w:pStyle w:val="yTable"/>
              <w:rPr>
                <w:b/>
                <w:bCs/>
              </w:rPr>
            </w:pPr>
            <w:r>
              <w:rPr>
                <w:b/>
                <w:bCs/>
              </w:rPr>
              <w:t>Dutiable value</w:t>
            </w:r>
          </w:p>
        </w:tc>
        <w:tc>
          <w:tcPr>
            <w:tcW w:w="4253" w:type="dxa"/>
            <w:tcBorders>
              <w:left w:val="nil"/>
              <w:bottom w:val="single" w:sz="4" w:space="0" w:color="auto"/>
              <w:right w:val="nil"/>
            </w:tcBorders>
          </w:tcPr>
          <w:p>
            <w:pPr>
              <w:pStyle w:val="yTable"/>
              <w:rPr>
                <w:b/>
                <w:bCs/>
              </w:rPr>
            </w:pPr>
            <w:r>
              <w:rPr>
                <w:b/>
                <w:bCs/>
              </w:rPr>
              <w:t>General rate of duty</w:t>
            </w:r>
          </w:p>
        </w:tc>
      </w:tr>
      <w:tr>
        <w:tc>
          <w:tcPr>
            <w:tcW w:w="2409" w:type="dxa"/>
            <w:tcBorders>
              <w:left w:val="nil"/>
              <w:bottom w:val="nil"/>
              <w:right w:val="nil"/>
            </w:tcBorders>
          </w:tcPr>
          <w:p>
            <w:pPr>
              <w:pStyle w:val="yTable"/>
            </w:pPr>
            <w:r>
              <w:t>$ 0 — $80 000</w:t>
            </w:r>
          </w:p>
        </w:tc>
        <w:tc>
          <w:tcPr>
            <w:tcW w:w="4253" w:type="dxa"/>
            <w:tcBorders>
              <w:left w:val="nil"/>
              <w:bottom w:val="nil"/>
              <w:right w:val="nil"/>
            </w:tcBorders>
          </w:tcPr>
          <w:p>
            <w:pPr>
              <w:pStyle w:val="yTable"/>
            </w:pPr>
            <w:r>
              <w:t>$1.90 per $100.00 or part of $100.00</w:t>
            </w:r>
          </w:p>
        </w:tc>
      </w:tr>
      <w:tr>
        <w:tc>
          <w:tcPr>
            <w:tcW w:w="2409" w:type="dxa"/>
            <w:tcBorders>
              <w:top w:val="nil"/>
              <w:left w:val="nil"/>
              <w:bottom w:val="nil"/>
              <w:right w:val="nil"/>
            </w:tcBorders>
          </w:tcPr>
          <w:p>
            <w:pPr>
              <w:pStyle w:val="yTable"/>
            </w:pPr>
            <w:r>
              <w:t>$80 001 — $100 000</w:t>
            </w:r>
          </w:p>
        </w:tc>
        <w:tc>
          <w:tcPr>
            <w:tcW w:w="4253" w:type="dxa"/>
            <w:tcBorders>
              <w:top w:val="nil"/>
              <w:left w:val="nil"/>
              <w:bottom w:val="nil"/>
              <w:right w:val="nil"/>
            </w:tcBorders>
          </w:tcPr>
          <w:p>
            <w:pPr>
              <w:pStyle w:val="yTable"/>
            </w:pPr>
            <w:r>
              <w:t>$1 520 + $2.85 per $100.00 or part of $100.00 above $80 000</w:t>
            </w:r>
          </w:p>
        </w:tc>
      </w:tr>
      <w:tr>
        <w:tc>
          <w:tcPr>
            <w:tcW w:w="2409" w:type="dxa"/>
            <w:tcBorders>
              <w:top w:val="nil"/>
              <w:left w:val="nil"/>
              <w:bottom w:val="nil"/>
              <w:right w:val="nil"/>
            </w:tcBorders>
          </w:tcPr>
          <w:p>
            <w:pPr>
              <w:pStyle w:val="yTable"/>
            </w:pPr>
            <w:r>
              <w:t>$100 001 — $250 000</w:t>
            </w:r>
          </w:p>
        </w:tc>
        <w:tc>
          <w:tcPr>
            <w:tcW w:w="4253" w:type="dxa"/>
            <w:tcBorders>
              <w:top w:val="nil"/>
              <w:left w:val="nil"/>
              <w:bottom w:val="nil"/>
              <w:right w:val="nil"/>
            </w:tcBorders>
          </w:tcPr>
          <w:p>
            <w:pPr>
              <w:pStyle w:val="yTable"/>
            </w:pPr>
            <w:r>
              <w:t>$2 090 + $3.80 per $100.00 or part of $100.00 above $100 000</w:t>
            </w:r>
          </w:p>
        </w:tc>
      </w:tr>
      <w:tr>
        <w:tc>
          <w:tcPr>
            <w:tcW w:w="2409" w:type="dxa"/>
            <w:tcBorders>
              <w:top w:val="nil"/>
              <w:left w:val="nil"/>
              <w:bottom w:val="nil"/>
              <w:right w:val="nil"/>
            </w:tcBorders>
          </w:tcPr>
          <w:p>
            <w:pPr>
              <w:pStyle w:val="yTable"/>
            </w:pPr>
            <w:r>
              <w:t>$250 001 — $500 000</w:t>
            </w:r>
          </w:p>
        </w:tc>
        <w:tc>
          <w:tcPr>
            <w:tcW w:w="4253" w:type="dxa"/>
            <w:tcBorders>
              <w:top w:val="nil"/>
              <w:left w:val="nil"/>
              <w:bottom w:val="nil"/>
              <w:right w:val="nil"/>
            </w:tcBorders>
          </w:tcPr>
          <w:p>
            <w:pPr>
              <w:pStyle w:val="yTable"/>
            </w:pPr>
            <w:r>
              <w:t>$7 790 + $4.75 per $100.00 or part of $100.00 above $250 000</w:t>
            </w:r>
          </w:p>
        </w:tc>
      </w:tr>
      <w:tr>
        <w:tc>
          <w:tcPr>
            <w:tcW w:w="2409" w:type="dxa"/>
            <w:tcBorders>
              <w:top w:val="nil"/>
              <w:left w:val="nil"/>
              <w:bottom w:val="single" w:sz="4" w:space="0" w:color="auto"/>
              <w:right w:val="nil"/>
            </w:tcBorders>
          </w:tcPr>
          <w:p>
            <w:pPr>
              <w:pStyle w:val="yTable"/>
            </w:pPr>
            <w:r>
              <w:t>$500 001 and upwards</w:t>
            </w:r>
          </w:p>
        </w:tc>
        <w:tc>
          <w:tcPr>
            <w:tcW w:w="4253" w:type="dxa"/>
            <w:tcBorders>
              <w:top w:val="nil"/>
              <w:left w:val="nil"/>
              <w:bottom w:val="single" w:sz="4" w:space="0" w:color="auto"/>
              <w:right w:val="nil"/>
            </w:tcBorders>
          </w:tcPr>
          <w:p>
            <w:pPr>
              <w:pStyle w:val="yTable"/>
            </w:pPr>
            <w:r>
              <w:t>$19 665 + $5.15 per $100.00 or part of $100.00 above $500 000</w:t>
            </w:r>
          </w:p>
        </w:tc>
      </w:tr>
    </w:tbl>
    <w:p>
      <w:pPr>
        <w:pStyle w:val="yHeading3"/>
        <w:rPr>
          <w:rStyle w:val="CharSDivText"/>
        </w:rPr>
      </w:pPr>
      <w:bookmarkStart w:id="1693" w:name="_Toc201998544"/>
      <w:bookmarkStart w:id="1694" w:name="_Toc201999800"/>
      <w:bookmarkStart w:id="1695" w:name="_Toc202172319"/>
      <w:bookmarkStart w:id="1696" w:name="_Toc202172727"/>
      <w:bookmarkStart w:id="1697" w:name="_Toc202428965"/>
      <w:bookmarkStart w:id="1698" w:name="_Toc264020825"/>
      <w:bookmarkStart w:id="1699" w:name="_Toc264025178"/>
      <w:bookmarkStart w:id="1700" w:name="_Toc265580190"/>
      <w:bookmarkStart w:id="1701" w:name="_Toc265588272"/>
      <w:bookmarkStart w:id="1702" w:name="_Toc265588690"/>
      <w:r>
        <w:rPr>
          <w:rStyle w:val="CharSDivNo"/>
        </w:rPr>
        <w:t>Division 2</w:t>
      </w:r>
      <w:r>
        <w:t> — </w:t>
      </w:r>
      <w:r>
        <w:rPr>
          <w:rStyle w:val="CharSDivText"/>
        </w:rPr>
        <w:t>Concessional rates</w:t>
      </w:r>
      <w:bookmarkEnd w:id="1693"/>
      <w:bookmarkEnd w:id="1694"/>
      <w:bookmarkEnd w:id="1695"/>
      <w:bookmarkEnd w:id="1696"/>
      <w:bookmarkEnd w:id="1697"/>
      <w:bookmarkEnd w:id="1698"/>
      <w:bookmarkEnd w:id="1699"/>
      <w:bookmarkEnd w:id="1700"/>
      <w:bookmarkEnd w:id="1701"/>
      <w:bookmarkEnd w:id="1702"/>
    </w:p>
    <w:p>
      <w:pPr>
        <w:pStyle w:val="yShoulderClause"/>
        <w:spacing w:after="120"/>
      </w:pPr>
      <w:r>
        <w:t>[Chapter 2 Part 6 Divisions 3, 4A and 4]</w:t>
      </w:r>
    </w:p>
    <w:p>
      <w:pPr>
        <w:pStyle w:val="Footnoteheading"/>
      </w:pPr>
      <w:r>
        <w:tab/>
        <w:t>[Heading amended by No. 30 of 2008 s. 28.]</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4"/>
        <w:gridCol w:w="2268"/>
        <w:gridCol w:w="2378"/>
      </w:tblGrid>
      <w:tr>
        <w:trPr>
          <w:cantSplit/>
          <w:tblHeader/>
        </w:trPr>
        <w:tc>
          <w:tcPr>
            <w:tcW w:w="1984" w:type="dxa"/>
            <w:tcBorders>
              <w:left w:val="nil"/>
              <w:bottom w:val="single" w:sz="4" w:space="0" w:color="auto"/>
              <w:right w:val="nil"/>
            </w:tcBorders>
          </w:tcPr>
          <w:p>
            <w:pPr>
              <w:pStyle w:val="yTable"/>
              <w:rPr>
                <w:b/>
                <w:bCs/>
              </w:rPr>
            </w:pPr>
            <w:r>
              <w:rPr>
                <w:b/>
                <w:bCs/>
              </w:rPr>
              <w:t>Concessional transaction</w:t>
            </w:r>
          </w:p>
        </w:tc>
        <w:tc>
          <w:tcPr>
            <w:tcW w:w="2268" w:type="dxa"/>
            <w:tcBorders>
              <w:left w:val="nil"/>
              <w:bottom w:val="single" w:sz="4" w:space="0" w:color="auto"/>
              <w:right w:val="nil"/>
            </w:tcBorders>
          </w:tcPr>
          <w:p>
            <w:pPr>
              <w:pStyle w:val="yTable"/>
              <w:rPr>
                <w:b/>
                <w:bCs/>
              </w:rPr>
            </w:pPr>
            <w:r>
              <w:rPr>
                <w:b/>
                <w:bCs/>
              </w:rPr>
              <w:t>Dutiable value</w:t>
            </w:r>
          </w:p>
        </w:tc>
        <w:tc>
          <w:tcPr>
            <w:tcW w:w="2378" w:type="dxa"/>
            <w:tcBorders>
              <w:left w:val="nil"/>
              <w:bottom w:val="single" w:sz="4" w:space="0" w:color="auto"/>
              <w:right w:val="nil"/>
            </w:tcBorders>
          </w:tcPr>
          <w:p>
            <w:pPr>
              <w:pStyle w:val="yTable"/>
              <w:rPr>
                <w:b/>
                <w:bCs/>
              </w:rPr>
            </w:pPr>
            <w:r>
              <w:rPr>
                <w:b/>
                <w:bCs/>
              </w:rPr>
              <w:t>Concessional rate of duty</w:t>
            </w:r>
          </w:p>
        </w:tc>
      </w:tr>
      <w:tr>
        <w:trPr>
          <w:cantSplit/>
        </w:trPr>
        <w:tc>
          <w:tcPr>
            <w:tcW w:w="1984" w:type="dxa"/>
            <w:tcBorders>
              <w:top w:val="nil"/>
              <w:left w:val="nil"/>
              <w:bottom w:val="nil"/>
              <w:right w:val="nil"/>
            </w:tcBorders>
          </w:tcPr>
          <w:p>
            <w:pPr>
              <w:pStyle w:val="yTable"/>
            </w:pPr>
            <w:r>
              <w:t>s. 143</w:t>
            </w:r>
            <w:r>
              <w:br/>
              <w:t>First home owners</w:t>
            </w:r>
          </w:p>
        </w:tc>
        <w:tc>
          <w:tcPr>
            <w:tcW w:w="2268" w:type="dxa"/>
            <w:tcBorders>
              <w:top w:val="nil"/>
              <w:left w:val="nil"/>
              <w:bottom w:val="nil"/>
              <w:right w:val="nil"/>
            </w:tcBorders>
          </w:tcPr>
          <w:p>
            <w:pPr>
              <w:pStyle w:val="yTable"/>
              <w:keepNext/>
            </w:pPr>
          </w:p>
        </w:tc>
        <w:tc>
          <w:tcPr>
            <w:tcW w:w="2378" w:type="dxa"/>
            <w:tcBorders>
              <w:top w:val="nil"/>
              <w:left w:val="nil"/>
              <w:bottom w:val="nil"/>
              <w:right w:val="nil"/>
            </w:tcBorders>
          </w:tcPr>
          <w:p>
            <w:pPr>
              <w:pStyle w:val="yTable"/>
              <w:keepNext/>
            </w:pPr>
          </w:p>
        </w:tc>
      </w:tr>
      <w:tr>
        <w:trPr>
          <w:cantSplit/>
        </w:trPr>
        <w:tc>
          <w:tcPr>
            <w:tcW w:w="1984" w:type="dxa"/>
            <w:tcBorders>
              <w:top w:val="nil"/>
              <w:left w:val="nil"/>
              <w:bottom w:val="nil"/>
              <w:right w:val="nil"/>
            </w:tcBorders>
          </w:tcPr>
          <w:p>
            <w:pPr>
              <w:pStyle w:val="yTable"/>
              <w:ind w:left="175"/>
            </w:pPr>
            <w:r>
              <w:t>If the property includes a home</w:t>
            </w:r>
          </w:p>
        </w:tc>
        <w:tc>
          <w:tcPr>
            <w:tcW w:w="2268" w:type="dxa"/>
            <w:tcBorders>
              <w:top w:val="nil"/>
              <w:left w:val="nil"/>
              <w:bottom w:val="nil"/>
              <w:right w:val="nil"/>
            </w:tcBorders>
          </w:tcPr>
          <w:p>
            <w:pPr>
              <w:pStyle w:val="yTable"/>
              <w:keepNext/>
            </w:pPr>
            <w:r>
              <w:t>$0 — $500 000</w:t>
            </w:r>
            <w:r>
              <w:br/>
              <w:t>$500 001 — $600 000</w:t>
            </w:r>
          </w:p>
        </w:tc>
        <w:tc>
          <w:tcPr>
            <w:tcW w:w="2378" w:type="dxa"/>
            <w:tcBorders>
              <w:top w:val="nil"/>
              <w:left w:val="nil"/>
              <w:bottom w:val="nil"/>
              <w:right w:val="nil"/>
            </w:tcBorders>
          </w:tcPr>
          <w:p>
            <w:pPr>
              <w:pStyle w:val="yTable"/>
              <w:keepNext/>
            </w:pPr>
            <w:r>
              <w:t>Nil</w:t>
            </w:r>
            <w:r>
              <w:br/>
              <w:t xml:space="preserve">$22.51 per $100.00 or part of $100.00 above </w:t>
            </w:r>
            <w:r>
              <w:br/>
              <w:t>$500 000</w:t>
            </w:r>
          </w:p>
        </w:tc>
      </w:tr>
      <w:tr>
        <w:trPr>
          <w:cantSplit/>
        </w:trPr>
        <w:tc>
          <w:tcPr>
            <w:tcW w:w="1984" w:type="dxa"/>
            <w:tcBorders>
              <w:top w:val="nil"/>
              <w:left w:val="nil"/>
              <w:bottom w:val="nil"/>
              <w:right w:val="nil"/>
            </w:tcBorders>
          </w:tcPr>
          <w:p>
            <w:pPr>
              <w:pStyle w:val="yTable"/>
              <w:ind w:left="175"/>
            </w:pPr>
            <w:r>
              <w:t>If the property does not include a home</w:t>
            </w:r>
          </w:p>
        </w:tc>
        <w:tc>
          <w:tcPr>
            <w:tcW w:w="2268" w:type="dxa"/>
            <w:tcBorders>
              <w:top w:val="nil"/>
              <w:left w:val="nil"/>
              <w:bottom w:val="nil"/>
              <w:right w:val="nil"/>
            </w:tcBorders>
          </w:tcPr>
          <w:p>
            <w:pPr>
              <w:pStyle w:val="yTable"/>
            </w:pPr>
            <w:r>
              <w:t>$0 — $300 000</w:t>
            </w:r>
            <w:r>
              <w:br/>
              <w:t>$300 001 — $400 000</w:t>
            </w:r>
          </w:p>
        </w:tc>
        <w:tc>
          <w:tcPr>
            <w:tcW w:w="2378" w:type="dxa"/>
            <w:tcBorders>
              <w:top w:val="nil"/>
              <w:left w:val="nil"/>
              <w:bottom w:val="nil"/>
              <w:right w:val="nil"/>
            </w:tcBorders>
          </w:tcPr>
          <w:p>
            <w:pPr>
              <w:pStyle w:val="yTable"/>
            </w:pPr>
            <w:r>
              <w:t>Nil</w:t>
            </w:r>
            <w:r>
              <w:br/>
              <w:t>$13.01 per $100.00 or part of $100.00 above $300 000</w:t>
            </w:r>
          </w:p>
        </w:tc>
      </w:tr>
      <w:tr>
        <w:trPr>
          <w:cantSplit/>
        </w:trPr>
        <w:tc>
          <w:tcPr>
            <w:tcW w:w="1984" w:type="dxa"/>
            <w:tcBorders>
              <w:top w:val="nil"/>
              <w:left w:val="nil"/>
              <w:bottom w:val="nil"/>
              <w:right w:val="nil"/>
            </w:tcBorders>
          </w:tcPr>
          <w:p>
            <w:pPr>
              <w:pStyle w:val="yTable"/>
              <w:ind w:left="33"/>
            </w:pPr>
            <w:r>
              <w:t>s. 147</w:t>
            </w:r>
            <w:r>
              <w:br/>
              <w:t>Residential or business property</w:t>
            </w:r>
          </w:p>
        </w:tc>
        <w:tc>
          <w:tcPr>
            <w:tcW w:w="2268" w:type="dxa"/>
            <w:tcBorders>
              <w:top w:val="nil"/>
              <w:left w:val="nil"/>
              <w:bottom w:val="nil"/>
              <w:right w:val="nil"/>
            </w:tcBorders>
          </w:tcPr>
          <w:p>
            <w:pPr>
              <w:pStyle w:val="yTable"/>
            </w:pPr>
            <w:r>
              <w:br/>
              <w:t>$0 — $100 000</w:t>
            </w:r>
            <w:r>
              <w:br/>
            </w:r>
          </w:p>
          <w:p>
            <w:pPr>
              <w:pStyle w:val="yTable"/>
            </w:pPr>
            <w:r>
              <w:t>$100 001 — $200 000</w:t>
            </w:r>
          </w:p>
        </w:tc>
        <w:tc>
          <w:tcPr>
            <w:tcW w:w="2378" w:type="dxa"/>
            <w:tcBorders>
              <w:top w:val="nil"/>
              <w:left w:val="nil"/>
              <w:bottom w:val="nil"/>
              <w:right w:val="nil"/>
            </w:tcBorders>
          </w:tcPr>
          <w:p>
            <w:pPr>
              <w:pStyle w:val="yTable"/>
            </w:pPr>
            <w:r>
              <w:br/>
              <w:t>$1.50 per $100.00 or part of $100.00</w:t>
            </w:r>
          </w:p>
          <w:p>
            <w:pPr>
              <w:pStyle w:val="yTable"/>
            </w:pPr>
            <w:r>
              <w:t>$1 500 + $4.39 per $100.00 or part of $100.00 above $100 000</w:t>
            </w:r>
          </w:p>
        </w:tc>
      </w:tr>
      <w:tr>
        <w:trPr>
          <w:cantSplit/>
        </w:trPr>
        <w:tc>
          <w:tcPr>
            <w:tcW w:w="1984" w:type="dxa"/>
            <w:tcBorders>
              <w:top w:val="nil"/>
              <w:left w:val="nil"/>
              <w:bottom w:val="nil"/>
              <w:right w:val="nil"/>
            </w:tcBorders>
          </w:tcPr>
          <w:p>
            <w:pPr>
              <w:pStyle w:val="yTable"/>
              <w:ind w:left="33"/>
            </w:pPr>
            <w:bookmarkStart w:id="1703" w:name="_Toc201998545"/>
            <w:bookmarkStart w:id="1704" w:name="_Toc201999801"/>
            <w:bookmarkStart w:id="1705" w:name="_Toc202172320"/>
            <w:bookmarkStart w:id="1706" w:name="_Toc202172728"/>
            <w:r>
              <w:t>s. 147E</w:t>
            </w:r>
            <w:r>
              <w:br/>
              <w:t>Residential property</w:t>
            </w:r>
          </w:p>
        </w:tc>
        <w:tc>
          <w:tcPr>
            <w:tcW w:w="2268" w:type="dxa"/>
            <w:tcBorders>
              <w:top w:val="nil"/>
              <w:left w:val="nil"/>
              <w:bottom w:val="nil"/>
              <w:right w:val="nil"/>
            </w:tcBorders>
          </w:tcPr>
          <w:p>
            <w:pPr>
              <w:pStyle w:val="yTable"/>
            </w:pPr>
            <w:r>
              <w:br/>
              <w:t>$0 — $120 000</w:t>
            </w:r>
            <w:r>
              <w:br/>
            </w:r>
          </w:p>
        </w:tc>
        <w:tc>
          <w:tcPr>
            <w:tcW w:w="2378" w:type="dxa"/>
            <w:tcBorders>
              <w:top w:val="nil"/>
              <w:left w:val="nil"/>
              <w:bottom w:val="nil"/>
              <w:right w:val="nil"/>
            </w:tcBorders>
          </w:tcPr>
          <w:p>
            <w:pPr>
              <w:pStyle w:val="yTable"/>
            </w:pPr>
            <w:r>
              <w:br/>
              <w:t>$1.90 per $100.00 or part of $100.00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$120 001 — $150 000</w:t>
            </w:r>
          </w:p>
        </w:tc>
        <w:tc>
          <w:tcPr>
            <w:tcW w:w="2378" w:type="dxa"/>
            <w:tcBorders>
              <w:top w:val="nil"/>
              <w:left w:val="nil"/>
              <w:bottom w:val="nil"/>
              <w:right w:val="nil"/>
            </w:tcBorders>
          </w:tcPr>
          <w:p>
            <w:pPr>
              <w:pStyle w:val="yTable"/>
            </w:pPr>
            <w:r>
              <w:t>$2 280 + $2.85 per $100.00 or part of $100.00 above $120 000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$150 001 — $360 000</w:t>
            </w:r>
          </w:p>
        </w:tc>
        <w:tc>
          <w:tcPr>
            <w:tcW w:w="2378" w:type="dxa"/>
            <w:tcBorders>
              <w:top w:val="nil"/>
              <w:left w:val="nil"/>
              <w:bottom w:val="nil"/>
              <w:right w:val="nil"/>
            </w:tcBorders>
          </w:tcPr>
          <w:p>
            <w:pPr>
              <w:pStyle w:val="yTable"/>
            </w:pPr>
            <w:r>
              <w:t>$3 135 + $3.80 per $100.00 or part of $100.00 above $150 000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$360 001 — $725 000</w:t>
            </w:r>
          </w:p>
        </w:tc>
        <w:tc>
          <w:tcPr>
            <w:tcW w:w="2378" w:type="dxa"/>
            <w:tcBorders>
              <w:top w:val="nil"/>
              <w:left w:val="nil"/>
              <w:bottom w:val="nil"/>
              <w:right w:val="nil"/>
            </w:tcBorders>
          </w:tcPr>
          <w:p>
            <w:pPr>
              <w:pStyle w:val="yTable"/>
            </w:pPr>
            <w:r>
              <w:t>$11 115 + $4.75 per $100.00 or part of $100.00 above $360 000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$725 001 and upwards</w:t>
            </w:r>
          </w:p>
        </w:tc>
        <w:tc>
          <w:tcPr>
            <w:tcW w:w="2378" w:type="dxa"/>
            <w:tcBorders>
              <w:top w:val="nil"/>
              <w:left w:val="nil"/>
              <w:bottom w:val="nil"/>
              <w:right w:val="nil"/>
            </w:tcBorders>
          </w:tcPr>
          <w:p>
            <w:pPr>
              <w:pStyle w:val="yTable"/>
            </w:pPr>
            <w:r>
              <w:t>$28 453 + $5.15 per $100.00 or part of $100.00 above $725 000</w:t>
            </w:r>
          </w:p>
        </w:tc>
      </w:tr>
    </w:tbl>
    <w:p>
      <w:pPr>
        <w:pStyle w:val="Footnotesection"/>
        <w:rPr>
          <w:rStyle w:val="CharSDivNo"/>
        </w:rPr>
      </w:pPr>
      <w:r>
        <w:tab/>
        <w:t>[Division 2 amended by No. 30 of 2008 s. 28.]</w:t>
      </w:r>
    </w:p>
    <w:p>
      <w:pPr>
        <w:pStyle w:val="yHeading3"/>
      </w:pPr>
      <w:bookmarkStart w:id="1707" w:name="_Toc202428966"/>
      <w:bookmarkStart w:id="1708" w:name="_Toc264020826"/>
      <w:bookmarkStart w:id="1709" w:name="_Toc264025179"/>
      <w:bookmarkStart w:id="1710" w:name="_Toc265580191"/>
      <w:bookmarkStart w:id="1711" w:name="_Toc265588273"/>
      <w:bookmarkStart w:id="1712" w:name="_Toc265588691"/>
      <w:r>
        <w:rPr>
          <w:rStyle w:val="CharSDivNo"/>
        </w:rPr>
        <w:t>Division 3</w:t>
      </w:r>
      <w:r>
        <w:t> — </w:t>
      </w:r>
      <w:r>
        <w:rPr>
          <w:rStyle w:val="CharSDivText"/>
        </w:rPr>
        <w:t>Nominal duty</w:t>
      </w:r>
      <w:bookmarkEnd w:id="1703"/>
      <w:bookmarkEnd w:id="1704"/>
      <w:bookmarkEnd w:id="1705"/>
      <w:bookmarkEnd w:id="1706"/>
      <w:bookmarkEnd w:id="1707"/>
      <w:bookmarkEnd w:id="1708"/>
      <w:bookmarkEnd w:id="1709"/>
      <w:bookmarkEnd w:id="1710"/>
      <w:bookmarkEnd w:id="1711"/>
      <w:bookmarkEnd w:id="1712"/>
    </w:p>
    <w:p>
      <w:pPr>
        <w:pStyle w:val="ySubsection"/>
      </w:pPr>
      <w:r>
        <w:tab/>
      </w:r>
      <w:r>
        <w:tab/>
        <w:t>The amount of nominal duty is $20.00.</w:t>
      </w:r>
    </w:p>
    <w:p>
      <w:pPr>
        <w:pStyle w:val="ySubsection"/>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1713" w:name="_Toc201998546"/>
      <w:bookmarkStart w:id="1714" w:name="_Toc201999802"/>
      <w:bookmarkStart w:id="1715" w:name="_Toc202172321"/>
      <w:bookmarkStart w:id="1716" w:name="_Toc202172729"/>
      <w:bookmarkStart w:id="1717" w:name="_Toc202428967"/>
      <w:bookmarkStart w:id="1718" w:name="_Toc264020827"/>
      <w:bookmarkStart w:id="1719" w:name="_Toc264025180"/>
      <w:bookmarkStart w:id="1720" w:name="_Toc265580192"/>
      <w:bookmarkStart w:id="1721" w:name="_Toc265588274"/>
      <w:bookmarkStart w:id="1722" w:name="_Toc265588692"/>
      <w:r>
        <w:rPr>
          <w:rStyle w:val="CharSchNo"/>
        </w:rPr>
        <w:t>Schedule 3</w:t>
      </w:r>
      <w:r>
        <w:t> — </w:t>
      </w:r>
      <w:r>
        <w:rPr>
          <w:rStyle w:val="CharSchText"/>
        </w:rPr>
        <w:t>Transitional provisions</w:t>
      </w:r>
      <w:bookmarkEnd w:id="1713"/>
      <w:bookmarkEnd w:id="1714"/>
      <w:bookmarkEnd w:id="1715"/>
      <w:bookmarkEnd w:id="1716"/>
      <w:bookmarkEnd w:id="1717"/>
      <w:bookmarkEnd w:id="1718"/>
      <w:bookmarkEnd w:id="1719"/>
      <w:bookmarkEnd w:id="1720"/>
      <w:bookmarkEnd w:id="1721"/>
      <w:bookmarkEnd w:id="1722"/>
    </w:p>
    <w:p>
      <w:pPr>
        <w:pStyle w:val="yShoulderClause"/>
      </w:pPr>
      <w:r>
        <w:t>[s. 286]</w:t>
      </w:r>
    </w:p>
    <w:p>
      <w:pPr>
        <w:pStyle w:val="yHeading3"/>
      </w:pPr>
      <w:bookmarkStart w:id="1723" w:name="_Toc201998547"/>
      <w:bookmarkStart w:id="1724" w:name="_Toc201999803"/>
      <w:bookmarkStart w:id="1725" w:name="_Toc202172322"/>
      <w:bookmarkStart w:id="1726" w:name="_Toc202172730"/>
      <w:bookmarkStart w:id="1727" w:name="_Toc202428968"/>
      <w:bookmarkStart w:id="1728" w:name="_Toc264020828"/>
      <w:bookmarkStart w:id="1729" w:name="_Toc264025181"/>
      <w:bookmarkStart w:id="1730" w:name="_Toc265580193"/>
      <w:bookmarkStart w:id="1731" w:name="_Toc265588275"/>
      <w:bookmarkStart w:id="1732" w:name="_Toc265588693"/>
      <w:r>
        <w:rPr>
          <w:rStyle w:val="CharSDivNo"/>
        </w:rPr>
        <w:t>Division 1</w:t>
      </w:r>
      <w:r>
        <w:t> — </w:t>
      </w:r>
      <w:r>
        <w:rPr>
          <w:rStyle w:val="CharSDivText"/>
        </w:rPr>
        <w:t xml:space="preserve">Provisions for </w:t>
      </w:r>
      <w:r>
        <w:rPr>
          <w:rStyle w:val="CharSDivText"/>
          <w:i/>
          <w:iCs/>
        </w:rPr>
        <w:t>Duties Act 2008</w:t>
      </w:r>
      <w:bookmarkEnd w:id="1723"/>
      <w:bookmarkEnd w:id="1724"/>
      <w:bookmarkEnd w:id="1725"/>
      <w:bookmarkEnd w:id="1726"/>
      <w:bookmarkEnd w:id="1727"/>
      <w:bookmarkEnd w:id="1728"/>
      <w:bookmarkEnd w:id="1729"/>
      <w:bookmarkEnd w:id="1730"/>
      <w:bookmarkEnd w:id="1731"/>
      <w:bookmarkEnd w:id="1732"/>
    </w:p>
    <w:p>
      <w:pPr>
        <w:pStyle w:val="yHeading4"/>
      </w:pPr>
      <w:bookmarkStart w:id="1733" w:name="_Toc201998548"/>
      <w:bookmarkStart w:id="1734" w:name="_Toc201999804"/>
      <w:bookmarkStart w:id="1735" w:name="_Toc202172323"/>
      <w:bookmarkStart w:id="1736" w:name="_Toc202172731"/>
      <w:bookmarkStart w:id="1737" w:name="_Toc202428969"/>
      <w:bookmarkStart w:id="1738" w:name="_Toc264020829"/>
      <w:bookmarkStart w:id="1739" w:name="_Toc264025182"/>
      <w:bookmarkStart w:id="1740" w:name="_Toc265580194"/>
      <w:bookmarkStart w:id="1741" w:name="_Toc265588276"/>
      <w:bookmarkStart w:id="1742" w:name="_Toc265588694"/>
      <w:r>
        <w:t>Subdivision 1</w:t>
      </w:r>
      <w:r>
        <w:rPr>
          <w:b w:val="0"/>
        </w:rPr>
        <w:t> — </w:t>
      </w:r>
      <w:r>
        <w:t>Preliminary</w:t>
      </w:r>
      <w:bookmarkEnd w:id="1733"/>
      <w:bookmarkEnd w:id="1734"/>
      <w:bookmarkEnd w:id="1735"/>
      <w:bookmarkEnd w:id="1736"/>
      <w:bookmarkEnd w:id="1737"/>
      <w:bookmarkEnd w:id="1738"/>
      <w:bookmarkEnd w:id="1739"/>
      <w:bookmarkEnd w:id="1740"/>
      <w:bookmarkEnd w:id="1741"/>
      <w:bookmarkEnd w:id="1742"/>
    </w:p>
    <w:p>
      <w:pPr>
        <w:pStyle w:val="yHeading5"/>
      </w:pPr>
      <w:bookmarkStart w:id="1743" w:name="_Toc201998549"/>
      <w:bookmarkStart w:id="1744" w:name="_Toc265588695"/>
      <w:bookmarkStart w:id="1745" w:name="_Toc265580195"/>
      <w:r>
        <w:rPr>
          <w:rStyle w:val="CharSClsNo"/>
        </w:rPr>
        <w:t>1</w:t>
      </w:r>
      <w:r>
        <w:t>.</w:t>
      </w:r>
      <w:r>
        <w:tab/>
        <w:t>Terms used in this Division</w:t>
      </w:r>
      <w:bookmarkEnd w:id="1743"/>
      <w:bookmarkEnd w:id="1744"/>
      <w:bookmarkEnd w:id="1745"/>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1746" w:name="_Toc201998550"/>
      <w:bookmarkStart w:id="1747" w:name="_Toc201999806"/>
      <w:bookmarkStart w:id="1748" w:name="_Toc202172325"/>
      <w:bookmarkStart w:id="1749" w:name="_Toc202172733"/>
      <w:bookmarkStart w:id="1750" w:name="_Toc202428971"/>
      <w:bookmarkStart w:id="1751" w:name="_Toc264020831"/>
      <w:bookmarkStart w:id="1752" w:name="_Toc264025184"/>
      <w:bookmarkStart w:id="1753" w:name="_Toc265580196"/>
      <w:bookmarkStart w:id="1754" w:name="_Toc265588278"/>
      <w:bookmarkStart w:id="1755" w:name="_Toc265588696"/>
      <w:r>
        <w:t>Subdivision 2</w:t>
      </w:r>
      <w:r>
        <w:rPr>
          <w:b w:val="0"/>
        </w:rPr>
        <w:t> — </w:t>
      </w:r>
      <w:r>
        <w:t>Provisions for Chapter 2</w:t>
      </w:r>
      <w:bookmarkEnd w:id="1746"/>
      <w:bookmarkEnd w:id="1747"/>
      <w:bookmarkEnd w:id="1748"/>
      <w:bookmarkEnd w:id="1749"/>
      <w:bookmarkEnd w:id="1750"/>
      <w:bookmarkEnd w:id="1751"/>
      <w:bookmarkEnd w:id="1752"/>
      <w:bookmarkEnd w:id="1753"/>
      <w:bookmarkEnd w:id="1754"/>
      <w:bookmarkEnd w:id="1755"/>
    </w:p>
    <w:p>
      <w:pPr>
        <w:pStyle w:val="yHeading5"/>
      </w:pPr>
      <w:bookmarkStart w:id="1756" w:name="_Toc201998551"/>
      <w:bookmarkStart w:id="1757" w:name="_Toc265588697"/>
      <w:bookmarkStart w:id="1758" w:name="_Toc265580197"/>
      <w:r>
        <w:rPr>
          <w:rStyle w:val="CharSClsNo"/>
        </w:rPr>
        <w:t>2</w:t>
      </w:r>
      <w:r>
        <w:t>.</w:t>
      </w:r>
      <w:r>
        <w:tab/>
        <w:t>When Chapter 2 starts to apply</w:t>
      </w:r>
      <w:bookmarkEnd w:id="1756"/>
      <w:bookmarkEnd w:id="1757"/>
      <w:bookmarkEnd w:id="1758"/>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1759" w:name="_Toc201998552"/>
      <w:bookmarkStart w:id="1760" w:name="_Toc265588698"/>
      <w:bookmarkStart w:id="1761" w:name="_Toc265580198"/>
      <w:r>
        <w:rPr>
          <w:rStyle w:val="CharSClsNo"/>
        </w:rPr>
        <w:t>3</w:t>
      </w:r>
      <w:r>
        <w:t>.</w:t>
      </w:r>
      <w:r>
        <w:tab/>
        <w:t>No double duty</w:t>
      </w:r>
      <w:bookmarkEnd w:id="1759"/>
      <w:bookmarkEnd w:id="1760"/>
      <w:bookmarkEnd w:id="1761"/>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1762" w:name="_Toc201998553"/>
      <w:bookmarkStart w:id="1763" w:name="_Toc265588699"/>
      <w:bookmarkStart w:id="1764" w:name="_Toc265580199"/>
      <w:r>
        <w:rPr>
          <w:rStyle w:val="CharSClsNo"/>
        </w:rPr>
        <w:t>4</w:t>
      </w:r>
      <w:r>
        <w:t>.</w:t>
      </w:r>
      <w:r>
        <w:tab/>
        <w:t>Alteration of consideration (section 31)</w:t>
      </w:r>
      <w:bookmarkEnd w:id="1762"/>
      <w:bookmarkEnd w:id="1763"/>
      <w:bookmarkEnd w:id="1764"/>
    </w:p>
    <w:p>
      <w:pPr>
        <w:pStyle w:val="ySubsection"/>
      </w:pPr>
      <w:r>
        <w:tab/>
      </w:r>
      <w:r>
        <w:tab/>
        <w:t xml:space="preserve">Section 31(1) and (3) do not apply if the liability to duty is under the </w:t>
      </w:r>
      <w:r>
        <w:rPr>
          <w:i/>
          <w:iCs/>
        </w:rPr>
        <w:t>Stamp Act 1921</w:t>
      </w:r>
      <w:r>
        <w:t>.</w:t>
      </w:r>
    </w:p>
    <w:p>
      <w:pPr>
        <w:pStyle w:val="yHeading5"/>
      </w:pPr>
      <w:bookmarkStart w:id="1765" w:name="_Toc201998554"/>
      <w:bookmarkStart w:id="1766" w:name="_Toc265588700"/>
      <w:bookmarkStart w:id="1767" w:name="_Toc265580200"/>
      <w:r>
        <w:rPr>
          <w:rStyle w:val="CharSClsNo"/>
        </w:rPr>
        <w:t>5</w:t>
      </w:r>
      <w:r>
        <w:t>.</w:t>
      </w:r>
      <w:r>
        <w:tab/>
        <w:t>Aggregation (section 37)</w:t>
      </w:r>
      <w:bookmarkEnd w:id="1765"/>
      <w:bookmarkEnd w:id="1766"/>
      <w:bookmarkEnd w:id="1767"/>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1768" w:name="_Toc201998555"/>
      <w:bookmarkStart w:id="1769" w:name="_Toc265588701"/>
      <w:bookmarkStart w:id="1770" w:name="_Toc265580201"/>
      <w:r>
        <w:rPr>
          <w:rStyle w:val="CharSClsNo"/>
        </w:rPr>
        <w:t>6</w:t>
      </w:r>
      <w:r>
        <w:t>.</w:t>
      </w:r>
      <w:r>
        <w:tab/>
        <w:t>Exchanges (section 40)</w:t>
      </w:r>
      <w:bookmarkEnd w:id="1768"/>
      <w:bookmarkEnd w:id="1769"/>
      <w:bookmarkEnd w:id="1770"/>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1771" w:name="_Toc201998556"/>
      <w:bookmarkStart w:id="1772" w:name="_Toc265588702"/>
      <w:bookmarkStart w:id="1773" w:name="_Toc265580202"/>
      <w:r>
        <w:rPr>
          <w:rStyle w:val="CharSClsNo"/>
        </w:rPr>
        <w:t>7</w:t>
      </w:r>
      <w:r>
        <w:t>.</w:t>
      </w:r>
      <w:r>
        <w:tab/>
        <w:t>Exempt bodies (section 92)</w:t>
      </w:r>
      <w:bookmarkEnd w:id="1771"/>
      <w:bookmarkEnd w:id="1772"/>
      <w:bookmarkEnd w:id="1773"/>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1774" w:name="_Toc201998557"/>
      <w:bookmarkStart w:id="1775" w:name="_Toc265588703"/>
      <w:bookmarkStart w:id="1776" w:name="_Toc265580203"/>
      <w:r>
        <w:rPr>
          <w:rStyle w:val="CharSClsNo"/>
        </w:rPr>
        <w:t>8</w:t>
      </w:r>
      <w:r>
        <w:t>.</w:t>
      </w:r>
      <w:r>
        <w:tab/>
        <w:t>Family farm transactions (sections 104 and 105)</w:t>
      </w:r>
      <w:bookmarkEnd w:id="1774"/>
      <w:bookmarkEnd w:id="1775"/>
      <w:bookmarkEnd w:id="1776"/>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pPr>
      <w:bookmarkStart w:id="1777" w:name="_Toc201998558"/>
      <w:bookmarkStart w:id="1778" w:name="_Toc265588704"/>
      <w:bookmarkStart w:id="1779" w:name="_Toc265580204"/>
      <w:r>
        <w:rPr>
          <w:rStyle w:val="CharSClsNo"/>
        </w:rPr>
        <w:t>9</w:t>
      </w:r>
      <w:r>
        <w:t>.</w:t>
      </w:r>
      <w:r>
        <w:tab/>
        <w:t>Matrimonial and de facto relationship instruments (sections 129, 130)</w:t>
      </w:r>
      <w:bookmarkEnd w:id="1777"/>
      <w:bookmarkEnd w:id="1778"/>
      <w:bookmarkEnd w:id="1779"/>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pPr>
      <w:bookmarkStart w:id="1780" w:name="_Toc201998559"/>
      <w:bookmarkStart w:id="1781" w:name="_Toc265588705"/>
      <w:bookmarkStart w:id="1782" w:name="_Toc265580205"/>
      <w:r>
        <w:rPr>
          <w:rStyle w:val="CharSClsNo"/>
        </w:rPr>
        <w:t>10</w:t>
      </w:r>
      <w:r>
        <w:t>.</w:t>
      </w:r>
      <w:r>
        <w:tab/>
        <w:t>First home owners (Part 6 Division 3)</w:t>
      </w:r>
      <w:bookmarkEnd w:id="1780"/>
      <w:bookmarkEnd w:id="1781"/>
      <w:bookmarkEnd w:id="1782"/>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pPr>
      <w:bookmarkStart w:id="1783" w:name="_Toc198441717"/>
      <w:bookmarkStart w:id="1784" w:name="_Toc202427391"/>
      <w:bookmarkStart w:id="1785" w:name="_Toc265588706"/>
      <w:bookmarkStart w:id="1786" w:name="_Toc265580206"/>
      <w:r>
        <w:rPr>
          <w:rStyle w:val="CharSClsNo"/>
        </w:rPr>
        <w:t>11A</w:t>
      </w:r>
      <w:r>
        <w:t>.</w:t>
      </w:r>
      <w:r>
        <w:rPr>
          <w:b w:val="0"/>
        </w:rPr>
        <w:tab/>
      </w:r>
      <w:r>
        <w:t>Residential concession (Part 6 Division 4A)</w:t>
      </w:r>
      <w:bookmarkEnd w:id="1783"/>
      <w:bookmarkEnd w:id="1784"/>
      <w:bookmarkEnd w:id="1785"/>
      <w:bookmarkEnd w:id="1786"/>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pPr>
      <w:r>
        <w:tab/>
        <w:t>[Clause 11A inserted by No. 30 of 2008 s. 29.]</w:t>
      </w:r>
    </w:p>
    <w:p>
      <w:pPr>
        <w:pStyle w:val="yHeading4"/>
      </w:pPr>
      <w:bookmarkStart w:id="1787" w:name="_Toc201998560"/>
      <w:bookmarkStart w:id="1788" w:name="_Toc201999816"/>
      <w:bookmarkStart w:id="1789" w:name="_Toc202172335"/>
      <w:bookmarkStart w:id="1790" w:name="_Toc202172743"/>
      <w:bookmarkStart w:id="1791" w:name="_Toc202428982"/>
      <w:bookmarkStart w:id="1792" w:name="_Toc264020842"/>
      <w:bookmarkStart w:id="1793" w:name="_Toc264025195"/>
      <w:bookmarkStart w:id="1794" w:name="_Toc265580207"/>
      <w:bookmarkStart w:id="1795" w:name="_Toc265588289"/>
      <w:bookmarkStart w:id="1796" w:name="_Toc265588707"/>
      <w:r>
        <w:t>Subdivision 3</w:t>
      </w:r>
      <w:r>
        <w:rPr>
          <w:b w:val="0"/>
        </w:rPr>
        <w:t> — </w:t>
      </w:r>
      <w:r>
        <w:t>Provisions for Chapter 3</w:t>
      </w:r>
      <w:bookmarkEnd w:id="1787"/>
      <w:bookmarkEnd w:id="1788"/>
      <w:bookmarkEnd w:id="1789"/>
      <w:bookmarkEnd w:id="1790"/>
      <w:bookmarkEnd w:id="1791"/>
      <w:bookmarkEnd w:id="1792"/>
      <w:bookmarkEnd w:id="1793"/>
      <w:bookmarkEnd w:id="1794"/>
      <w:bookmarkEnd w:id="1795"/>
      <w:bookmarkEnd w:id="1796"/>
    </w:p>
    <w:p>
      <w:pPr>
        <w:pStyle w:val="yHeading5"/>
        <w:spacing w:before="120"/>
      </w:pPr>
      <w:bookmarkStart w:id="1797" w:name="_Toc201998561"/>
      <w:bookmarkStart w:id="1798" w:name="_Toc265588708"/>
      <w:bookmarkStart w:id="1799" w:name="_Toc265580208"/>
      <w:r>
        <w:rPr>
          <w:rStyle w:val="CharSClsNo"/>
        </w:rPr>
        <w:t>11</w:t>
      </w:r>
      <w:r>
        <w:t>.</w:t>
      </w:r>
      <w:r>
        <w:tab/>
        <w:t>When Chapter 3 starts to apply</w:t>
      </w:r>
      <w:bookmarkEnd w:id="1797"/>
      <w:bookmarkEnd w:id="1798"/>
      <w:bookmarkEnd w:id="1799"/>
    </w:p>
    <w:p>
      <w:pPr>
        <w:pStyle w:val="ySubsection"/>
      </w:pPr>
      <w:r>
        <w:tab/>
      </w:r>
      <w:r>
        <w:tab/>
        <w:t>Chapter 3 applies in relation to the imposition of landholder duty in respect of a relevant acquisition only if that acquisition occurs on or after 1 July 2008.</w:t>
      </w:r>
    </w:p>
    <w:p>
      <w:pPr>
        <w:pStyle w:val="yHeading5"/>
        <w:spacing w:before="120"/>
      </w:pPr>
      <w:bookmarkStart w:id="1800" w:name="_Toc201998562"/>
      <w:bookmarkStart w:id="1801" w:name="_Toc265588709"/>
      <w:bookmarkStart w:id="1802" w:name="_Toc265580209"/>
      <w:r>
        <w:rPr>
          <w:rStyle w:val="CharSClsNo"/>
        </w:rPr>
        <w:t>12</w:t>
      </w:r>
      <w:r>
        <w:t>.</w:t>
      </w:r>
      <w:r>
        <w:tab/>
        <w:t>Acquisitions under an agreement made before 1 July 2008</w:t>
      </w:r>
      <w:bookmarkEnd w:id="1800"/>
      <w:bookmarkEnd w:id="1801"/>
      <w:bookmarkEnd w:id="1802"/>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Heading5"/>
        <w:spacing w:before="120"/>
      </w:pPr>
      <w:bookmarkStart w:id="1803" w:name="_Toc201998563"/>
      <w:bookmarkStart w:id="1804" w:name="_Toc265588710"/>
      <w:bookmarkStart w:id="1805" w:name="_Toc265580210"/>
      <w:r>
        <w:rPr>
          <w:rStyle w:val="CharSClsNo"/>
        </w:rPr>
        <w:t>13</w:t>
      </w:r>
      <w:r>
        <w:t>.</w:t>
      </w:r>
      <w:r>
        <w:tab/>
        <w:t>Meaning of “excluded interest” (sections 190 and 192)</w:t>
      </w:r>
      <w:bookmarkEnd w:id="1803"/>
      <w:bookmarkEnd w:id="1804"/>
      <w:bookmarkEnd w:id="1805"/>
    </w:p>
    <w:p>
      <w:pPr>
        <w:pStyle w:val="ySubsection"/>
      </w:pPr>
      <w:r>
        <w:tab/>
        <w:t>(1)</w:t>
      </w:r>
      <w:r>
        <w:tab/>
        <w:t xml:space="preserve">Despite section 190(1)(a), if the day that is 3 years before the day on which the relevant acquisition occurred is before 1 July 2008, section 190(1) is to be read as if the following paragraph were inserted instead of paragraph (a) — </w:t>
      </w:r>
    </w:p>
    <w:p>
      <w:pPr>
        <w:pStyle w:val="MiscOpen"/>
        <w:ind w:left="1340"/>
      </w:pPr>
      <w:r>
        <w:t xml:space="preserve">“    </w:t>
      </w:r>
    </w:p>
    <w:p>
      <w:pPr>
        <w:pStyle w:val="Indenta"/>
      </w:pPr>
      <w:r>
        <w:tab/>
        <w:t>(a)</w:t>
      </w:r>
      <w:r>
        <w:tab/>
        <w:t>an interest, other than one to which subsection (2) applies, that was held by the person or a related person, or by the person and a related person, before 1 July 2008; or</w:t>
      </w:r>
    </w:p>
    <w:p>
      <w:pPr>
        <w:pStyle w:val="MiscClose"/>
      </w:pPr>
      <w:r>
        <w:t xml:space="preserve">    ”.</w:t>
      </w:r>
    </w:p>
    <w:p>
      <w:pPr>
        <w:pStyle w:val="ySubsection"/>
      </w:pPr>
      <w:r>
        <w:tab/>
        <w:t>(2)</w:t>
      </w:r>
      <w:r>
        <w:tab/>
        <w:t xml:space="preserve">Despite section 192(a), if the day that is 3 years before the day on which the relevant acquisition occurred is before 1 July 2008, section 192 is to be read as if the following paragraph were inserted instead of paragraph (a) — </w:t>
      </w:r>
    </w:p>
    <w:p>
      <w:pPr>
        <w:pStyle w:val="MiscOpen"/>
        <w:keepNext w:val="0"/>
        <w:keepLines w:val="0"/>
        <w:ind w:left="1340"/>
      </w:pPr>
      <w:r>
        <w:t xml:space="preserve">“    </w:t>
      </w:r>
    </w:p>
    <w:p>
      <w:pPr>
        <w:pStyle w:val="Indenta"/>
      </w:pPr>
      <w:r>
        <w:tab/>
        <w:t>(a)</w:t>
      </w:r>
      <w:r>
        <w:tab/>
        <w:t>an interest that was held by the person or a related person, or by the person and a related person, before 1 July 2008; or</w:t>
      </w:r>
    </w:p>
    <w:p>
      <w:pPr>
        <w:pStyle w:val="MiscClose"/>
        <w:keepLines w:val="0"/>
      </w:pPr>
      <w:r>
        <w:t xml:space="preserve">    ”.</w:t>
      </w:r>
    </w:p>
    <w:p>
      <w:pPr>
        <w:pStyle w:val="yHeading4"/>
      </w:pPr>
      <w:bookmarkStart w:id="1806" w:name="_Toc201998564"/>
      <w:bookmarkStart w:id="1807" w:name="_Toc201999820"/>
      <w:bookmarkStart w:id="1808" w:name="_Toc202172339"/>
      <w:bookmarkStart w:id="1809" w:name="_Toc202172747"/>
      <w:bookmarkStart w:id="1810" w:name="_Toc202428986"/>
      <w:bookmarkStart w:id="1811" w:name="_Toc264020846"/>
      <w:bookmarkStart w:id="1812" w:name="_Toc264025199"/>
      <w:bookmarkStart w:id="1813" w:name="_Toc265580211"/>
      <w:bookmarkStart w:id="1814" w:name="_Toc265588293"/>
      <w:bookmarkStart w:id="1815" w:name="_Toc265588711"/>
      <w:r>
        <w:t>Subdivision 4</w:t>
      </w:r>
      <w:r>
        <w:rPr>
          <w:b w:val="0"/>
        </w:rPr>
        <w:t> — </w:t>
      </w:r>
      <w:r>
        <w:t>Provisions for Chapter 4</w:t>
      </w:r>
      <w:bookmarkEnd w:id="1806"/>
      <w:bookmarkEnd w:id="1807"/>
      <w:bookmarkEnd w:id="1808"/>
      <w:bookmarkEnd w:id="1809"/>
      <w:bookmarkEnd w:id="1810"/>
      <w:bookmarkEnd w:id="1811"/>
      <w:bookmarkEnd w:id="1812"/>
      <w:bookmarkEnd w:id="1813"/>
      <w:bookmarkEnd w:id="1814"/>
      <w:bookmarkEnd w:id="1815"/>
    </w:p>
    <w:p>
      <w:pPr>
        <w:pStyle w:val="yHeading5"/>
      </w:pPr>
      <w:bookmarkStart w:id="1816" w:name="_Toc201998565"/>
      <w:bookmarkStart w:id="1817" w:name="_Toc265588712"/>
      <w:bookmarkStart w:id="1818" w:name="_Toc265580212"/>
      <w:r>
        <w:rPr>
          <w:rStyle w:val="CharSClsNo"/>
        </w:rPr>
        <w:t>14</w:t>
      </w:r>
      <w:r>
        <w:t>.</w:t>
      </w:r>
      <w:r>
        <w:tab/>
        <w:t>Terms used in this Subdivision</w:t>
      </w:r>
      <w:bookmarkEnd w:id="1816"/>
      <w:bookmarkEnd w:id="1817"/>
      <w:bookmarkEnd w:id="1818"/>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1819" w:name="_Toc201998566"/>
      <w:bookmarkStart w:id="1820" w:name="_Toc265588713"/>
      <w:bookmarkStart w:id="1821" w:name="_Toc265580213"/>
      <w:r>
        <w:rPr>
          <w:rStyle w:val="CharSClsNo"/>
        </w:rPr>
        <w:t>15</w:t>
      </w:r>
      <w:r>
        <w:t>.</w:t>
      </w:r>
      <w:r>
        <w:tab/>
        <w:t>When Chapter 4 starts to apply</w:t>
      </w:r>
      <w:bookmarkEnd w:id="1819"/>
      <w:bookmarkEnd w:id="1820"/>
      <w:bookmarkEnd w:id="1821"/>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1822" w:name="_Toc201998567"/>
      <w:bookmarkStart w:id="1823" w:name="_Toc265588714"/>
      <w:bookmarkStart w:id="1824" w:name="_Toc265580214"/>
      <w:r>
        <w:rPr>
          <w:rStyle w:val="CharSClsNo"/>
        </w:rPr>
        <w:t>16</w:t>
      </w:r>
      <w:r>
        <w:t>.</w:t>
      </w:r>
      <w:r>
        <w:tab/>
        <w:t>Registration</w:t>
      </w:r>
      <w:bookmarkEnd w:id="1822"/>
      <w:bookmarkEnd w:id="1823"/>
      <w:bookmarkEnd w:id="1824"/>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1825" w:name="_Toc201998568"/>
      <w:bookmarkStart w:id="1826" w:name="_Toc201999824"/>
      <w:bookmarkStart w:id="1827" w:name="_Toc202172343"/>
      <w:bookmarkStart w:id="1828" w:name="_Toc202172751"/>
      <w:bookmarkStart w:id="1829" w:name="_Toc202428990"/>
      <w:bookmarkStart w:id="1830" w:name="_Toc264020850"/>
      <w:bookmarkStart w:id="1831" w:name="_Toc264025203"/>
      <w:bookmarkStart w:id="1832" w:name="_Toc265580215"/>
      <w:bookmarkStart w:id="1833" w:name="_Toc265588297"/>
      <w:bookmarkStart w:id="1834" w:name="_Toc265588715"/>
      <w:r>
        <w:t>Subdivision 5</w:t>
      </w:r>
      <w:r>
        <w:rPr>
          <w:b w:val="0"/>
        </w:rPr>
        <w:t> — </w:t>
      </w:r>
      <w:r>
        <w:t>Provisions for Chapter 5</w:t>
      </w:r>
      <w:bookmarkEnd w:id="1825"/>
      <w:bookmarkEnd w:id="1826"/>
      <w:bookmarkEnd w:id="1827"/>
      <w:bookmarkEnd w:id="1828"/>
      <w:bookmarkEnd w:id="1829"/>
      <w:bookmarkEnd w:id="1830"/>
      <w:bookmarkEnd w:id="1831"/>
      <w:bookmarkEnd w:id="1832"/>
      <w:bookmarkEnd w:id="1833"/>
      <w:bookmarkEnd w:id="1834"/>
    </w:p>
    <w:p>
      <w:pPr>
        <w:pStyle w:val="yHeading5"/>
      </w:pPr>
      <w:bookmarkStart w:id="1835" w:name="_Toc201998569"/>
      <w:bookmarkStart w:id="1836" w:name="_Toc265588716"/>
      <w:bookmarkStart w:id="1837" w:name="_Toc265580216"/>
      <w:r>
        <w:rPr>
          <w:rStyle w:val="CharSClsNo"/>
        </w:rPr>
        <w:t>17</w:t>
      </w:r>
      <w:r>
        <w:t>.</w:t>
      </w:r>
      <w:r>
        <w:tab/>
        <w:t>Terms used in this Subdivision</w:t>
      </w:r>
      <w:bookmarkEnd w:id="1835"/>
      <w:bookmarkEnd w:id="1836"/>
      <w:bookmarkEnd w:id="1837"/>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1838" w:name="_Toc201998570"/>
      <w:bookmarkStart w:id="1839" w:name="_Toc265588717"/>
      <w:bookmarkStart w:id="1840" w:name="_Toc265580217"/>
      <w:r>
        <w:rPr>
          <w:rStyle w:val="CharSClsNo"/>
        </w:rPr>
        <w:t>18</w:t>
      </w:r>
      <w:r>
        <w:t>.</w:t>
      </w:r>
      <w:r>
        <w:tab/>
        <w:t>When Chapter 5 starts to apply</w:t>
      </w:r>
      <w:bookmarkEnd w:id="1838"/>
      <w:bookmarkEnd w:id="1839"/>
      <w:bookmarkEnd w:id="1840"/>
    </w:p>
    <w:p>
      <w:pPr>
        <w:pStyle w:val="ySubsection"/>
      </w:pPr>
      <w:r>
        <w:tab/>
        <w:t>(1)</w:t>
      </w:r>
      <w:r>
        <w:tab/>
        <w:t>Chapter 5 applies to and in relation to the grant or transfer of a licence the application for which was made on or after 1 July 2008.</w:t>
      </w:r>
    </w:p>
    <w:p>
      <w:pPr>
        <w:pStyle w:val="ySubsection"/>
      </w:pPr>
      <w:r>
        <w:tab/>
        <w:t>(2)</w:t>
      </w:r>
      <w:r>
        <w:tab/>
        <w:t>Despite subclause (1), section 242(3) does not apply in respect of the grant of a licence if the vehicle was licensed or registered outside of Western Australia before 1 July 2008.</w:t>
      </w:r>
    </w:p>
    <w:p>
      <w:pPr>
        <w:pStyle w:val="yHeading5"/>
      </w:pPr>
      <w:bookmarkStart w:id="1841" w:name="_Toc201998571"/>
      <w:bookmarkStart w:id="1842" w:name="_Toc265588718"/>
      <w:bookmarkStart w:id="1843" w:name="_Toc265580218"/>
      <w:r>
        <w:rPr>
          <w:rStyle w:val="CharSClsNo"/>
        </w:rPr>
        <w:t>19</w:t>
      </w:r>
      <w:r>
        <w:t>.</w:t>
      </w:r>
      <w:r>
        <w:tab/>
        <w:t>Section 228 — definition of “new vehicle”</w:t>
      </w:r>
      <w:bookmarkEnd w:id="1841"/>
      <w:bookmarkEnd w:id="1842"/>
      <w:bookmarkEnd w:id="1843"/>
    </w:p>
    <w:p>
      <w:pPr>
        <w:pStyle w:val="ySubsection"/>
        <w:spacing w:before="100"/>
      </w:pPr>
      <w:r>
        <w:tab/>
      </w:r>
      <w:r>
        <w:tab/>
        <w:t xml:space="preserve">In section 228, in the definition of “new vehicle”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spacing w:before="120"/>
      </w:pPr>
      <w:bookmarkStart w:id="1844" w:name="_Toc201998572"/>
      <w:bookmarkStart w:id="1845" w:name="_Toc265588719"/>
      <w:bookmarkStart w:id="1846" w:name="_Toc265580219"/>
      <w:r>
        <w:rPr>
          <w:rStyle w:val="CharSClsNo"/>
        </w:rPr>
        <w:t>20</w:t>
      </w:r>
      <w:r>
        <w:t>.</w:t>
      </w:r>
      <w:r>
        <w:tab/>
        <w:t>Section 239 — specialised vehicles</w:t>
      </w:r>
      <w:bookmarkEnd w:id="1844"/>
      <w:bookmarkEnd w:id="1845"/>
      <w:bookmarkEnd w:id="1846"/>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spacing w:before="120"/>
      </w:pPr>
      <w:bookmarkStart w:id="1847" w:name="_Toc201998573"/>
      <w:bookmarkStart w:id="1848" w:name="_Toc265588720"/>
      <w:bookmarkStart w:id="1849" w:name="_Toc265580220"/>
      <w:r>
        <w:rPr>
          <w:rStyle w:val="CharSClsNo"/>
        </w:rPr>
        <w:t>21</w:t>
      </w:r>
      <w:r>
        <w:t>.</w:t>
      </w:r>
      <w:r>
        <w:tab/>
        <w:t>Section 247 — approval of philanthropic purposes</w:t>
      </w:r>
      <w:bookmarkEnd w:id="1847"/>
      <w:bookmarkEnd w:id="1848"/>
      <w:bookmarkEnd w:id="1849"/>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spacing w:before="120"/>
      </w:pPr>
      <w:bookmarkStart w:id="1850" w:name="_Toc201998574"/>
      <w:bookmarkStart w:id="1851" w:name="_Toc265588721"/>
      <w:bookmarkStart w:id="1852" w:name="_Toc265580221"/>
      <w:r>
        <w:rPr>
          <w:rStyle w:val="CharSClsNo"/>
        </w:rPr>
        <w:t>22</w:t>
      </w:r>
      <w:r>
        <w:t>.</w:t>
      </w:r>
      <w:r>
        <w:tab/>
        <w:t>Section 250 — transfer of vehicles: nominal duty</w:t>
      </w:r>
      <w:bookmarkEnd w:id="1850"/>
      <w:bookmarkEnd w:id="1851"/>
      <w:bookmarkEnd w:id="1852"/>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1853" w:name="_Toc201998575"/>
      <w:bookmarkStart w:id="1854" w:name="_Toc265588722"/>
      <w:bookmarkStart w:id="1855" w:name="_Toc265580222"/>
      <w:r>
        <w:rPr>
          <w:rStyle w:val="CharSClsNo"/>
        </w:rPr>
        <w:t>23</w:t>
      </w:r>
      <w:r>
        <w:t>.</w:t>
      </w:r>
      <w:r>
        <w:tab/>
        <w:t xml:space="preserve">Section 252 — statements made under the </w:t>
      </w:r>
      <w:r>
        <w:rPr>
          <w:i/>
          <w:iCs/>
        </w:rPr>
        <w:t>Stamp Act 1921</w:t>
      </w:r>
      <w:r>
        <w:t xml:space="preserve"> section 76H</w:t>
      </w:r>
      <w:bookmarkEnd w:id="1853"/>
      <w:bookmarkEnd w:id="1854"/>
      <w:bookmarkEnd w:id="1855"/>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1856" w:name="_Toc201998576"/>
      <w:bookmarkStart w:id="1857" w:name="_Toc201999832"/>
      <w:bookmarkStart w:id="1858" w:name="_Toc202172351"/>
      <w:bookmarkStart w:id="1859" w:name="_Toc202172759"/>
      <w:bookmarkStart w:id="1860" w:name="_Toc202428998"/>
      <w:bookmarkStart w:id="1861" w:name="_Toc264020858"/>
      <w:bookmarkStart w:id="1862" w:name="_Toc264025211"/>
      <w:bookmarkStart w:id="1863" w:name="_Toc265580223"/>
      <w:bookmarkStart w:id="1864" w:name="_Toc265588305"/>
      <w:bookmarkStart w:id="1865" w:name="_Toc265588723"/>
      <w:r>
        <w:t>Subdivision 6</w:t>
      </w:r>
      <w:r>
        <w:rPr>
          <w:b w:val="0"/>
        </w:rPr>
        <w:t> — </w:t>
      </w:r>
      <w:r>
        <w:t>Provisions for Chapter 7</w:t>
      </w:r>
      <w:bookmarkEnd w:id="1856"/>
      <w:bookmarkEnd w:id="1857"/>
      <w:bookmarkEnd w:id="1858"/>
      <w:bookmarkEnd w:id="1859"/>
      <w:bookmarkEnd w:id="1860"/>
      <w:bookmarkEnd w:id="1861"/>
      <w:bookmarkEnd w:id="1862"/>
      <w:bookmarkEnd w:id="1863"/>
      <w:bookmarkEnd w:id="1864"/>
      <w:bookmarkEnd w:id="1865"/>
    </w:p>
    <w:p>
      <w:pPr>
        <w:pStyle w:val="yHeading5"/>
      </w:pPr>
      <w:bookmarkStart w:id="1866" w:name="_Toc201998577"/>
      <w:bookmarkStart w:id="1867" w:name="_Toc265588724"/>
      <w:bookmarkStart w:id="1868" w:name="_Toc265580224"/>
      <w:r>
        <w:rPr>
          <w:rStyle w:val="CharSClsNo"/>
        </w:rPr>
        <w:t>24</w:t>
      </w:r>
      <w:r>
        <w:t>.</w:t>
      </w:r>
      <w:r>
        <w:tab/>
        <w:t>When Chapter 7 starts to apply</w:t>
      </w:r>
      <w:bookmarkEnd w:id="1866"/>
      <w:bookmarkEnd w:id="1867"/>
      <w:bookmarkEnd w:id="1868"/>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1869" w:name="_Toc201998578"/>
      <w:bookmarkStart w:id="1870" w:name="_Toc201999834"/>
      <w:bookmarkStart w:id="1871" w:name="_Toc202172353"/>
      <w:bookmarkStart w:id="1872" w:name="_Toc202172761"/>
      <w:bookmarkStart w:id="1873" w:name="_Toc202429000"/>
      <w:bookmarkStart w:id="1874" w:name="_Toc264020860"/>
      <w:bookmarkStart w:id="1875" w:name="_Toc264025213"/>
      <w:bookmarkStart w:id="1876" w:name="_Toc265580225"/>
      <w:bookmarkStart w:id="1877" w:name="_Toc265588307"/>
      <w:bookmarkStart w:id="1878" w:name="_Toc265588725"/>
      <w:r>
        <w:t>Subdivision 7</w:t>
      </w:r>
      <w:r>
        <w:rPr>
          <w:b w:val="0"/>
        </w:rPr>
        <w:t> — </w:t>
      </w:r>
      <w:r>
        <w:t>General</w:t>
      </w:r>
      <w:bookmarkEnd w:id="1869"/>
      <w:bookmarkEnd w:id="1870"/>
      <w:bookmarkEnd w:id="1871"/>
      <w:bookmarkEnd w:id="1872"/>
      <w:bookmarkEnd w:id="1873"/>
      <w:bookmarkEnd w:id="1874"/>
      <w:bookmarkEnd w:id="1875"/>
      <w:bookmarkEnd w:id="1876"/>
      <w:bookmarkEnd w:id="1877"/>
      <w:bookmarkEnd w:id="1878"/>
    </w:p>
    <w:p>
      <w:pPr>
        <w:pStyle w:val="yHeading5"/>
      </w:pPr>
      <w:bookmarkStart w:id="1879" w:name="_Toc201998579"/>
      <w:bookmarkStart w:id="1880" w:name="_Toc265588726"/>
      <w:bookmarkStart w:id="1881" w:name="_Toc265580226"/>
      <w:r>
        <w:rPr>
          <w:rStyle w:val="CharSClsNo"/>
        </w:rPr>
        <w:t>25</w:t>
      </w:r>
      <w:r>
        <w:t>.</w:t>
      </w:r>
      <w:r>
        <w:tab/>
        <w:t>Some references to duty include stamp duty</w:t>
      </w:r>
      <w:bookmarkEnd w:id="1879"/>
      <w:bookmarkEnd w:id="1880"/>
      <w:bookmarkEnd w:id="1881"/>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Subclauses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20"/>
      </w:pPr>
      <w:bookmarkStart w:id="1882" w:name="_Toc201998580"/>
      <w:bookmarkStart w:id="1883" w:name="_Toc265588727"/>
      <w:bookmarkStart w:id="1884" w:name="_Toc265580227"/>
      <w:r>
        <w:rPr>
          <w:rStyle w:val="CharSClsNo"/>
        </w:rPr>
        <w:t>26</w:t>
      </w:r>
      <w:r>
        <w:t>.</w:t>
      </w:r>
      <w:r>
        <w:tab/>
        <w:t>Application of some Chapter 8 provisions</w:t>
      </w:r>
      <w:bookmarkEnd w:id="1882"/>
      <w:bookmarkEnd w:id="1883"/>
      <w:bookmarkEnd w:id="1884"/>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20"/>
      </w:pPr>
      <w:bookmarkStart w:id="1885" w:name="_Toc201998581"/>
      <w:bookmarkStart w:id="1886" w:name="_Toc265588728"/>
      <w:bookmarkStart w:id="1887" w:name="_Toc265580228"/>
      <w:r>
        <w:rPr>
          <w:rStyle w:val="CharSClsNo"/>
        </w:rPr>
        <w:t>27</w:t>
      </w:r>
      <w:r>
        <w:t>.</w:t>
      </w:r>
      <w:r>
        <w:tab/>
        <w:t>Regulations</w:t>
      </w:r>
      <w:bookmarkEnd w:id="1885"/>
      <w:bookmarkEnd w:id="1886"/>
      <w:bookmarkEnd w:id="1887"/>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spacing w:before="120"/>
        <w:rPr>
          <w:i/>
          <w:iCs/>
        </w:rPr>
      </w:pPr>
      <w:bookmarkStart w:id="1888" w:name="_Toc201998582"/>
      <w:bookmarkStart w:id="1889" w:name="_Toc265588729"/>
      <w:bookmarkStart w:id="1890" w:name="_Toc265580229"/>
      <w:r>
        <w:rPr>
          <w:rStyle w:val="CharSClsNo"/>
        </w:rPr>
        <w:t>28</w:t>
      </w:r>
      <w:r>
        <w:t>.</w:t>
      </w:r>
      <w:r>
        <w:tab/>
        <w:t xml:space="preserve">References to the </w:t>
      </w:r>
      <w:r>
        <w:rPr>
          <w:i/>
          <w:iCs/>
        </w:rPr>
        <w:t>Stamp Act 1921</w:t>
      </w:r>
      <w:bookmarkEnd w:id="1888"/>
      <w:bookmarkEnd w:id="1889"/>
      <w:bookmarkEnd w:id="1890"/>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deleted by No. 30 of 2008 s. 4.]</w:t>
      </w:r>
    </w:p>
    <w:p>
      <w:pPr>
        <w:pStyle w:val="yHeading3"/>
      </w:pPr>
      <w:bookmarkStart w:id="1891" w:name="_Toc201998585"/>
      <w:bookmarkStart w:id="1892" w:name="_Toc201999841"/>
      <w:bookmarkStart w:id="1893" w:name="_Toc202172360"/>
      <w:bookmarkStart w:id="1894" w:name="_Toc202172768"/>
      <w:bookmarkStart w:id="1895" w:name="_Toc202429005"/>
      <w:bookmarkStart w:id="1896" w:name="_Toc264020865"/>
      <w:bookmarkStart w:id="1897" w:name="_Toc264025218"/>
      <w:bookmarkStart w:id="1898" w:name="_Toc265580230"/>
      <w:bookmarkStart w:id="1899" w:name="_Toc265588312"/>
      <w:bookmarkStart w:id="1900" w:name="_Toc265588730"/>
      <w:r>
        <w:rPr>
          <w:rStyle w:val="CharSDivNo"/>
        </w:rPr>
        <w:t>Division 3</w:t>
      </w:r>
      <w:r>
        <w:t> — </w:t>
      </w:r>
      <w:r>
        <w:rPr>
          <w:rStyle w:val="CharSDivText"/>
        </w:rPr>
        <w:t xml:space="preserve">Provisions for </w:t>
      </w:r>
      <w:r>
        <w:rPr>
          <w:rStyle w:val="CharSDivText"/>
          <w:i/>
          <w:iCs/>
        </w:rPr>
        <w:t>Duties Legislation Amendment Act 2008</w:t>
      </w:r>
      <w:r>
        <w:rPr>
          <w:rStyle w:val="CharSDivText"/>
        </w:rPr>
        <w:t xml:space="preserve"> Part 2 Division 2 Subdivision 3</w:t>
      </w:r>
      <w:bookmarkEnd w:id="1891"/>
      <w:bookmarkEnd w:id="1892"/>
      <w:bookmarkEnd w:id="1893"/>
      <w:bookmarkEnd w:id="1894"/>
      <w:bookmarkEnd w:id="1895"/>
      <w:bookmarkEnd w:id="1896"/>
      <w:bookmarkEnd w:id="1897"/>
      <w:bookmarkEnd w:id="1898"/>
      <w:bookmarkEnd w:id="1899"/>
      <w:bookmarkEnd w:id="1900"/>
    </w:p>
    <w:p>
      <w:pPr>
        <w:pStyle w:val="yHeading5"/>
      </w:pPr>
      <w:bookmarkStart w:id="1901" w:name="_Toc201998586"/>
      <w:bookmarkStart w:id="1902" w:name="_Toc265588731"/>
      <w:bookmarkStart w:id="1903" w:name="_Toc265580231"/>
      <w:r>
        <w:rPr>
          <w:rStyle w:val="CharSClsNo"/>
        </w:rPr>
        <w:t>30</w:t>
      </w:r>
      <w:r>
        <w:t>.</w:t>
      </w:r>
      <w:r>
        <w:tab/>
        <w:t>Residential property and business property and assets</w:t>
      </w:r>
      <w:bookmarkEnd w:id="1901"/>
      <w:bookmarkEnd w:id="1902"/>
      <w:bookmarkEnd w:id="1903"/>
    </w:p>
    <w:p>
      <w:pPr>
        <w:pStyle w:val="ySubsection"/>
      </w:pPr>
      <w:r>
        <w:tab/>
        <w:t>(1)</w:t>
      </w:r>
      <w:r>
        <w:tab/>
        <w:t xml:space="preserve">A provision of this Act as enacted before being amended or repealed by the </w:t>
      </w:r>
      <w:r>
        <w:rPr>
          <w:i/>
          <w:iCs/>
        </w:rPr>
        <w:t>Duties Legislation Amendment Act 2008</w:t>
      </w:r>
      <w:r>
        <w:t xml:space="preserve"> Part 2 Division 2 Subdivision 3 continues to apply in respect of a transaction that takes place before 1 July 2013.</w:t>
      </w:r>
    </w:p>
    <w:p>
      <w:pPr>
        <w:pStyle w:val="ySubsection"/>
        <w:keepNext/>
      </w:pPr>
      <w:r>
        <w:tab/>
        <w:t>(2)</w:t>
      </w:r>
      <w:r>
        <w:tab/>
        <w:t xml:space="preserve">A reference in this clause to the time when a transaction takes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Subsection"/>
      </w:pPr>
      <w:r>
        <w:tab/>
        <w:t>(3)</w:t>
      </w:r>
      <w:r>
        <w:tab/>
        <w:t xml:space="preserve">A transaction that takes place on or after 1 July 2013 is to be taken to have taken place before 1 July 2013 for the purposes of this clause if — </w:t>
      </w:r>
    </w:p>
    <w:p>
      <w:pPr>
        <w:pStyle w:val="yIndenta"/>
      </w:pPr>
      <w:r>
        <w:tab/>
        <w:t>(a)</w:t>
      </w:r>
      <w:r>
        <w:tab/>
        <w:t>the transaction is made in accordance with an arrangement made before 1 July 2013; and</w:t>
      </w:r>
    </w:p>
    <w:p>
      <w:pPr>
        <w:pStyle w:val="yIndenta"/>
      </w:pPr>
      <w:r>
        <w:tab/>
        <w:t>(b)</w:t>
      </w:r>
      <w:r>
        <w:tab/>
        <w:t xml:space="preserve">the sole or principal purpose of the arrangement was to defer the transaction until 1 July 2013 or later so that the provisions of this Act would not apply to the transaction until amended or repealed by the </w:t>
      </w:r>
      <w:r>
        <w:rPr>
          <w:i/>
          <w:iCs/>
        </w:rPr>
        <w:t>Duties Legislation Amendment Act 2008</w:t>
      </w:r>
      <w:r>
        <w:t xml:space="preserve"> Part 2 Division 2 Subdivision 3.</w:t>
      </w:r>
    </w:p>
    <w:p>
      <w:pPr>
        <w:pStyle w:val="yFootnotesection"/>
      </w:pPr>
      <w:r>
        <w:tab/>
        <w:t>[Clause 30 amended by No. 9 of 2010 s. 11.]</w:t>
      </w:r>
    </w:p>
    <w:p>
      <w:pPr>
        <w:pStyle w:val="yHeading3"/>
      </w:pPr>
      <w:bookmarkStart w:id="1904" w:name="_Toc264020867"/>
      <w:bookmarkStart w:id="1905" w:name="_Toc264025220"/>
      <w:bookmarkStart w:id="1906" w:name="_Toc265580232"/>
      <w:bookmarkStart w:id="1907" w:name="_Toc265588314"/>
      <w:bookmarkStart w:id="1908" w:name="_Toc265588732"/>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1904"/>
      <w:bookmarkEnd w:id="1905"/>
      <w:bookmarkEnd w:id="1906"/>
      <w:bookmarkEnd w:id="1907"/>
      <w:bookmarkEnd w:id="1908"/>
    </w:p>
    <w:p>
      <w:pPr>
        <w:pStyle w:val="yFootnoteheading"/>
      </w:pPr>
      <w:r>
        <w:tab/>
        <w:t>[Heading inserted by No. 9 of 2010 s. 6.]</w:t>
      </w:r>
    </w:p>
    <w:p>
      <w:pPr>
        <w:pStyle w:val="yHeading5"/>
      </w:pPr>
      <w:bookmarkStart w:id="1909" w:name="_Toc245271304"/>
      <w:bookmarkStart w:id="1910" w:name="_Toc262637395"/>
      <w:bookmarkStart w:id="1911" w:name="_Toc263944974"/>
      <w:bookmarkStart w:id="1912" w:name="_Toc265588733"/>
      <w:bookmarkStart w:id="1913" w:name="_Toc265580233"/>
      <w:r>
        <w:rPr>
          <w:rStyle w:val="CharSClsNo"/>
        </w:rPr>
        <w:t>31</w:t>
      </w:r>
      <w:r>
        <w:t>.</w:t>
      </w:r>
      <w:r>
        <w:rPr>
          <w:b w:val="0"/>
        </w:rPr>
        <w:tab/>
      </w:r>
      <w:r>
        <w:rPr>
          <w:bCs/>
        </w:rPr>
        <w:t>Terms used in this Division</w:t>
      </w:r>
      <w:bookmarkEnd w:id="1909"/>
      <w:bookmarkEnd w:id="1910"/>
      <w:bookmarkEnd w:id="1911"/>
      <w:bookmarkEnd w:id="1912"/>
      <w:bookmarkEnd w:id="1913"/>
    </w:p>
    <w:p>
      <w:pPr>
        <w:pStyle w:val="ySubsection"/>
      </w:pPr>
      <w:r>
        <w:tab/>
      </w:r>
      <w:r>
        <w:tab/>
        <w:t>When this Division uses a term that is used in Chapter 6, the term has the same meaning in this Division as it has in Chapter 6.</w:t>
      </w:r>
    </w:p>
    <w:p>
      <w:pPr>
        <w:pStyle w:val="yFootnotesection"/>
      </w:pPr>
      <w:bookmarkStart w:id="1914" w:name="_Toc245271305"/>
      <w:bookmarkStart w:id="1915" w:name="_Toc262637396"/>
      <w:bookmarkStart w:id="1916" w:name="_Toc263944975"/>
      <w:r>
        <w:tab/>
        <w:t>[Clause 31 inserted by No. 9 of 2010 s. 6.]</w:t>
      </w:r>
    </w:p>
    <w:p>
      <w:pPr>
        <w:pStyle w:val="yHeading5"/>
      </w:pPr>
      <w:bookmarkStart w:id="1917" w:name="_Toc265588734"/>
      <w:bookmarkStart w:id="1918" w:name="_Toc265580234"/>
      <w:r>
        <w:rPr>
          <w:rStyle w:val="CharSClsNo"/>
        </w:rPr>
        <w:t>32</w:t>
      </w:r>
      <w:r>
        <w:t>.</w:t>
      </w:r>
      <w:r>
        <w:rPr>
          <w:b w:val="0"/>
        </w:rPr>
        <w:tab/>
      </w:r>
      <w:r>
        <w:rPr>
          <w:bCs/>
        </w:rPr>
        <w:t>Certain relevant reconstruction transactions</w:t>
      </w:r>
      <w:bookmarkEnd w:id="1914"/>
      <w:bookmarkEnd w:id="1915"/>
      <w:bookmarkEnd w:id="1916"/>
      <w:bookmarkEnd w:id="1917"/>
      <w:bookmarkEnd w:id="1918"/>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nHeading2"/>
      </w:pPr>
      <w:bookmarkStart w:id="1919" w:name="DefinedTerms"/>
      <w:bookmarkStart w:id="1920" w:name="_Toc119746908"/>
      <w:bookmarkStart w:id="1921" w:name="_Toc196040507"/>
      <w:bookmarkStart w:id="1922" w:name="_Toc196111655"/>
      <w:bookmarkStart w:id="1923" w:name="_Toc201999843"/>
      <w:bookmarkStart w:id="1924" w:name="_Toc202172362"/>
      <w:bookmarkStart w:id="1925" w:name="_Toc202172770"/>
      <w:bookmarkStart w:id="1926" w:name="_Toc202429007"/>
      <w:bookmarkStart w:id="1927" w:name="_Toc264020870"/>
      <w:bookmarkStart w:id="1928" w:name="_Toc264025223"/>
      <w:bookmarkStart w:id="1929" w:name="_Toc265580235"/>
      <w:bookmarkStart w:id="1930" w:name="_Toc265588317"/>
      <w:bookmarkStart w:id="1931" w:name="_Toc265588735"/>
      <w:bookmarkEnd w:id="1919"/>
      <w:r>
        <w:t>Notes</w:t>
      </w:r>
      <w:bookmarkEnd w:id="1920"/>
      <w:bookmarkEnd w:id="1921"/>
      <w:bookmarkEnd w:id="1922"/>
      <w:bookmarkEnd w:id="1923"/>
      <w:bookmarkEnd w:id="1924"/>
      <w:bookmarkEnd w:id="1925"/>
      <w:bookmarkEnd w:id="1926"/>
      <w:bookmarkEnd w:id="1927"/>
      <w:bookmarkEnd w:id="1928"/>
      <w:bookmarkEnd w:id="1929"/>
      <w:bookmarkEnd w:id="1930"/>
      <w:bookmarkEnd w:id="1931"/>
    </w:p>
    <w:p>
      <w:pPr>
        <w:pStyle w:val="nSubsection"/>
        <w:rPr>
          <w:snapToGrid w:val="0"/>
        </w:rPr>
      </w:pPr>
      <w:bookmarkStart w:id="1932" w:name="_Toc512403484"/>
      <w:bookmarkStart w:id="1933" w:name="_Toc512403627"/>
      <w:bookmarkStart w:id="1934" w:name="_Toc36369351"/>
      <w:r>
        <w:rPr>
          <w:snapToGrid w:val="0"/>
          <w:vertAlign w:val="superscript"/>
        </w:rPr>
        <w:t>1</w:t>
      </w:r>
      <w:r>
        <w:rPr>
          <w:snapToGrid w:val="0"/>
        </w:rPr>
        <w:tab/>
        <w:t xml:space="preserve">This is a compilation of the </w:t>
      </w:r>
      <w:r>
        <w:rPr>
          <w:i/>
          <w:noProof/>
          <w:snapToGrid w:val="0"/>
        </w:rPr>
        <w:t>Duties Act 2008</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1935" w:name="_Toc265588736"/>
      <w:bookmarkStart w:id="1936" w:name="_Toc265580236"/>
      <w:r>
        <w:rPr>
          <w:snapToGrid w:val="0"/>
        </w:rPr>
        <w:t>Compilation table</w:t>
      </w:r>
      <w:bookmarkEnd w:id="1932"/>
      <w:bookmarkEnd w:id="1933"/>
      <w:bookmarkEnd w:id="1934"/>
      <w:bookmarkEnd w:id="1935"/>
      <w:bookmarkEnd w:id="193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68" w:type="dxa"/>
            <w:tcBorders>
              <w:top w:val="single" w:sz="4" w:space="0" w:color="auto"/>
              <w:bottom w:val="nil"/>
            </w:tcBorders>
          </w:tcPr>
          <w:p>
            <w:pPr>
              <w:pStyle w:val="nTable"/>
              <w:spacing w:after="40"/>
              <w:rPr>
                <w:iCs/>
                <w:sz w:val="19"/>
              </w:rPr>
            </w:pPr>
            <w:r>
              <w:rPr>
                <w:i/>
                <w:noProof/>
                <w:snapToGrid w:val="0"/>
                <w:sz w:val="19"/>
              </w:rPr>
              <w:t>Duties Act 2008</w:t>
            </w:r>
          </w:p>
        </w:tc>
        <w:tc>
          <w:tcPr>
            <w:tcW w:w="1134" w:type="dxa"/>
            <w:tcBorders>
              <w:top w:val="single" w:sz="4" w:space="0" w:color="auto"/>
              <w:bottom w:val="nil"/>
            </w:tcBorders>
          </w:tcPr>
          <w:p>
            <w:pPr>
              <w:pStyle w:val="nTable"/>
              <w:spacing w:after="40"/>
              <w:rPr>
                <w:sz w:val="19"/>
              </w:rPr>
            </w:pPr>
            <w:r>
              <w:rPr>
                <w:sz w:val="19"/>
              </w:rPr>
              <w:t>11 of 2008</w:t>
            </w:r>
          </w:p>
        </w:tc>
        <w:tc>
          <w:tcPr>
            <w:tcW w:w="1134" w:type="dxa"/>
            <w:tcBorders>
              <w:top w:val="single" w:sz="4" w:space="0" w:color="auto"/>
              <w:bottom w:val="nil"/>
            </w:tcBorders>
          </w:tcPr>
          <w:p>
            <w:pPr>
              <w:pStyle w:val="nTable"/>
              <w:spacing w:after="40"/>
              <w:rPr>
                <w:sz w:val="19"/>
              </w:rPr>
            </w:pPr>
            <w:r>
              <w:rPr>
                <w:sz w:val="19"/>
              </w:rPr>
              <w:t>14 Apr 2008</w:t>
            </w:r>
          </w:p>
        </w:tc>
        <w:tc>
          <w:tcPr>
            <w:tcW w:w="2552" w:type="dxa"/>
            <w:tcBorders>
              <w:top w:val="single" w:sz="4" w:space="0" w:color="auto"/>
              <w:bottom w:val="nil"/>
            </w:tcBorders>
          </w:tcPr>
          <w:p>
            <w:pPr>
              <w:pStyle w:val="nTable"/>
              <w:spacing w:after="40"/>
              <w:rPr>
                <w:sz w:val="19"/>
              </w:rPr>
            </w:pPr>
            <w:r>
              <w:rPr>
                <w:sz w:val="19"/>
              </w:rPr>
              <w:t xml:space="preserve">s. 1 and 2: 14 Apr 2008 </w:t>
            </w:r>
            <w:r>
              <w:rPr>
                <w:snapToGrid w:val="0"/>
                <w:sz w:val="19"/>
                <w:lang w:val="en-US"/>
              </w:rPr>
              <w:t>(see s. 2(a))</w:t>
            </w:r>
            <w:r>
              <w:rPr>
                <w:snapToGrid w:val="0"/>
                <w:sz w:val="19"/>
                <w:lang w:val="en-US"/>
              </w:rPr>
              <w:br/>
              <w:t>Act other than s. 1 and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w:t>
            </w:r>
            <w:r>
              <w:rPr>
                <w:snapToGrid w:val="0"/>
                <w:sz w:val="19"/>
                <w:lang w:val="en-US"/>
              </w:rPr>
              <w:t>Subdiv. 1 and 2</w:t>
            </w:r>
          </w:p>
        </w:tc>
        <w:tc>
          <w:tcPr>
            <w:tcW w:w="1134" w:type="dxa"/>
          </w:tcPr>
          <w:p>
            <w:pPr>
              <w:pStyle w:val="nTable"/>
              <w:spacing w:after="40"/>
              <w:rPr>
                <w:sz w:val="19"/>
              </w:rPr>
            </w:pPr>
            <w:r>
              <w:rPr>
                <w:sz w:val="19"/>
              </w:rPr>
              <w:t>12 of 2008 (as amended by No. 30 of 2008 s. 3)</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2008</w:t>
            </w:r>
            <w:r>
              <w:rPr>
                <w:iCs/>
                <w:noProof/>
                <w:snapToGrid w:val="0"/>
                <w:sz w:val="19"/>
              </w:rPr>
              <w:t xml:space="preserve"> Pt. 2 Div. 1 and Pt. 7 </w:t>
            </w:r>
          </w:p>
        </w:tc>
        <w:tc>
          <w:tcPr>
            <w:tcW w:w="1134"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Pt. 2 Div. 1: 27 Jun 2008 (see s. 2(2)(a))</w:t>
            </w:r>
            <w:r>
              <w:rPr>
                <w:snapToGrid w:val="0"/>
                <w:sz w:val="19"/>
                <w:lang w:val="en-US"/>
              </w:rPr>
              <w:br/>
              <w:t>Pt. 7: 1 Jul 2008 (see s. 2(1)(c))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 xml:space="preserve">Revenue Laws Amendment Act (No. 2) 2008 </w:t>
            </w:r>
            <w:r>
              <w:rPr>
                <w:iCs/>
                <w:noProof/>
                <w:snapToGrid w:val="0"/>
                <w:sz w:val="19"/>
              </w:rPr>
              <w:t>s. 32</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2010</w:t>
            </w:r>
            <w:r>
              <w:rPr>
                <w:iCs/>
                <w:noProof/>
                <w:snapToGrid w:val="0"/>
                <w:sz w:val="19"/>
              </w:rPr>
              <w:t xml:space="preserve"> Pt. 2 and Pt. 3 Div. 2</w:t>
            </w:r>
          </w:p>
        </w:tc>
        <w:tc>
          <w:tcPr>
            <w:tcW w:w="1134" w:type="dxa"/>
          </w:tcPr>
          <w:p>
            <w:pPr>
              <w:pStyle w:val="nTable"/>
              <w:spacing w:after="40"/>
              <w:rPr>
                <w:sz w:val="19"/>
              </w:rPr>
            </w:pPr>
            <w:r>
              <w:rPr>
                <w:sz w:val="19"/>
              </w:rPr>
              <w:t>9 of 2010</w:t>
            </w:r>
          </w:p>
        </w:tc>
        <w:tc>
          <w:tcPr>
            <w:tcW w:w="1134" w:type="dxa"/>
          </w:tcPr>
          <w:p>
            <w:pPr>
              <w:pStyle w:val="nTable"/>
              <w:spacing w:after="40"/>
              <w:rPr>
                <w:sz w:val="19"/>
              </w:rPr>
            </w:pPr>
            <w:r>
              <w:rPr>
                <w:sz w:val="19"/>
              </w:rPr>
              <w:t>10 Jun 2010</w:t>
            </w:r>
          </w:p>
        </w:tc>
        <w:tc>
          <w:tcPr>
            <w:tcW w:w="2552" w:type="dxa"/>
          </w:tcPr>
          <w:p>
            <w:pPr>
              <w:pStyle w:val="nTable"/>
              <w:spacing w:after="40"/>
              <w:rPr>
                <w:snapToGrid w:val="0"/>
                <w:sz w:val="19"/>
                <w:lang w:val="en-US"/>
              </w:rPr>
            </w:pPr>
            <w:r>
              <w:rPr>
                <w:snapToGrid w:val="0"/>
                <w:sz w:val="19"/>
                <w:lang w:val="en-US"/>
              </w:rPr>
              <w:t>s. 5 and 6: 10 Mar 2010 (see s. 2(d));</w:t>
            </w:r>
            <w:r>
              <w:rPr>
                <w:snapToGrid w:val="0"/>
                <w:sz w:val="19"/>
                <w:lang w:val="en-US"/>
              </w:rPr>
              <w:br/>
              <w:t>s. 3: 10 Jun 2010 (see s. 2(a));</w:t>
            </w:r>
            <w:r>
              <w:rPr>
                <w:snapToGrid w:val="0"/>
                <w:sz w:val="19"/>
                <w:lang w:val="en-US"/>
              </w:rPr>
              <w:br/>
              <w:t>Pt. 3 Div. 2: 10 Jun 2010 (see s. 2(b)(i));</w:t>
            </w:r>
            <w:r>
              <w:rPr>
                <w:snapToGrid w:val="0"/>
                <w:sz w:val="19"/>
                <w:lang w:val="en-US"/>
              </w:rPr>
              <w:br/>
              <w:t>s. 4: 11 Jun 2010 (see s. 2(c))</w:t>
            </w:r>
          </w:p>
        </w:tc>
      </w:tr>
      <w:tr>
        <w:tblPrEx>
          <w:tblBorders>
            <w:top w:val="none" w:sz="0" w:space="0" w:color="auto"/>
            <w:bottom w:val="none" w:sz="0" w:space="0" w:color="auto"/>
            <w:insideH w:val="none" w:sz="0" w:space="0" w:color="auto"/>
          </w:tblBorders>
        </w:tblPrEx>
        <w:trPr>
          <w:cantSplit/>
          <w:ins w:id="1937" w:author="svcMRProcess" w:date="2020-02-15T03:25:00Z"/>
        </w:trPr>
        <w:tc>
          <w:tcPr>
            <w:tcW w:w="2268" w:type="dxa"/>
            <w:tcBorders>
              <w:bottom w:val="single" w:sz="4" w:space="0" w:color="auto"/>
            </w:tcBorders>
          </w:tcPr>
          <w:p>
            <w:pPr>
              <w:pStyle w:val="nTable"/>
              <w:spacing w:after="40"/>
              <w:rPr>
                <w:ins w:id="1938" w:author="svcMRProcess" w:date="2020-02-15T03:25:00Z"/>
                <w:i/>
                <w:noProof/>
                <w:snapToGrid w:val="0"/>
                <w:sz w:val="19"/>
              </w:rPr>
            </w:pPr>
            <w:ins w:id="1939" w:author="svcMRProcess" w:date="2020-02-15T03:25:00Z">
              <w:r>
                <w:rPr>
                  <w:i/>
                  <w:noProof/>
                  <w:snapToGrid w:val="0"/>
                  <w:sz w:val="19"/>
                </w:rPr>
                <w:t>Revenue Laws Amendment and Repeal Act 2010</w:t>
              </w:r>
              <w:r>
                <w:rPr>
                  <w:iCs/>
                  <w:noProof/>
                  <w:snapToGrid w:val="0"/>
                  <w:sz w:val="19"/>
                </w:rPr>
                <w:t xml:space="preserve"> Pt. 2 (s. 3, 12-13 and 16)</w:t>
              </w:r>
            </w:ins>
          </w:p>
        </w:tc>
        <w:tc>
          <w:tcPr>
            <w:tcW w:w="1134" w:type="dxa"/>
            <w:tcBorders>
              <w:bottom w:val="single" w:sz="4" w:space="0" w:color="auto"/>
            </w:tcBorders>
          </w:tcPr>
          <w:p>
            <w:pPr>
              <w:pStyle w:val="nTable"/>
              <w:spacing w:after="40"/>
              <w:rPr>
                <w:ins w:id="1940" w:author="svcMRProcess" w:date="2020-02-15T03:25:00Z"/>
                <w:sz w:val="19"/>
              </w:rPr>
            </w:pPr>
            <w:ins w:id="1941" w:author="svcMRProcess" w:date="2020-02-15T03:25:00Z">
              <w:r>
                <w:rPr>
                  <w:sz w:val="19"/>
                </w:rPr>
                <w:t>17 of 2010</w:t>
              </w:r>
            </w:ins>
          </w:p>
        </w:tc>
        <w:tc>
          <w:tcPr>
            <w:tcW w:w="1134" w:type="dxa"/>
            <w:tcBorders>
              <w:bottom w:val="single" w:sz="4" w:space="0" w:color="auto"/>
            </w:tcBorders>
          </w:tcPr>
          <w:p>
            <w:pPr>
              <w:pStyle w:val="nTable"/>
              <w:spacing w:after="40"/>
              <w:rPr>
                <w:ins w:id="1942" w:author="svcMRProcess" w:date="2020-02-15T03:25:00Z"/>
                <w:sz w:val="19"/>
              </w:rPr>
            </w:pPr>
            <w:ins w:id="1943" w:author="svcMRProcess" w:date="2020-02-15T03:25:00Z">
              <w:r>
                <w:rPr>
                  <w:sz w:val="19"/>
                </w:rPr>
                <w:t>25 Jun 2010</w:t>
              </w:r>
            </w:ins>
          </w:p>
        </w:tc>
        <w:tc>
          <w:tcPr>
            <w:tcW w:w="2552" w:type="dxa"/>
            <w:tcBorders>
              <w:bottom w:val="single" w:sz="4" w:space="0" w:color="auto"/>
            </w:tcBorders>
          </w:tcPr>
          <w:p>
            <w:pPr>
              <w:pStyle w:val="nTable"/>
              <w:spacing w:after="40"/>
              <w:rPr>
                <w:ins w:id="1944" w:author="svcMRProcess" w:date="2020-02-15T03:25:00Z"/>
                <w:snapToGrid w:val="0"/>
                <w:sz w:val="19"/>
                <w:lang w:val="en-US"/>
              </w:rPr>
            </w:pPr>
            <w:ins w:id="1945" w:author="svcMRProcess" w:date="2020-02-15T03:25:00Z">
              <w:r>
                <w:rPr>
                  <w:snapToGrid w:val="0"/>
                  <w:sz w:val="19"/>
                  <w:lang w:val="en-US"/>
                </w:rPr>
                <w:t>s. 12: 1 Jul 2008 (see s. 2(c));</w:t>
              </w:r>
              <w:r>
                <w:rPr>
                  <w:snapToGrid w:val="0"/>
                  <w:sz w:val="19"/>
                  <w:lang w:val="en-US"/>
                </w:rPr>
                <w:br/>
                <w:t>s. 3, 13 and 16: 25 Jun 2010 (see s. 2(a))</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46" w:name="_Toc7405065"/>
      <w:bookmarkStart w:id="1947" w:name="_Toc181500909"/>
      <w:bookmarkStart w:id="1948" w:name="_Toc193100050"/>
      <w:bookmarkStart w:id="1949" w:name="_Toc265588737"/>
      <w:bookmarkStart w:id="1950" w:name="_Toc265580237"/>
      <w:r>
        <w:t>Provisions that have not come into operation</w:t>
      </w:r>
      <w:bookmarkEnd w:id="1946"/>
      <w:bookmarkEnd w:id="1947"/>
      <w:bookmarkEnd w:id="1948"/>
      <w:bookmarkEnd w:id="1949"/>
      <w:bookmarkEnd w:id="19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tcBorders>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Subdiv 3 </w:t>
            </w:r>
            <w:r>
              <w:rPr>
                <w:iCs/>
                <w:noProof/>
                <w:snapToGrid w:val="0"/>
                <w:sz w:val="19"/>
                <w:vertAlign w:val="superscript"/>
              </w:rPr>
              <w:t>2</w:t>
            </w:r>
          </w:p>
        </w:tc>
        <w:tc>
          <w:tcPr>
            <w:tcW w:w="1134" w:type="dxa"/>
            <w:tcBorders>
              <w:top w:val="single" w:sz="4" w:space="0" w:color="auto"/>
            </w:tcBorders>
          </w:tcPr>
          <w:p>
            <w:pPr>
              <w:pStyle w:val="nTable"/>
              <w:spacing w:after="40"/>
              <w:rPr>
                <w:sz w:val="19"/>
              </w:rPr>
            </w:pPr>
            <w:r>
              <w:rPr>
                <w:sz w:val="19"/>
              </w:rPr>
              <w:t>12 of 2008 (as amended by No. 9 of 2010 Pt. 3 Div. 1)</w:t>
            </w:r>
          </w:p>
        </w:tc>
        <w:tc>
          <w:tcPr>
            <w:tcW w:w="1134" w:type="dxa"/>
            <w:tcBorders>
              <w:top w:val="single" w:sz="4" w:space="0" w:color="auto"/>
            </w:tcBorders>
          </w:tcPr>
          <w:p>
            <w:pPr>
              <w:pStyle w:val="nTable"/>
              <w:spacing w:after="40"/>
              <w:rPr>
                <w:sz w:val="19"/>
              </w:rPr>
            </w:pPr>
            <w:r>
              <w:rPr>
                <w:sz w:val="19"/>
              </w:rPr>
              <w:t>14 Apr 2008</w:t>
            </w:r>
          </w:p>
        </w:tc>
        <w:tc>
          <w:tcPr>
            <w:tcW w:w="2552" w:type="dxa"/>
            <w:tcBorders>
              <w:top w:val="single" w:sz="4" w:space="0" w:color="auto"/>
            </w:tcBorders>
          </w:tcPr>
          <w:p>
            <w:pPr>
              <w:pStyle w:val="nTable"/>
              <w:spacing w:after="40"/>
              <w:rPr>
                <w:snapToGrid w:val="0"/>
                <w:sz w:val="19"/>
                <w:lang w:val="en-US"/>
              </w:rPr>
            </w:pPr>
            <w:r>
              <w:rPr>
                <w:snapToGrid w:val="0"/>
                <w:sz w:val="19"/>
                <w:lang w:val="en-US"/>
              </w:rPr>
              <w:t>1 Jul 2013 (see s. 2(c))</w:t>
            </w:r>
          </w:p>
        </w:tc>
      </w:tr>
      <w:tr>
        <w:trPr>
          <w:cantSplit/>
          <w:ins w:id="1951" w:author="svcMRProcess" w:date="2020-02-15T03:25:00Z"/>
        </w:trPr>
        <w:tc>
          <w:tcPr>
            <w:tcW w:w="2268" w:type="dxa"/>
            <w:tcBorders>
              <w:bottom w:val="single" w:sz="4" w:space="0" w:color="auto"/>
            </w:tcBorders>
          </w:tcPr>
          <w:p>
            <w:pPr>
              <w:pStyle w:val="nTable"/>
              <w:spacing w:after="40"/>
              <w:rPr>
                <w:ins w:id="1952" w:author="svcMRProcess" w:date="2020-02-15T03:25:00Z"/>
                <w:iCs/>
                <w:noProof/>
                <w:snapToGrid w:val="0"/>
                <w:sz w:val="19"/>
                <w:vertAlign w:val="superscript"/>
              </w:rPr>
            </w:pPr>
            <w:ins w:id="1953" w:author="svcMRProcess" w:date="2020-02-15T03:25:00Z">
              <w:r>
                <w:rPr>
                  <w:i/>
                  <w:noProof/>
                  <w:snapToGrid w:val="0"/>
                  <w:sz w:val="19"/>
                </w:rPr>
                <w:t>Revenue Laws Amendment and Repeal Act 2010</w:t>
              </w:r>
              <w:r>
                <w:rPr>
                  <w:iCs/>
                  <w:noProof/>
                  <w:snapToGrid w:val="0"/>
                  <w:sz w:val="19"/>
                </w:rPr>
                <w:t xml:space="preserve"> s. 4</w:t>
              </w:r>
              <w:r>
                <w:rPr>
                  <w:iCs/>
                  <w:noProof/>
                  <w:snapToGrid w:val="0"/>
                  <w:sz w:val="19"/>
                </w:rPr>
                <w:noBreakHyphen/>
                <w:t>11, 14 and 15 </w:t>
              </w:r>
              <w:r>
                <w:rPr>
                  <w:iCs/>
                  <w:noProof/>
                  <w:snapToGrid w:val="0"/>
                  <w:sz w:val="19"/>
                  <w:vertAlign w:val="superscript"/>
                </w:rPr>
                <w:t>3</w:t>
              </w:r>
            </w:ins>
          </w:p>
        </w:tc>
        <w:tc>
          <w:tcPr>
            <w:tcW w:w="1134" w:type="dxa"/>
            <w:tcBorders>
              <w:bottom w:val="single" w:sz="4" w:space="0" w:color="auto"/>
            </w:tcBorders>
          </w:tcPr>
          <w:p>
            <w:pPr>
              <w:pStyle w:val="nTable"/>
              <w:spacing w:after="40"/>
              <w:rPr>
                <w:ins w:id="1954" w:author="svcMRProcess" w:date="2020-02-15T03:25:00Z"/>
                <w:sz w:val="19"/>
              </w:rPr>
            </w:pPr>
            <w:ins w:id="1955" w:author="svcMRProcess" w:date="2020-02-15T03:25:00Z">
              <w:r>
                <w:rPr>
                  <w:sz w:val="19"/>
                </w:rPr>
                <w:t>17 of 2010</w:t>
              </w:r>
            </w:ins>
          </w:p>
        </w:tc>
        <w:tc>
          <w:tcPr>
            <w:tcW w:w="1134" w:type="dxa"/>
            <w:tcBorders>
              <w:bottom w:val="single" w:sz="4" w:space="0" w:color="auto"/>
            </w:tcBorders>
          </w:tcPr>
          <w:p>
            <w:pPr>
              <w:pStyle w:val="nTable"/>
              <w:spacing w:after="40"/>
              <w:rPr>
                <w:ins w:id="1956" w:author="svcMRProcess" w:date="2020-02-15T03:25:00Z"/>
                <w:sz w:val="19"/>
              </w:rPr>
            </w:pPr>
            <w:ins w:id="1957" w:author="svcMRProcess" w:date="2020-02-15T03:25:00Z">
              <w:r>
                <w:rPr>
                  <w:sz w:val="19"/>
                </w:rPr>
                <w:t>25 Jun 2010</w:t>
              </w:r>
            </w:ins>
          </w:p>
        </w:tc>
        <w:tc>
          <w:tcPr>
            <w:tcW w:w="2552" w:type="dxa"/>
            <w:tcBorders>
              <w:bottom w:val="single" w:sz="4" w:space="0" w:color="auto"/>
            </w:tcBorders>
          </w:tcPr>
          <w:p>
            <w:pPr>
              <w:pStyle w:val="nTable"/>
              <w:spacing w:after="40"/>
              <w:rPr>
                <w:ins w:id="1958" w:author="svcMRProcess" w:date="2020-02-15T03:25:00Z"/>
                <w:snapToGrid w:val="0"/>
                <w:sz w:val="19"/>
                <w:lang w:val="en-US"/>
              </w:rPr>
            </w:pPr>
            <w:ins w:id="1959" w:author="svcMRProcess" w:date="2020-02-15T03:25:00Z">
              <w:r>
                <w:rPr>
                  <w:snapToGrid w:val="0"/>
                  <w:sz w:val="19"/>
                  <w:lang w:val="en-US"/>
                </w:rPr>
                <w:t>To be proclaimed (see s. 2(d))</w:t>
              </w:r>
            </w:ins>
          </w:p>
        </w:tc>
      </w:tr>
    </w:tbl>
    <w:p>
      <w:pPr>
        <w:pStyle w:val="nSubsection"/>
        <w:keepLines/>
        <w:spacing w:before="120"/>
        <w:rPr>
          <w:snapToGrid w:val="0"/>
        </w:rPr>
      </w:pPr>
      <w:bookmarkStart w:id="1960" w:name="AutoSch"/>
      <w:bookmarkEnd w:id="1960"/>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 xml:space="preserve">Pt. 2 Div. 2 Subdiv. </w:t>
      </w:r>
      <w:del w:id="1961" w:author="svcMRProcess" w:date="2020-02-15T03:25:00Z">
        <w:r>
          <w:rPr>
            <w:iCs/>
            <w:snapToGrid w:val="0"/>
          </w:rPr>
          <w:delText>3 </w:delText>
        </w:r>
      </w:del>
      <w:ins w:id="1962" w:author="svcMRProcess" w:date="2020-02-15T03:25:00Z">
        <w:r>
          <w:rPr>
            <w:iCs/>
            <w:snapToGrid w:val="0"/>
          </w:rPr>
          <w:t xml:space="preserve">3 (as amended by No. 9 of 2010 s. 9) </w:t>
        </w:r>
      </w:ins>
      <w:r>
        <w:rPr>
          <w:snapToGrid w:val="0"/>
        </w:rPr>
        <w:t>had not come into operation.  It reads as follows:</w:t>
      </w:r>
    </w:p>
    <w:p>
      <w:pPr>
        <w:pStyle w:val="BlankOpen"/>
      </w:pPr>
    </w:p>
    <w:p>
      <w:pPr>
        <w:pStyle w:val="nzHeading2"/>
      </w:pPr>
      <w:bookmarkStart w:id="1963" w:name="_Toc183919873"/>
      <w:bookmarkStart w:id="1964" w:name="_Toc183921855"/>
      <w:bookmarkStart w:id="1965" w:name="_Toc183943082"/>
      <w:bookmarkStart w:id="1966" w:name="_Toc195420995"/>
      <w:r>
        <w:rPr>
          <w:rStyle w:val="CharPartNo"/>
        </w:rPr>
        <w:t>Part 2</w:t>
      </w:r>
      <w:r>
        <w:t> — </w:t>
      </w:r>
      <w:r>
        <w:rPr>
          <w:rStyle w:val="CharPartText"/>
        </w:rPr>
        <w:t>Amendments</w:t>
      </w:r>
      <w:bookmarkEnd w:id="1963"/>
      <w:bookmarkEnd w:id="1964"/>
      <w:bookmarkEnd w:id="1965"/>
      <w:bookmarkEnd w:id="1966"/>
    </w:p>
    <w:p>
      <w:pPr>
        <w:pStyle w:val="nzHeading3"/>
      </w:pPr>
      <w:bookmarkStart w:id="1967" w:name="_Toc183919901"/>
      <w:bookmarkStart w:id="1968" w:name="_Toc183921883"/>
      <w:bookmarkStart w:id="1969" w:name="_Toc183943110"/>
      <w:bookmarkStart w:id="1970" w:name="_Toc195421023"/>
      <w:r>
        <w:rPr>
          <w:rStyle w:val="CharDivNo"/>
        </w:rPr>
        <w:t>Division 2</w:t>
      </w:r>
      <w:r>
        <w:t> — </w:t>
      </w:r>
      <w:r>
        <w:rPr>
          <w:rStyle w:val="CharDivText"/>
          <w:i/>
          <w:iCs/>
        </w:rPr>
        <w:t>Duties Act 2008</w:t>
      </w:r>
      <w:r>
        <w:rPr>
          <w:rStyle w:val="CharDivText"/>
        </w:rPr>
        <w:t xml:space="preserve"> amended</w:t>
      </w:r>
      <w:bookmarkEnd w:id="1967"/>
      <w:bookmarkEnd w:id="1968"/>
      <w:bookmarkEnd w:id="1969"/>
      <w:bookmarkEnd w:id="1970"/>
    </w:p>
    <w:p>
      <w:pPr>
        <w:pStyle w:val="nzHeading4"/>
      </w:pPr>
      <w:bookmarkStart w:id="1971" w:name="_Toc183919906"/>
      <w:bookmarkStart w:id="1972" w:name="_Toc183921888"/>
      <w:bookmarkStart w:id="1973" w:name="_Toc183943115"/>
      <w:bookmarkStart w:id="1974" w:name="_Toc195421028"/>
      <w:r>
        <w:t>Subdivision 3 — Amendments commencing on 1 July 201</w:t>
      </w:r>
      <w:bookmarkEnd w:id="1971"/>
      <w:bookmarkEnd w:id="1972"/>
      <w:bookmarkEnd w:id="1973"/>
      <w:bookmarkEnd w:id="1974"/>
      <w:r>
        <w:t>3</w:t>
      </w:r>
    </w:p>
    <w:p>
      <w:pPr>
        <w:pStyle w:val="nzMiscellaneousHeading"/>
        <w:tabs>
          <w:tab w:val="left" w:pos="1440"/>
        </w:tabs>
        <w:jc w:val="left"/>
        <w:rPr>
          <w:i/>
          <w:iCs/>
          <w:sz w:val="18"/>
        </w:rPr>
      </w:pPr>
      <w:r>
        <w:tab/>
      </w:r>
      <w:r>
        <w:rPr>
          <w:i/>
          <w:iCs/>
          <w:sz w:val="18"/>
        </w:rPr>
        <w:t>[Heading amended by No. 9 of 2010 s. 9.]</w:t>
      </w:r>
    </w:p>
    <w:p>
      <w:pPr>
        <w:pStyle w:val="nzHeading5"/>
      </w:pPr>
      <w:bookmarkStart w:id="1975" w:name="_Toc195421029"/>
      <w:r>
        <w:rPr>
          <w:rStyle w:val="CharSectno"/>
        </w:rPr>
        <w:t>25</w:t>
      </w:r>
      <w:r>
        <w:t>.</w:t>
      </w:r>
      <w:r>
        <w:tab/>
        <w:t>Section 9 amended</w:t>
      </w:r>
      <w:bookmarkEnd w:id="1975"/>
    </w:p>
    <w:p>
      <w:pPr>
        <w:pStyle w:val="nzSubsection"/>
      </w:pPr>
      <w:r>
        <w:tab/>
      </w:r>
      <w:r>
        <w:tab/>
        <w:t>Section 9 is amended as follows:</w:t>
      </w:r>
    </w:p>
    <w:p>
      <w:pPr>
        <w:pStyle w:val="nzIndenta"/>
      </w:pPr>
      <w:r>
        <w:tab/>
        <w:t>(a)</w:t>
      </w:r>
      <w:r>
        <w:tab/>
        <w:t xml:space="preserve">in the definition of “unencumbered value” by deleting “36;” and inserting instead — </w:t>
      </w:r>
    </w:p>
    <w:p>
      <w:pPr>
        <w:pStyle w:val="nzIndenta"/>
      </w:pPr>
      <w:r>
        <w:tab/>
      </w:r>
      <w:r>
        <w:tab/>
        <w:t>“    36.    ”;</w:t>
      </w:r>
    </w:p>
    <w:p>
      <w:pPr>
        <w:pStyle w:val="nzIndenta"/>
      </w:pPr>
      <w:r>
        <w:tab/>
        <w:t>(b)</w:t>
      </w:r>
      <w:r>
        <w:tab/>
        <w:t>by deleting the definitions of “Western Australian business” and “Western Australian business asset”.</w:t>
      </w:r>
    </w:p>
    <w:p>
      <w:pPr>
        <w:pStyle w:val="nzHeading5"/>
      </w:pPr>
      <w:bookmarkStart w:id="1976" w:name="_Toc195421030"/>
      <w:r>
        <w:rPr>
          <w:rStyle w:val="CharSectno"/>
        </w:rPr>
        <w:t>26</w:t>
      </w:r>
      <w:r>
        <w:t>.</w:t>
      </w:r>
      <w:r>
        <w:tab/>
        <w:t>Section 15 amended</w:t>
      </w:r>
      <w:bookmarkEnd w:id="1976"/>
    </w:p>
    <w:p>
      <w:pPr>
        <w:pStyle w:val="nzSubsection"/>
      </w:pPr>
      <w:r>
        <w:tab/>
      </w:r>
      <w:r>
        <w:tab/>
        <w:t>Section 15 is amended as follows:</w:t>
      </w:r>
    </w:p>
    <w:p>
      <w:pPr>
        <w:pStyle w:val="nzIndenta"/>
      </w:pPr>
      <w:r>
        <w:tab/>
        <w:t>(a)</w:t>
      </w:r>
      <w:r>
        <w:tab/>
        <w:t xml:space="preserve">in paragraph (c) by deleting “Australia;” and inserting instead — </w:t>
      </w:r>
    </w:p>
    <w:p>
      <w:pPr>
        <w:pStyle w:val="nzIndenta"/>
      </w:pPr>
      <w:r>
        <w:tab/>
      </w:r>
      <w:r>
        <w:tab/>
        <w:t>“    Australia.    ”;</w:t>
      </w:r>
    </w:p>
    <w:p>
      <w:pPr>
        <w:pStyle w:val="nzIndenta"/>
      </w:pPr>
      <w:r>
        <w:tab/>
        <w:t>(b)</w:t>
      </w:r>
      <w:r>
        <w:tab/>
        <w:t>by deleting paragraph (d).</w:t>
      </w:r>
    </w:p>
    <w:p>
      <w:pPr>
        <w:pStyle w:val="nzHeading5"/>
      </w:pPr>
      <w:bookmarkStart w:id="1977" w:name="_Toc195421031"/>
      <w:r>
        <w:rPr>
          <w:rStyle w:val="CharSectno"/>
        </w:rPr>
        <w:t>27</w:t>
      </w:r>
      <w:r>
        <w:t>.</w:t>
      </w:r>
      <w:r>
        <w:tab/>
        <w:t>Section 17 amended</w:t>
      </w:r>
      <w:bookmarkEnd w:id="1977"/>
    </w:p>
    <w:p>
      <w:pPr>
        <w:pStyle w:val="nzSubsection"/>
      </w:pPr>
      <w:r>
        <w:tab/>
      </w:r>
      <w:r>
        <w:tab/>
        <w:t>Section 17(1) is amended as follows:</w:t>
      </w:r>
    </w:p>
    <w:p>
      <w:pPr>
        <w:pStyle w:val="nzIndenta"/>
      </w:pPr>
      <w:r>
        <w:tab/>
        <w:t>(a)</w:t>
      </w:r>
      <w:r>
        <w:tab/>
        <w:t xml:space="preserve">in paragraph (b)(iii) by deleting “subsection;” and inserting instead — </w:t>
      </w:r>
    </w:p>
    <w:p>
      <w:pPr>
        <w:pStyle w:val="nzIndenta"/>
      </w:pPr>
      <w:r>
        <w:tab/>
      </w:r>
      <w:r>
        <w:tab/>
        <w:t>“    subsection.    ”;</w:t>
      </w:r>
    </w:p>
    <w:p>
      <w:pPr>
        <w:pStyle w:val="nzIndenta"/>
      </w:pPr>
      <w:r>
        <w:tab/>
        <w:t>(b)</w:t>
      </w:r>
      <w:r>
        <w:tab/>
        <w:t>by deleting paragraph (c).</w:t>
      </w:r>
    </w:p>
    <w:p>
      <w:pPr>
        <w:pStyle w:val="nzHeading5"/>
      </w:pPr>
      <w:bookmarkStart w:id="1978" w:name="_Toc195421032"/>
      <w:r>
        <w:rPr>
          <w:rStyle w:val="CharSectno"/>
        </w:rPr>
        <w:t>28</w:t>
      </w:r>
      <w:r>
        <w:t>.</w:t>
      </w:r>
      <w:r>
        <w:tab/>
        <w:t>Chapter 2 Part 5 Division 5 repealed</w:t>
      </w:r>
      <w:bookmarkEnd w:id="1978"/>
    </w:p>
    <w:p>
      <w:pPr>
        <w:pStyle w:val="nzSubsection"/>
      </w:pPr>
      <w:r>
        <w:tab/>
      </w:r>
      <w:r>
        <w:tab/>
        <w:t>Chapter 2 Part 5 Division 5 is repealed.</w:t>
      </w:r>
    </w:p>
    <w:p>
      <w:pPr>
        <w:pStyle w:val="nzHeading5"/>
      </w:pPr>
      <w:bookmarkStart w:id="1979" w:name="_Toc195421033"/>
      <w:r>
        <w:rPr>
          <w:rStyle w:val="CharSectno"/>
        </w:rPr>
        <w:t>29</w:t>
      </w:r>
      <w:r>
        <w:t>.</w:t>
      </w:r>
      <w:r>
        <w:tab/>
        <w:t>Section 136 repealed</w:t>
      </w:r>
      <w:bookmarkEnd w:id="1979"/>
    </w:p>
    <w:p>
      <w:pPr>
        <w:pStyle w:val="nzSubsection"/>
      </w:pPr>
      <w:r>
        <w:tab/>
      </w:r>
      <w:r>
        <w:tab/>
        <w:t>Section 136 is repealed.</w:t>
      </w:r>
    </w:p>
    <w:p>
      <w:pPr>
        <w:pStyle w:val="nzHeading5"/>
      </w:pPr>
      <w:bookmarkStart w:id="1980" w:name="_Toc195421034"/>
      <w:r>
        <w:rPr>
          <w:rStyle w:val="CharSectno"/>
        </w:rPr>
        <w:t>30</w:t>
      </w:r>
      <w:r>
        <w:t>.</w:t>
      </w:r>
      <w:r>
        <w:tab/>
        <w:t>Chapter 2 Part 6 Division 4 repealed</w:t>
      </w:r>
      <w:bookmarkEnd w:id="1980"/>
    </w:p>
    <w:p>
      <w:pPr>
        <w:pStyle w:val="nzSubsection"/>
      </w:pPr>
      <w:r>
        <w:tab/>
      </w:r>
      <w:r>
        <w:tab/>
        <w:t>Chapter 2 Part 6 Division 4 is repealed.</w:t>
      </w:r>
    </w:p>
    <w:p>
      <w:pPr>
        <w:pStyle w:val="nzHeading5"/>
      </w:pPr>
      <w:bookmarkStart w:id="1981" w:name="_Toc195421035"/>
      <w:r>
        <w:rPr>
          <w:rStyle w:val="CharSectno"/>
        </w:rPr>
        <w:t>31</w:t>
      </w:r>
      <w:r>
        <w:t>.</w:t>
      </w:r>
      <w:r>
        <w:tab/>
        <w:t>Section 277 repealed</w:t>
      </w:r>
      <w:bookmarkEnd w:id="1981"/>
    </w:p>
    <w:p>
      <w:pPr>
        <w:pStyle w:val="nzSubsection"/>
      </w:pPr>
      <w:r>
        <w:tab/>
      </w:r>
      <w:r>
        <w:tab/>
        <w:t>Section 277 is repealed.</w:t>
      </w:r>
    </w:p>
    <w:p>
      <w:pPr>
        <w:pStyle w:val="nzHeading5"/>
      </w:pPr>
      <w:bookmarkStart w:id="1982" w:name="_Toc195421036"/>
      <w:r>
        <w:rPr>
          <w:rStyle w:val="CharSectno"/>
        </w:rPr>
        <w:t>32</w:t>
      </w:r>
      <w:r>
        <w:t>.</w:t>
      </w:r>
      <w:r>
        <w:tab/>
        <w:t>Schedule 2 Division 2 amended</w:t>
      </w:r>
      <w:bookmarkEnd w:id="1982"/>
    </w:p>
    <w:p>
      <w:pPr>
        <w:pStyle w:val="nzSubsection"/>
      </w:pPr>
      <w:r>
        <w:tab/>
      </w:r>
      <w:r>
        <w:tab/>
        <w:t>Schedule 2 Division 2 is amended by deleting the item relating to section 147.</w:t>
      </w:r>
    </w:p>
    <w:p>
      <w:pPr>
        <w:pStyle w:val="nSubsection"/>
        <w:rPr>
          <w:ins w:id="1983" w:author="svcMRProcess" w:date="2020-02-15T03:25:00Z"/>
        </w:rPr>
      </w:pPr>
      <w:r>
        <w:rPr>
          <w:vertAlign w:val="superscript"/>
        </w:rPr>
        <w:t>3</w:t>
      </w:r>
      <w:r>
        <w:tab/>
      </w:r>
      <w:del w:id="1984" w:author="svcMRProcess" w:date="2020-02-15T03:25:00Z">
        <w:r>
          <w:delText xml:space="preserve">Section 70 has a retrospective amendment, commencement </w:delText>
        </w:r>
      </w:del>
      <w:ins w:id="1985" w:author="svcMRProcess" w:date="2020-02-15T03:25:00Z">
        <w:r>
          <w:t xml:space="preserve">On the </w:t>
        </w:r>
      </w:ins>
      <w:r>
        <w:t xml:space="preserve">date </w:t>
      </w:r>
      <w:del w:id="1986" w:author="svcMRProcess" w:date="2020-02-15T03:25:00Z">
        <w:r>
          <w:delText>effective from 1 Jul 2008; see</w:delText>
        </w:r>
      </w:del>
      <w:ins w:id="1987" w:author="svcMRProcess" w:date="2020-02-15T03:25:00Z">
        <w:r>
          <w:t>as at which this compilation was prepared,</w:t>
        </w:r>
      </w:ins>
      <w:r>
        <w:t xml:space="preserve"> </w:t>
      </w:r>
      <w:r>
        <w:rPr>
          <w:snapToGrid w:val="0"/>
        </w:rPr>
        <w:t xml:space="preserve">the </w:t>
      </w:r>
      <w:r>
        <w:rPr>
          <w:i/>
          <w:iCs/>
        </w:rPr>
        <w:t>Revenue Laws Amendment and Repeal Act 2010</w:t>
      </w:r>
      <w:r>
        <w:t xml:space="preserve"> s.</w:t>
      </w:r>
      <w:del w:id="1988" w:author="svcMRProcess" w:date="2020-02-15T03:25:00Z">
        <w:r>
          <w:delText> </w:delText>
        </w:r>
      </w:del>
      <w:ins w:id="1989" w:author="svcMRProcess" w:date="2020-02-15T03:25:00Z">
        <w:r>
          <w:t xml:space="preserve"> 4</w:t>
        </w:r>
        <w:r>
          <w:noBreakHyphen/>
          <w:t>11, 14 and 15 had not come into operation.  They reads as follows:</w:t>
        </w:r>
      </w:ins>
    </w:p>
    <w:p>
      <w:pPr>
        <w:pStyle w:val="BlankOpen"/>
        <w:rPr>
          <w:ins w:id="1990" w:author="svcMRProcess" w:date="2020-02-15T03:25:00Z"/>
        </w:rPr>
      </w:pPr>
    </w:p>
    <w:p>
      <w:pPr>
        <w:pStyle w:val="nzHeading3"/>
        <w:rPr>
          <w:ins w:id="1991" w:author="svcMRProcess" w:date="2020-02-15T03:25:00Z"/>
        </w:rPr>
      </w:pPr>
      <w:bookmarkStart w:id="1992" w:name="_Toc253578602"/>
      <w:bookmarkStart w:id="1993" w:name="_Toc253578865"/>
      <w:bookmarkStart w:id="1994" w:name="_Toc264547359"/>
      <w:bookmarkStart w:id="1995" w:name="_Toc265490677"/>
      <w:bookmarkStart w:id="1996" w:name="_Toc265499820"/>
      <w:ins w:id="1997" w:author="svcMRProcess" w:date="2020-02-15T03:25:00Z">
        <w:r>
          <w:rPr>
            <w:rStyle w:val="CharDivNo"/>
          </w:rPr>
          <w:t>Division 2</w:t>
        </w:r>
        <w:r>
          <w:t> — </w:t>
        </w:r>
        <w:r>
          <w:rPr>
            <w:rStyle w:val="CharDivText"/>
          </w:rPr>
          <w:t>Amendments about conditional agreements</w:t>
        </w:r>
        <w:bookmarkEnd w:id="1992"/>
        <w:bookmarkEnd w:id="1993"/>
        <w:bookmarkEnd w:id="1994"/>
        <w:bookmarkEnd w:id="1995"/>
        <w:bookmarkEnd w:id="1996"/>
      </w:ins>
    </w:p>
    <w:p>
      <w:pPr>
        <w:pStyle w:val="nzHeading5"/>
        <w:rPr>
          <w:ins w:id="1998" w:author="svcMRProcess" w:date="2020-02-15T03:25:00Z"/>
        </w:rPr>
      </w:pPr>
      <w:bookmarkStart w:id="1999" w:name="_Toc264547360"/>
      <w:bookmarkStart w:id="2000" w:name="_Toc265490678"/>
      <w:bookmarkStart w:id="2001" w:name="_Toc265499821"/>
      <w:ins w:id="2002" w:author="svcMRProcess" w:date="2020-02-15T03:25:00Z">
        <w:r>
          <w:rPr>
            <w:rStyle w:val="CharSectno"/>
          </w:rPr>
          <w:t>4</w:t>
        </w:r>
        <w:r>
          <w:t>.</w:t>
        </w:r>
        <w:r>
          <w:tab/>
          <w:t>Section 9 amended</w:t>
        </w:r>
        <w:bookmarkEnd w:id="1999"/>
        <w:bookmarkEnd w:id="2000"/>
        <w:bookmarkEnd w:id="2001"/>
      </w:ins>
    </w:p>
    <w:p>
      <w:pPr>
        <w:pStyle w:val="nzSubsection"/>
        <w:rPr>
          <w:ins w:id="2003" w:author="svcMRProcess" w:date="2020-02-15T03:25:00Z"/>
        </w:rPr>
      </w:pPr>
      <w:ins w:id="2004" w:author="svcMRProcess" w:date="2020-02-15T03:25:00Z">
        <w:r>
          <w:tab/>
          <w:t>(1)</w:t>
        </w:r>
        <w:r>
          <w:tab/>
          <w:t>In section 9 delete the definitions of:</w:t>
        </w:r>
      </w:ins>
    </w:p>
    <w:p>
      <w:pPr>
        <w:pStyle w:val="DeleteListSub"/>
        <w:ind w:left="1440"/>
        <w:rPr>
          <w:ins w:id="2005" w:author="svcMRProcess" w:date="2020-02-15T03:25:00Z"/>
          <w:b/>
          <w:i/>
          <w:sz w:val="20"/>
        </w:rPr>
      </w:pPr>
      <w:ins w:id="2006" w:author="svcMRProcess" w:date="2020-02-15T03:25:00Z">
        <w:r>
          <w:rPr>
            <w:b/>
            <w:i/>
            <w:sz w:val="20"/>
          </w:rPr>
          <w:t>off</w:t>
        </w:r>
        <w:r>
          <w:rPr>
            <w:b/>
            <w:i/>
            <w:sz w:val="20"/>
          </w:rPr>
          <w:noBreakHyphen/>
          <w:t>the</w:t>
        </w:r>
        <w:r>
          <w:rPr>
            <w:b/>
            <w:i/>
            <w:sz w:val="20"/>
          </w:rPr>
          <w:noBreakHyphen/>
          <w:t>plan conditional agreement</w:t>
        </w:r>
      </w:ins>
    </w:p>
    <w:p>
      <w:pPr>
        <w:pStyle w:val="DeleteListSub"/>
        <w:ind w:left="1440"/>
        <w:rPr>
          <w:ins w:id="2007" w:author="svcMRProcess" w:date="2020-02-15T03:25:00Z"/>
          <w:sz w:val="20"/>
        </w:rPr>
      </w:pPr>
      <w:ins w:id="2008" w:author="svcMRProcess" w:date="2020-02-15T03:25:00Z">
        <w:r>
          <w:rPr>
            <w:b/>
            <w:i/>
            <w:sz w:val="20"/>
          </w:rPr>
          <w:t>unconditional</w:t>
        </w:r>
      </w:ins>
    </w:p>
    <w:p>
      <w:pPr>
        <w:pStyle w:val="nzSubsection"/>
        <w:rPr>
          <w:ins w:id="2009" w:author="svcMRProcess" w:date="2020-02-15T03:25:00Z"/>
        </w:rPr>
      </w:pPr>
      <w:ins w:id="2010" w:author="svcMRProcess" w:date="2020-02-15T03:25:00Z">
        <w:r>
          <w:tab/>
          <w:t>(2)</w:t>
        </w:r>
        <w:r>
          <w:tab/>
          <w:t>In section 9 insert in alphabetical order:</w:t>
        </w:r>
      </w:ins>
    </w:p>
    <w:p>
      <w:pPr>
        <w:pStyle w:val="BlankOpen"/>
        <w:rPr>
          <w:ins w:id="2011" w:author="svcMRProcess" w:date="2020-02-15T03:25:00Z"/>
        </w:rPr>
      </w:pPr>
    </w:p>
    <w:p>
      <w:pPr>
        <w:pStyle w:val="nzDefstart"/>
        <w:rPr>
          <w:ins w:id="2012" w:author="svcMRProcess" w:date="2020-02-15T03:25:00Z"/>
        </w:rPr>
      </w:pPr>
      <w:ins w:id="2013" w:author="svcMRProcess" w:date="2020-02-15T03:25:00Z">
        <w:r>
          <w:tab/>
        </w:r>
        <w:r>
          <w:rPr>
            <w:rStyle w:val="CharDefText"/>
          </w:rPr>
          <w:t>issue of title conditional agreement</w:t>
        </w:r>
        <w:r>
          <w:t xml:space="preserve"> has the meaning given in section 90;</w:t>
        </w:r>
      </w:ins>
    </w:p>
    <w:p>
      <w:pPr>
        <w:pStyle w:val="BlankClose"/>
        <w:rPr>
          <w:ins w:id="2014" w:author="svcMRProcess" w:date="2020-02-15T03:25:00Z"/>
        </w:rPr>
      </w:pPr>
    </w:p>
    <w:p>
      <w:pPr>
        <w:pStyle w:val="nzSubsection"/>
        <w:rPr>
          <w:ins w:id="2015" w:author="svcMRProcess" w:date="2020-02-15T03:25:00Z"/>
        </w:rPr>
      </w:pPr>
      <w:ins w:id="2016" w:author="svcMRProcess" w:date="2020-02-15T03:25:00Z">
        <w:r>
          <w:tab/>
          <w:t>(3)</w:t>
        </w:r>
        <w:r>
          <w:tab/>
          <w:t xml:space="preserve">In section 9 in the definition of </w:t>
        </w:r>
        <w:r>
          <w:rPr>
            <w:b/>
            <w:i/>
          </w:rPr>
          <w:t>general conditional agreement</w:t>
        </w:r>
        <w:r>
          <w:t xml:space="preserve"> delete paragraph (c) and insert:</w:t>
        </w:r>
      </w:ins>
    </w:p>
    <w:p>
      <w:pPr>
        <w:pStyle w:val="BlankOpen"/>
        <w:rPr>
          <w:ins w:id="2017" w:author="svcMRProcess" w:date="2020-02-15T03:25:00Z"/>
        </w:rPr>
      </w:pPr>
    </w:p>
    <w:p>
      <w:pPr>
        <w:pStyle w:val="nzDefpara"/>
        <w:rPr>
          <w:ins w:id="2018" w:author="svcMRProcess" w:date="2020-02-15T03:25:00Z"/>
        </w:rPr>
      </w:pPr>
      <w:ins w:id="2019" w:author="svcMRProcess" w:date="2020-02-15T03:25:00Z">
        <w:r>
          <w:tab/>
          <w:t>(c)</w:t>
        </w:r>
        <w:r>
          <w:tab/>
          <w:t>an issue of title conditional agreement;</w:t>
        </w:r>
      </w:ins>
    </w:p>
    <w:p>
      <w:pPr>
        <w:pStyle w:val="BlankOpen"/>
        <w:rPr>
          <w:ins w:id="2020" w:author="svcMRProcess" w:date="2020-02-15T03:25:00Z"/>
        </w:rPr>
      </w:pPr>
    </w:p>
    <w:p>
      <w:pPr>
        <w:pStyle w:val="nzSubsection"/>
        <w:rPr>
          <w:ins w:id="2021" w:author="svcMRProcess" w:date="2020-02-15T03:25:00Z"/>
        </w:rPr>
      </w:pPr>
      <w:ins w:id="2022" w:author="svcMRProcess" w:date="2020-02-15T03:25:00Z">
        <w:r>
          <w:tab/>
          <w:t>(4)</w:t>
        </w:r>
        <w:r>
          <w:tab/>
          <w:t xml:space="preserve">In section 9 in the definition of </w:t>
        </w:r>
        <w:r>
          <w:rPr>
            <w:b/>
            <w:i/>
          </w:rPr>
          <w:t>terminated on relevant grounds</w:t>
        </w:r>
        <w:r>
          <w:t xml:space="preserve"> delete “section 87(3)” and insert:</w:t>
        </w:r>
      </w:ins>
    </w:p>
    <w:p>
      <w:pPr>
        <w:pStyle w:val="BlankOpen"/>
        <w:rPr>
          <w:ins w:id="2023" w:author="svcMRProcess" w:date="2020-02-15T03:25:00Z"/>
        </w:rPr>
      </w:pPr>
    </w:p>
    <w:p>
      <w:pPr>
        <w:pStyle w:val="nzSubsection"/>
        <w:rPr>
          <w:ins w:id="2024" w:author="svcMRProcess" w:date="2020-02-15T03:25:00Z"/>
        </w:rPr>
      </w:pPr>
      <w:ins w:id="2025" w:author="svcMRProcess" w:date="2020-02-15T03:25:00Z">
        <w:r>
          <w:tab/>
        </w:r>
        <w:r>
          <w:tab/>
          <w:t>section 88A(2)</w:t>
        </w:r>
      </w:ins>
    </w:p>
    <w:p>
      <w:pPr>
        <w:pStyle w:val="BlankClose"/>
        <w:rPr>
          <w:ins w:id="2026" w:author="svcMRProcess" w:date="2020-02-15T03:25:00Z"/>
        </w:rPr>
      </w:pPr>
    </w:p>
    <w:p>
      <w:pPr>
        <w:pStyle w:val="nzHeading5"/>
        <w:rPr>
          <w:ins w:id="2027" w:author="svcMRProcess" w:date="2020-02-15T03:25:00Z"/>
        </w:rPr>
      </w:pPr>
      <w:bookmarkStart w:id="2028" w:name="_Toc264547361"/>
      <w:bookmarkStart w:id="2029" w:name="_Toc265490679"/>
      <w:bookmarkStart w:id="2030" w:name="_Toc265499822"/>
      <w:ins w:id="2031" w:author="svcMRProcess" w:date="2020-02-15T03:25:00Z">
        <w:r>
          <w:rPr>
            <w:rStyle w:val="CharSectno"/>
          </w:rPr>
          <w:t>5</w:t>
        </w:r>
        <w:r>
          <w:t>.</w:t>
        </w:r>
        <w:r>
          <w:tab/>
          <w:t>Section 19 amended</w:t>
        </w:r>
        <w:bookmarkEnd w:id="2028"/>
        <w:bookmarkEnd w:id="2029"/>
        <w:bookmarkEnd w:id="2030"/>
      </w:ins>
    </w:p>
    <w:p>
      <w:pPr>
        <w:pStyle w:val="nzSubsection"/>
        <w:rPr>
          <w:ins w:id="2032" w:author="svcMRProcess" w:date="2020-02-15T03:25:00Z"/>
        </w:rPr>
      </w:pPr>
      <w:ins w:id="2033" w:author="svcMRProcess" w:date="2020-02-15T03:25:00Z">
        <w:r>
          <w:tab/>
        </w:r>
        <w:r>
          <w:tab/>
          <w:t>In section 19(2) delete “a transaction record for it is required to be lodged under section 23” and insert:</w:t>
        </w:r>
      </w:ins>
    </w:p>
    <w:p>
      <w:pPr>
        <w:pStyle w:val="BlankOpen"/>
        <w:rPr>
          <w:ins w:id="2034" w:author="svcMRProcess" w:date="2020-02-15T03:25:00Z"/>
        </w:rPr>
      </w:pPr>
    </w:p>
    <w:p>
      <w:pPr>
        <w:pStyle w:val="nzSubsection"/>
        <w:rPr>
          <w:ins w:id="2035" w:author="svcMRProcess" w:date="2020-02-15T03:25:00Z"/>
        </w:rPr>
      </w:pPr>
      <w:ins w:id="2036" w:author="svcMRProcess" w:date="2020-02-15T03:25:00Z">
        <w:r>
          <w:tab/>
        </w:r>
        <w:r>
          <w:tab/>
          <w:t>an instrument is required to be lodged under section 23 in respect of the agreement</w:t>
        </w:r>
      </w:ins>
    </w:p>
    <w:p>
      <w:pPr>
        <w:pStyle w:val="BlankClose"/>
        <w:keepNext/>
        <w:rPr>
          <w:ins w:id="2037" w:author="svcMRProcess" w:date="2020-02-15T03:25:00Z"/>
        </w:rPr>
      </w:pPr>
    </w:p>
    <w:p>
      <w:pPr>
        <w:pStyle w:val="nzHeading5"/>
        <w:rPr>
          <w:ins w:id="2038" w:author="svcMRProcess" w:date="2020-02-15T03:25:00Z"/>
        </w:rPr>
      </w:pPr>
      <w:bookmarkStart w:id="2039" w:name="_Toc264547362"/>
      <w:bookmarkStart w:id="2040" w:name="_Toc265490680"/>
      <w:bookmarkStart w:id="2041" w:name="_Toc265499823"/>
      <w:ins w:id="2042" w:author="svcMRProcess" w:date="2020-02-15T03:25:00Z">
        <w:r>
          <w:rPr>
            <w:rStyle w:val="CharSectno"/>
          </w:rPr>
          <w:t>6</w:t>
        </w:r>
        <w:r>
          <w:t>.</w:t>
        </w:r>
        <w:r>
          <w:tab/>
          <w:t>Section 23 amended</w:t>
        </w:r>
        <w:bookmarkEnd w:id="2039"/>
        <w:bookmarkEnd w:id="2040"/>
        <w:bookmarkEnd w:id="2041"/>
      </w:ins>
    </w:p>
    <w:p>
      <w:pPr>
        <w:pStyle w:val="nzSubsection"/>
        <w:rPr>
          <w:ins w:id="2043" w:author="svcMRProcess" w:date="2020-02-15T03:25:00Z"/>
        </w:rPr>
      </w:pPr>
      <w:ins w:id="2044" w:author="svcMRProcess" w:date="2020-02-15T03:25:00Z">
        <w:r>
          <w:tab/>
          <w:t>(1)</w:t>
        </w:r>
        <w:r>
          <w:tab/>
          <w:t>In section 23(1) delete the passage that begins with “within —” and continues to the end of paragraph (d) and insert:</w:t>
        </w:r>
      </w:ins>
    </w:p>
    <w:p>
      <w:pPr>
        <w:pStyle w:val="BlankOpen"/>
        <w:rPr>
          <w:ins w:id="2045" w:author="svcMRProcess" w:date="2020-02-15T03:25:00Z"/>
        </w:rPr>
      </w:pPr>
    </w:p>
    <w:p>
      <w:pPr>
        <w:pStyle w:val="nzSubsection"/>
        <w:rPr>
          <w:ins w:id="2046" w:author="svcMRProcess" w:date="2020-02-15T03:25:00Z"/>
        </w:rPr>
      </w:pPr>
      <w:ins w:id="2047" w:author="svcMRProcess" w:date="2020-02-15T03:25:00Z">
        <w:r>
          <w:tab/>
        </w:r>
        <w:r>
          <w:tab/>
          <w:t>within 2 months after the day on which liability for duty on the transaction arises.</w:t>
        </w:r>
      </w:ins>
    </w:p>
    <w:p>
      <w:pPr>
        <w:pStyle w:val="BlankClose"/>
        <w:rPr>
          <w:ins w:id="2048" w:author="svcMRProcess" w:date="2020-02-15T03:25:00Z"/>
        </w:rPr>
      </w:pPr>
    </w:p>
    <w:p>
      <w:pPr>
        <w:pStyle w:val="nzSubsection"/>
        <w:rPr>
          <w:ins w:id="2049" w:author="svcMRProcess" w:date="2020-02-15T03:25:00Z"/>
        </w:rPr>
      </w:pPr>
      <w:ins w:id="2050" w:author="svcMRProcess" w:date="2020-02-15T03:25:00Z">
        <w:r>
          <w:tab/>
          <w:t>(2)</w:t>
        </w:r>
        <w:r>
          <w:tab/>
          <w:t>Delete section 23(3).</w:t>
        </w:r>
      </w:ins>
    </w:p>
    <w:p>
      <w:pPr>
        <w:pStyle w:val="nzHeading5"/>
        <w:rPr>
          <w:ins w:id="2051" w:author="svcMRProcess" w:date="2020-02-15T03:25:00Z"/>
        </w:rPr>
      </w:pPr>
      <w:bookmarkStart w:id="2052" w:name="_Toc264547363"/>
      <w:bookmarkStart w:id="2053" w:name="_Toc265490681"/>
      <w:bookmarkStart w:id="2054" w:name="_Toc265499824"/>
      <w:ins w:id="2055" w:author="svcMRProcess" w:date="2020-02-15T03:25:00Z">
        <w:r>
          <w:rPr>
            <w:rStyle w:val="CharSectno"/>
          </w:rPr>
          <w:t>7</w:t>
        </w:r>
        <w:r>
          <w:t>.</w:t>
        </w:r>
        <w:r>
          <w:tab/>
          <w:t>Section 25 replaced</w:t>
        </w:r>
        <w:bookmarkEnd w:id="2052"/>
        <w:bookmarkEnd w:id="2053"/>
        <w:bookmarkEnd w:id="2054"/>
      </w:ins>
    </w:p>
    <w:p>
      <w:pPr>
        <w:pStyle w:val="nzSubsection"/>
        <w:rPr>
          <w:ins w:id="2056" w:author="svcMRProcess" w:date="2020-02-15T03:25:00Z"/>
        </w:rPr>
      </w:pPr>
      <w:ins w:id="2057" w:author="svcMRProcess" w:date="2020-02-15T03:25:00Z">
        <w:r>
          <w:tab/>
        </w:r>
        <w:r>
          <w:tab/>
          <w:t>Delete section 25 and insert:</w:t>
        </w:r>
      </w:ins>
    </w:p>
    <w:p>
      <w:pPr>
        <w:pStyle w:val="BlankOpen"/>
        <w:rPr>
          <w:ins w:id="2058" w:author="svcMRProcess" w:date="2020-02-15T03:25:00Z"/>
        </w:rPr>
      </w:pPr>
    </w:p>
    <w:p>
      <w:pPr>
        <w:pStyle w:val="nzHeading5"/>
        <w:rPr>
          <w:ins w:id="2059" w:author="svcMRProcess" w:date="2020-02-15T03:25:00Z"/>
        </w:rPr>
      </w:pPr>
      <w:bookmarkStart w:id="2060" w:name="_Toc264547364"/>
      <w:bookmarkStart w:id="2061" w:name="_Toc265490682"/>
      <w:bookmarkStart w:id="2062" w:name="_Toc265499825"/>
      <w:ins w:id="2063" w:author="svcMRProcess" w:date="2020-02-15T03:25:00Z">
        <w:r>
          <w:t>25.</w:t>
        </w:r>
        <w:r>
          <w:tab/>
          <w:t>Payment of duty</w:t>
        </w:r>
        <w:bookmarkEnd w:id="2060"/>
        <w:bookmarkEnd w:id="2061"/>
        <w:bookmarkEnd w:id="2062"/>
      </w:ins>
    </w:p>
    <w:p>
      <w:pPr>
        <w:pStyle w:val="nzSubsection"/>
        <w:rPr>
          <w:ins w:id="2064" w:author="svcMRProcess" w:date="2020-02-15T03:25:00Z"/>
        </w:rPr>
      </w:pPr>
      <w:ins w:id="2065" w:author="svcMRProcess" w:date="2020-02-15T03:25:00Z">
        <w:r>
          <w:tab/>
          <w:t>(1)</w:t>
        </w:r>
        <w:r>
          <w:tab/>
          <w:t>A person liable to pay duty on a dutiable transaction is to pay the duty within one month after the date of the assessment notice issued in relation to the assessment of the duty, unless a later time is provided under subsection (2) or (3) in respect of the transaction.</w:t>
        </w:r>
      </w:ins>
    </w:p>
    <w:p>
      <w:pPr>
        <w:pStyle w:val="nzSubsection"/>
        <w:rPr>
          <w:ins w:id="2066" w:author="svcMRProcess" w:date="2020-02-15T03:25:00Z"/>
        </w:rPr>
      </w:pPr>
      <w:ins w:id="2067" w:author="svcMRProcess" w:date="2020-02-15T03:25:00Z">
        <w:r>
          <w:tab/>
          <w:t>(2)</w:t>
        </w:r>
        <w:r>
          <w:tab/>
          <w:t xml:space="preserve">Unless subsection (3) applies, duty is to be paid within </w:t>
        </w:r>
      </w:ins>
      <w:r>
        <w:t>12</w:t>
      </w:r>
      <w:del w:id="2068" w:author="svcMRProcess" w:date="2020-02-15T03:25:00Z">
        <w:r>
          <w:delText>.</w:delText>
        </w:r>
      </w:del>
      <w:ins w:id="2069" w:author="svcMRProcess" w:date="2020-02-15T03:25:00Z">
        <w:r>
          <w:t xml:space="preserve"> months after the day on which liability for duty on the transaction arises if the transaction is — </w:t>
        </w:r>
      </w:ins>
    </w:p>
    <w:p>
      <w:pPr>
        <w:pStyle w:val="nzIndenta"/>
        <w:rPr>
          <w:ins w:id="2070" w:author="svcMRProcess" w:date="2020-02-15T03:25:00Z"/>
        </w:rPr>
      </w:pPr>
      <w:ins w:id="2071" w:author="svcMRProcess" w:date="2020-02-15T03:25:00Z">
        <w:r>
          <w:tab/>
          <w:t>(a)</w:t>
        </w:r>
        <w:r>
          <w:tab/>
          <w:t>a conditional agreement; or</w:t>
        </w:r>
      </w:ins>
    </w:p>
    <w:p>
      <w:pPr>
        <w:pStyle w:val="nzIndenta"/>
        <w:rPr>
          <w:ins w:id="2072" w:author="svcMRProcess" w:date="2020-02-15T03:25:00Z"/>
        </w:rPr>
      </w:pPr>
      <w:ins w:id="2073" w:author="svcMRProcess" w:date="2020-02-15T03:25:00Z">
        <w:r>
          <w:tab/>
          <w:t>(b)</w:t>
        </w:r>
        <w:r>
          <w:tab/>
          <w:t xml:space="preserve">a dutiable transaction referred to in section 11(1)(a), (b), (c) or (d) if a document relating to the transaction must be registered under — </w:t>
        </w:r>
      </w:ins>
    </w:p>
    <w:p>
      <w:pPr>
        <w:pStyle w:val="nzIndenti"/>
        <w:rPr>
          <w:ins w:id="2074" w:author="svcMRProcess" w:date="2020-02-15T03:25:00Z"/>
        </w:rPr>
      </w:pPr>
      <w:ins w:id="2075" w:author="svcMRProcess" w:date="2020-02-15T03:25:00Z">
        <w:r>
          <w:tab/>
          <w:t>(i)</w:t>
        </w:r>
        <w:r>
          <w:tab/>
          <w:t xml:space="preserve">the </w:t>
        </w:r>
        <w:r>
          <w:rPr>
            <w:i/>
            <w:iCs/>
          </w:rPr>
          <w:t>Mining Act 1978</w:t>
        </w:r>
        <w:r>
          <w:t>; or</w:t>
        </w:r>
      </w:ins>
    </w:p>
    <w:p>
      <w:pPr>
        <w:pStyle w:val="nzIndenti"/>
        <w:rPr>
          <w:ins w:id="2076" w:author="svcMRProcess" w:date="2020-02-15T03:25:00Z"/>
        </w:rPr>
      </w:pPr>
      <w:ins w:id="2077" w:author="svcMRProcess" w:date="2020-02-15T03:25:00Z">
        <w:r>
          <w:tab/>
          <w:t>(ii)</w:t>
        </w:r>
        <w:r>
          <w:tab/>
          <w:t xml:space="preserve">the </w:t>
        </w:r>
        <w:r>
          <w:rPr>
            <w:i/>
            <w:iCs/>
          </w:rPr>
          <w:t>Registration of Deeds Act 1856</w:t>
        </w:r>
        <w:r>
          <w:t>; or</w:t>
        </w:r>
      </w:ins>
    </w:p>
    <w:p>
      <w:pPr>
        <w:pStyle w:val="nzIndenti"/>
        <w:rPr>
          <w:ins w:id="2078" w:author="svcMRProcess" w:date="2020-02-15T03:25:00Z"/>
        </w:rPr>
      </w:pPr>
      <w:ins w:id="2079" w:author="svcMRProcess" w:date="2020-02-15T03:25:00Z">
        <w:r>
          <w:tab/>
          <w:t>(iii)</w:t>
        </w:r>
        <w:r>
          <w:tab/>
          <w:t xml:space="preserve">the </w:t>
        </w:r>
        <w:r>
          <w:rPr>
            <w:i/>
            <w:iCs/>
          </w:rPr>
          <w:t>Transfer of Land Act 1893</w:t>
        </w:r>
        <w:r>
          <w:t>.</w:t>
        </w:r>
      </w:ins>
    </w:p>
    <w:p>
      <w:pPr>
        <w:pStyle w:val="nzSubsection"/>
        <w:rPr>
          <w:ins w:id="2080" w:author="svcMRProcess" w:date="2020-02-15T03:25:00Z"/>
        </w:rPr>
      </w:pPr>
      <w:ins w:id="2081" w:author="svcMRProcess" w:date="2020-02-15T03:25:00Z">
        <w:r>
          <w:tab/>
          <w:t>(3)</w:t>
        </w:r>
        <w:r>
          <w:tab/>
          <w:t xml:space="preserve">Duty is to be paid within 3 years after the day on which liability for duty on the transaction arises if the transaction is — </w:t>
        </w:r>
      </w:ins>
    </w:p>
    <w:p>
      <w:pPr>
        <w:pStyle w:val="nzIndenta"/>
        <w:rPr>
          <w:ins w:id="2082" w:author="svcMRProcess" w:date="2020-02-15T03:25:00Z"/>
        </w:rPr>
      </w:pPr>
      <w:ins w:id="2083" w:author="svcMRProcess" w:date="2020-02-15T03:25:00Z">
        <w:r>
          <w:tab/>
          <w:t>(a)</w:t>
        </w:r>
        <w:r>
          <w:tab/>
          <w:t>a subdivision conditional agreement; or</w:t>
        </w:r>
      </w:ins>
    </w:p>
    <w:p>
      <w:pPr>
        <w:pStyle w:val="nzIndenta"/>
        <w:rPr>
          <w:ins w:id="2084" w:author="svcMRProcess" w:date="2020-02-15T03:25:00Z"/>
        </w:rPr>
      </w:pPr>
      <w:ins w:id="2085" w:author="svcMRProcess" w:date="2020-02-15T03:25:00Z">
        <w:r>
          <w:tab/>
          <w:t>(b)</w:t>
        </w:r>
        <w:r>
          <w:tab/>
          <w:t>an issue of title conditional agreement.</w:t>
        </w:r>
      </w:ins>
    </w:p>
    <w:p>
      <w:pPr>
        <w:pStyle w:val="BlankClose"/>
        <w:rPr>
          <w:ins w:id="2086" w:author="svcMRProcess" w:date="2020-02-15T03:25:00Z"/>
        </w:rPr>
      </w:pPr>
    </w:p>
    <w:p>
      <w:pPr>
        <w:pStyle w:val="nzHeading5"/>
        <w:rPr>
          <w:ins w:id="2087" w:author="svcMRProcess" w:date="2020-02-15T03:25:00Z"/>
        </w:rPr>
      </w:pPr>
      <w:bookmarkStart w:id="2088" w:name="_Toc264547365"/>
      <w:bookmarkStart w:id="2089" w:name="_Toc265490683"/>
      <w:bookmarkStart w:id="2090" w:name="_Toc265499826"/>
      <w:ins w:id="2091" w:author="svcMRProcess" w:date="2020-02-15T03:25:00Z">
        <w:r>
          <w:rPr>
            <w:rStyle w:val="CharSectno"/>
          </w:rPr>
          <w:t>8</w:t>
        </w:r>
        <w:r>
          <w:t>.</w:t>
        </w:r>
        <w:r>
          <w:tab/>
          <w:t>Section 87 amended</w:t>
        </w:r>
        <w:bookmarkEnd w:id="2088"/>
        <w:bookmarkEnd w:id="2089"/>
        <w:bookmarkEnd w:id="2090"/>
      </w:ins>
    </w:p>
    <w:p>
      <w:pPr>
        <w:pStyle w:val="nzSubsection"/>
        <w:rPr>
          <w:ins w:id="2092" w:author="svcMRProcess" w:date="2020-02-15T03:25:00Z"/>
        </w:rPr>
      </w:pPr>
      <w:ins w:id="2093" w:author="svcMRProcess" w:date="2020-02-15T03:25:00Z">
        <w:r>
          <w:tab/>
          <w:t>(1)</w:t>
        </w:r>
        <w:r>
          <w:tab/>
          <w:t>Delete section 87(3) and (4).</w:t>
        </w:r>
      </w:ins>
    </w:p>
    <w:p>
      <w:pPr>
        <w:pStyle w:val="nzSubsection"/>
        <w:rPr>
          <w:ins w:id="2094" w:author="svcMRProcess" w:date="2020-02-15T03:25:00Z"/>
        </w:rPr>
      </w:pPr>
      <w:ins w:id="2095" w:author="svcMRProcess" w:date="2020-02-15T03:25:00Z">
        <w:r>
          <w:tab/>
          <w:t>(2)</w:t>
        </w:r>
        <w:r>
          <w:tab/>
          <w:t>In section 87(5) delete “subsections (1)(c) and (3)(a),” and insert:</w:t>
        </w:r>
      </w:ins>
    </w:p>
    <w:p>
      <w:pPr>
        <w:pStyle w:val="BlankOpen"/>
        <w:rPr>
          <w:ins w:id="2096" w:author="svcMRProcess" w:date="2020-02-15T03:25:00Z"/>
        </w:rPr>
      </w:pPr>
    </w:p>
    <w:p>
      <w:pPr>
        <w:pStyle w:val="nzSubsection"/>
        <w:rPr>
          <w:ins w:id="2097" w:author="svcMRProcess" w:date="2020-02-15T03:25:00Z"/>
        </w:rPr>
      </w:pPr>
      <w:ins w:id="2098" w:author="svcMRProcess" w:date="2020-02-15T03:25:00Z">
        <w:r>
          <w:tab/>
        </w:r>
        <w:r>
          <w:tab/>
          <w:t>subsection (1)(c),</w:t>
        </w:r>
      </w:ins>
    </w:p>
    <w:p>
      <w:pPr>
        <w:pStyle w:val="BlankClose"/>
        <w:rPr>
          <w:ins w:id="2099" w:author="svcMRProcess" w:date="2020-02-15T03:25:00Z"/>
        </w:rPr>
      </w:pPr>
    </w:p>
    <w:p>
      <w:pPr>
        <w:pStyle w:val="nzNotesPerm"/>
        <w:rPr>
          <w:ins w:id="2100" w:author="svcMRProcess" w:date="2020-02-15T03:25:00Z"/>
        </w:rPr>
      </w:pPr>
      <w:ins w:id="2101" w:author="svcMRProcess" w:date="2020-02-15T03:25:00Z">
        <w:r>
          <w:tab/>
          <w:t>Note:</w:t>
        </w:r>
        <w:r>
          <w:tab/>
          <w:t>The heading to amended section 87 is to read:</w:t>
        </w:r>
      </w:ins>
    </w:p>
    <w:p>
      <w:pPr>
        <w:pStyle w:val="nzNotesPerm"/>
        <w:rPr>
          <w:ins w:id="2102" w:author="svcMRProcess" w:date="2020-02-15T03:25:00Z"/>
          <w:b/>
          <w:bCs/>
        </w:rPr>
      </w:pPr>
      <w:ins w:id="2103" w:author="svcMRProcess" w:date="2020-02-15T03:25:00Z">
        <w:r>
          <w:tab/>
        </w:r>
        <w:r>
          <w:tab/>
        </w:r>
        <w:r>
          <w:rPr>
            <w:b/>
            <w:bCs/>
          </w:rPr>
          <w:t>The term “conditional agreement”</w:t>
        </w:r>
      </w:ins>
    </w:p>
    <w:p>
      <w:pPr>
        <w:pStyle w:val="nzHeading5"/>
        <w:rPr>
          <w:ins w:id="2104" w:author="svcMRProcess" w:date="2020-02-15T03:25:00Z"/>
        </w:rPr>
      </w:pPr>
      <w:bookmarkStart w:id="2105" w:name="_Toc264547366"/>
      <w:bookmarkStart w:id="2106" w:name="_Toc265490684"/>
      <w:bookmarkStart w:id="2107" w:name="_Toc265499827"/>
      <w:ins w:id="2108" w:author="svcMRProcess" w:date="2020-02-15T03:25:00Z">
        <w:r>
          <w:rPr>
            <w:rStyle w:val="CharSectno"/>
          </w:rPr>
          <w:t>9</w:t>
        </w:r>
        <w:r>
          <w:t>.</w:t>
        </w:r>
        <w:r>
          <w:tab/>
          <w:t>Section 88A inserted</w:t>
        </w:r>
        <w:bookmarkEnd w:id="2105"/>
        <w:bookmarkEnd w:id="2106"/>
        <w:bookmarkEnd w:id="2107"/>
      </w:ins>
    </w:p>
    <w:p>
      <w:pPr>
        <w:pStyle w:val="nzSubsection"/>
        <w:rPr>
          <w:ins w:id="2109" w:author="svcMRProcess" w:date="2020-02-15T03:25:00Z"/>
        </w:rPr>
      </w:pPr>
      <w:ins w:id="2110" w:author="svcMRProcess" w:date="2020-02-15T03:25:00Z">
        <w:r>
          <w:tab/>
        </w:r>
        <w:r>
          <w:tab/>
          <w:t>After section 87 insert:</w:t>
        </w:r>
      </w:ins>
    </w:p>
    <w:p>
      <w:pPr>
        <w:pStyle w:val="BlankOpen"/>
        <w:rPr>
          <w:ins w:id="2111" w:author="svcMRProcess" w:date="2020-02-15T03:25:00Z"/>
        </w:rPr>
      </w:pPr>
    </w:p>
    <w:p>
      <w:pPr>
        <w:pStyle w:val="nzHeading5"/>
        <w:rPr>
          <w:ins w:id="2112" w:author="svcMRProcess" w:date="2020-02-15T03:25:00Z"/>
        </w:rPr>
      </w:pPr>
      <w:bookmarkStart w:id="2113" w:name="_Toc264547367"/>
      <w:bookmarkStart w:id="2114" w:name="_Toc265490685"/>
      <w:bookmarkStart w:id="2115" w:name="_Toc265499828"/>
      <w:ins w:id="2116" w:author="svcMRProcess" w:date="2020-02-15T03:25:00Z">
        <w:r>
          <w:t>88A.</w:t>
        </w:r>
        <w:r>
          <w:tab/>
          <w:t>General conditional agreements terminated on relevant grounds</w:t>
        </w:r>
        <w:bookmarkEnd w:id="2113"/>
        <w:bookmarkEnd w:id="2114"/>
        <w:bookmarkEnd w:id="2115"/>
      </w:ins>
    </w:p>
    <w:p>
      <w:pPr>
        <w:pStyle w:val="nzSubsection"/>
        <w:rPr>
          <w:ins w:id="2117" w:author="svcMRProcess" w:date="2020-02-15T03:25:00Z"/>
        </w:rPr>
      </w:pPr>
      <w:ins w:id="2118" w:author="svcMRProcess" w:date="2020-02-15T03:25:00Z">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ins>
    </w:p>
    <w:p>
      <w:pPr>
        <w:pStyle w:val="nzIndenta"/>
        <w:rPr>
          <w:ins w:id="2119" w:author="svcMRProcess" w:date="2020-02-15T03:25:00Z"/>
        </w:rPr>
      </w:pPr>
      <w:ins w:id="2120" w:author="svcMRProcess" w:date="2020-02-15T03:25:00Z">
        <w:r>
          <w:tab/>
          <w:t>(a)</w:t>
        </w:r>
        <w:r>
          <w:tab/>
          <w:t>the agreement is terminated on relevant grounds; and</w:t>
        </w:r>
      </w:ins>
    </w:p>
    <w:p>
      <w:pPr>
        <w:pStyle w:val="nzIndenta"/>
        <w:rPr>
          <w:ins w:id="2121" w:author="svcMRProcess" w:date="2020-02-15T03:25:00Z"/>
        </w:rPr>
      </w:pPr>
      <w:ins w:id="2122" w:author="svcMRProcess" w:date="2020-02-15T03:25:00Z">
        <w:r>
          <w:tab/>
          <w:t>(b)</w:t>
        </w:r>
        <w:r>
          <w:tab/>
          <w:t>the Commissioner is notified of the termination of the agreement in the approved form.</w:t>
        </w:r>
      </w:ins>
    </w:p>
    <w:p>
      <w:pPr>
        <w:pStyle w:val="nzSubsection"/>
        <w:rPr>
          <w:ins w:id="2123" w:author="svcMRProcess" w:date="2020-02-15T03:25:00Z"/>
        </w:rPr>
      </w:pPr>
      <w:ins w:id="2124" w:author="svcMRProcess" w:date="2020-02-15T03:25:00Z">
        <w:r>
          <w:tab/>
          <w:t>(2)</w:t>
        </w:r>
        <w:r>
          <w:tab/>
          <w:t>A general conditional agreement is terminated on relevant grounds if —</w:t>
        </w:r>
      </w:ins>
    </w:p>
    <w:p>
      <w:pPr>
        <w:pStyle w:val="nzIndenta"/>
        <w:rPr>
          <w:ins w:id="2125" w:author="svcMRProcess" w:date="2020-02-15T03:25:00Z"/>
        </w:rPr>
      </w:pPr>
      <w:ins w:id="2126" w:author="svcMRProcess" w:date="2020-02-15T03:25:00Z">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ins>
    </w:p>
    <w:p>
      <w:pPr>
        <w:pStyle w:val="nzIndenta"/>
        <w:rPr>
          <w:ins w:id="2127" w:author="svcMRProcess" w:date="2020-02-15T03:25:00Z"/>
        </w:rPr>
      </w:pPr>
      <w:ins w:id="2128" w:author="svcMRProcess" w:date="2020-02-15T03:25:00Z">
        <w:r>
          <w:tab/>
          <w:t>(b)</w:t>
        </w:r>
        <w:r>
          <w:tab/>
          <w:t>duty is not chargeable on the agreement under section 107 because it is a cancelled transaction.</w:t>
        </w:r>
      </w:ins>
    </w:p>
    <w:p>
      <w:pPr>
        <w:pStyle w:val="BlankClose"/>
        <w:rPr>
          <w:ins w:id="2129" w:author="svcMRProcess" w:date="2020-02-15T03:25:00Z"/>
        </w:rPr>
      </w:pPr>
    </w:p>
    <w:p>
      <w:pPr>
        <w:pStyle w:val="nzHeading5"/>
        <w:rPr>
          <w:ins w:id="2130" w:author="svcMRProcess" w:date="2020-02-15T03:25:00Z"/>
        </w:rPr>
      </w:pPr>
      <w:bookmarkStart w:id="2131" w:name="_Toc264547368"/>
      <w:bookmarkStart w:id="2132" w:name="_Toc265490686"/>
      <w:bookmarkStart w:id="2133" w:name="_Toc265499829"/>
      <w:ins w:id="2134" w:author="svcMRProcess" w:date="2020-02-15T03:25:00Z">
        <w:r>
          <w:rPr>
            <w:rStyle w:val="CharSectno"/>
          </w:rPr>
          <w:t>10</w:t>
        </w:r>
        <w:r>
          <w:t>.</w:t>
        </w:r>
        <w:r>
          <w:tab/>
          <w:t>Section 90 replaced</w:t>
        </w:r>
        <w:bookmarkEnd w:id="2131"/>
        <w:bookmarkEnd w:id="2132"/>
        <w:bookmarkEnd w:id="2133"/>
      </w:ins>
    </w:p>
    <w:p>
      <w:pPr>
        <w:pStyle w:val="nzSubsection"/>
        <w:rPr>
          <w:ins w:id="2135" w:author="svcMRProcess" w:date="2020-02-15T03:25:00Z"/>
        </w:rPr>
      </w:pPr>
      <w:ins w:id="2136" w:author="svcMRProcess" w:date="2020-02-15T03:25:00Z">
        <w:r>
          <w:tab/>
        </w:r>
        <w:r>
          <w:tab/>
          <w:t>Delete section 90 and insert:</w:t>
        </w:r>
      </w:ins>
    </w:p>
    <w:p>
      <w:pPr>
        <w:pStyle w:val="BlankOpen"/>
        <w:rPr>
          <w:ins w:id="2137" w:author="svcMRProcess" w:date="2020-02-15T03:25:00Z"/>
        </w:rPr>
      </w:pPr>
    </w:p>
    <w:p>
      <w:pPr>
        <w:pStyle w:val="nzHeading5"/>
        <w:rPr>
          <w:ins w:id="2138" w:author="svcMRProcess" w:date="2020-02-15T03:25:00Z"/>
        </w:rPr>
      </w:pPr>
      <w:bookmarkStart w:id="2139" w:name="_Toc264547369"/>
      <w:bookmarkStart w:id="2140" w:name="_Toc265490687"/>
      <w:bookmarkStart w:id="2141" w:name="_Toc265499830"/>
      <w:ins w:id="2142" w:author="svcMRProcess" w:date="2020-02-15T03:25:00Z">
        <w:r>
          <w:t>90.</w:t>
        </w:r>
        <w:r>
          <w:tab/>
          <w:t>The term “issue of title conditional agreement”</w:t>
        </w:r>
        <w:bookmarkEnd w:id="2139"/>
        <w:bookmarkEnd w:id="2140"/>
        <w:bookmarkEnd w:id="2141"/>
      </w:ins>
    </w:p>
    <w:p>
      <w:pPr>
        <w:pStyle w:val="nzSubsection"/>
        <w:rPr>
          <w:ins w:id="2143" w:author="svcMRProcess" w:date="2020-02-15T03:25:00Z"/>
        </w:rPr>
      </w:pPr>
      <w:ins w:id="2144" w:author="svcMRProcess" w:date="2020-02-15T03:25:00Z">
        <w:r>
          <w:tab/>
        </w:r>
        <w:r>
          <w:tab/>
          <w:t xml:space="preserve">A reference to an issue of title conditional agreement is to a conditional agreement — </w:t>
        </w:r>
      </w:ins>
    </w:p>
    <w:p>
      <w:pPr>
        <w:pStyle w:val="nzIndenta"/>
        <w:rPr>
          <w:ins w:id="2145" w:author="svcMRProcess" w:date="2020-02-15T03:25:00Z"/>
        </w:rPr>
      </w:pPr>
      <w:ins w:id="2146" w:author="svcMRProcess" w:date="2020-02-15T03:25:00Z">
        <w:r>
          <w:tab/>
          <w:t>(a)</w:t>
        </w:r>
        <w:r>
          <w:tab/>
          <w:t>for the sale of land conditional on the happening of one or more of the events described in section 87(2)(j) or (m); or</w:t>
        </w:r>
      </w:ins>
    </w:p>
    <w:p>
      <w:pPr>
        <w:pStyle w:val="nzIndenta"/>
        <w:rPr>
          <w:ins w:id="2147" w:author="svcMRProcess" w:date="2020-02-15T03:25:00Z"/>
        </w:rPr>
      </w:pPr>
      <w:ins w:id="2148" w:author="svcMRProcess" w:date="2020-02-15T03:25:00Z">
        <w:r>
          <w:tab/>
          <w:t>(b)</w:t>
        </w:r>
        <w:r>
          <w:tab/>
          <w:t xml:space="preserve">for — </w:t>
        </w:r>
      </w:ins>
    </w:p>
    <w:p>
      <w:pPr>
        <w:pStyle w:val="nzIndenti"/>
        <w:rPr>
          <w:ins w:id="2149" w:author="svcMRProcess" w:date="2020-02-15T03:25:00Z"/>
        </w:rPr>
      </w:pPr>
      <w:ins w:id="2150" w:author="svcMRProcess" w:date="2020-02-15T03:25:00Z">
        <w:r>
          <w:tab/>
          <w:t>(i)</w:t>
        </w:r>
        <w:r>
          <w:tab/>
          <w:t>the sale of a strata lot; and</w:t>
        </w:r>
      </w:ins>
    </w:p>
    <w:p>
      <w:pPr>
        <w:pStyle w:val="nzIndenti"/>
        <w:rPr>
          <w:ins w:id="2151" w:author="svcMRProcess" w:date="2020-02-15T03:25:00Z"/>
        </w:rPr>
      </w:pPr>
      <w:ins w:id="2152" w:author="svcMRProcess" w:date="2020-02-15T03:25:00Z">
        <w:r>
          <w:tab/>
          <w:t>(ii)</w:t>
        </w:r>
        <w:r>
          <w:tab/>
          <w:t>the construction on the strata lot, after liability for duty on the agreement arises, of a building for commercial, residential or mixed use purposes.</w:t>
        </w:r>
      </w:ins>
    </w:p>
    <w:p>
      <w:pPr>
        <w:pStyle w:val="BlankClose"/>
        <w:keepNext/>
        <w:rPr>
          <w:ins w:id="2153" w:author="svcMRProcess" w:date="2020-02-15T03:25:00Z"/>
        </w:rPr>
      </w:pPr>
    </w:p>
    <w:p>
      <w:pPr>
        <w:pStyle w:val="nzHeading5"/>
        <w:rPr>
          <w:ins w:id="2154" w:author="svcMRProcess" w:date="2020-02-15T03:25:00Z"/>
        </w:rPr>
      </w:pPr>
      <w:bookmarkStart w:id="2155" w:name="_Toc264547371"/>
      <w:bookmarkStart w:id="2156" w:name="_Toc265490689"/>
      <w:bookmarkStart w:id="2157" w:name="_Toc265499832"/>
      <w:ins w:id="2158" w:author="svcMRProcess" w:date="2020-02-15T03:25:00Z">
        <w:r>
          <w:rPr>
            <w:rStyle w:val="CharSectno"/>
          </w:rPr>
          <w:t>11</w:t>
        </w:r>
        <w:r>
          <w:t>.</w:t>
        </w:r>
        <w:r>
          <w:tab/>
          <w:t>Section 3 amended</w:t>
        </w:r>
        <w:bookmarkEnd w:id="2155"/>
        <w:bookmarkEnd w:id="2156"/>
        <w:bookmarkEnd w:id="2157"/>
      </w:ins>
    </w:p>
    <w:p>
      <w:pPr>
        <w:pStyle w:val="nzSubsection"/>
        <w:rPr>
          <w:ins w:id="2159" w:author="svcMRProcess" w:date="2020-02-15T03:25:00Z"/>
        </w:rPr>
      </w:pPr>
      <w:ins w:id="2160" w:author="svcMRProcess" w:date="2020-02-15T03:25:00Z">
        <w:r>
          <w:tab/>
        </w:r>
        <w:r>
          <w:tab/>
          <w:t xml:space="preserve">In section 3 in the definition of </w:t>
        </w:r>
        <w:r>
          <w:rPr>
            <w:b/>
            <w:i/>
          </w:rPr>
          <w:t>lodge</w:t>
        </w:r>
        <w:r>
          <w:t xml:space="preserve"> delete “Commissioner;” and insert:</w:t>
        </w:r>
      </w:ins>
    </w:p>
    <w:p>
      <w:pPr>
        <w:pStyle w:val="BlankOpen"/>
        <w:rPr>
          <w:ins w:id="2161" w:author="svcMRProcess" w:date="2020-02-15T03:25:00Z"/>
        </w:rPr>
      </w:pPr>
    </w:p>
    <w:p>
      <w:pPr>
        <w:pStyle w:val="nzDefstart"/>
        <w:rPr>
          <w:ins w:id="2162" w:author="svcMRProcess" w:date="2020-02-15T03:25:00Z"/>
        </w:rPr>
      </w:pPr>
      <w:ins w:id="2163" w:author="svcMRProcess" w:date="2020-02-15T03:25:00Z">
        <w:r>
          <w:tab/>
          <w:t>Commissioner, and if the Commissioner has established procedures for the electronic lodgment and recording of data on dutiable transactions, includes to lodge in accordance with those procedures;</w:t>
        </w:r>
      </w:ins>
    </w:p>
    <w:p>
      <w:pPr>
        <w:pStyle w:val="BlankClose"/>
        <w:rPr>
          <w:ins w:id="2164" w:author="svcMRProcess" w:date="2020-02-15T03:25:00Z"/>
        </w:rPr>
      </w:pPr>
    </w:p>
    <w:p>
      <w:pPr>
        <w:pStyle w:val="nzHeading5"/>
        <w:rPr>
          <w:ins w:id="2165" w:author="svcMRProcess" w:date="2020-02-15T03:25:00Z"/>
        </w:rPr>
      </w:pPr>
      <w:bookmarkStart w:id="2166" w:name="_Toc264547374"/>
      <w:bookmarkStart w:id="2167" w:name="_Toc265490692"/>
      <w:bookmarkStart w:id="2168" w:name="_Toc265499835"/>
      <w:ins w:id="2169" w:author="svcMRProcess" w:date="2020-02-15T03:25:00Z">
        <w:r>
          <w:rPr>
            <w:rStyle w:val="CharSectno"/>
          </w:rPr>
          <w:t>14</w:t>
        </w:r>
        <w:r>
          <w:t>.</w:t>
        </w:r>
        <w:r>
          <w:tab/>
          <w:t>Section 147E amended</w:t>
        </w:r>
        <w:bookmarkEnd w:id="2166"/>
        <w:bookmarkEnd w:id="2167"/>
        <w:bookmarkEnd w:id="2168"/>
      </w:ins>
    </w:p>
    <w:p>
      <w:pPr>
        <w:pStyle w:val="nzSubsection"/>
        <w:rPr>
          <w:ins w:id="2170" w:author="svcMRProcess" w:date="2020-02-15T03:25:00Z"/>
        </w:rPr>
      </w:pPr>
      <w:ins w:id="2171" w:author="svcMRProcess" w:date="2020-02-15T03:25:00Z">
        <w:r>
          <w:tab/>
        </w:r>
        <w:r>
          <w:tab/>
          <w:t>In section 147E delete “the application of the taxpayer,” and insert:</w:t>
        </w:r>
      </w:ins>
    </w:p>
    <w:p>
      <w:pPr>
        <w:pStyle w:val="BlankOpen"/>
        <w:rPr>
          <w:ins w:id="2172" w:author="svcMRProcess" w:date="2020-02-15T03:25:00Z"/>
        </w:rPr>
      </w:pPr>
    </w:p>
    <w:p>
      <w:pPr>
        <w:pStyle w:val="nzSubsection"/>
        <w:rPr>
          <w:ins w:id="2173" w:author="svcMRProcess" w:date="2020-02-15T03:25:00Z"/>
        </w:rPr>
      </w:pPr>
      <w:ins w:id="2174" w:author="svcMRProcess" w:date="2020-02-15T03:25:00Z">
        <w:r>
          <w:tab/>
        </w:r>
        <w:r>
          <w:tab/>
          <w:t>application being made in the approved form,</w:t>
        </w:r>
      </w:ins>
    </w:p>
    <w:p>
      <w:pPr>
        <w:pStyle w:val="BlankClose"/>
        <w:rPr>
          <w:ins w:id="2175" w:author="svcMRProcess" w:date="2020-02-15T03:25:00Z"/>
        </w:rPr>
      </w:pPr>
    </w:p>
    <w:p>
      <w:pPr>
        <w:pStyle w:val="nzHeading5"/>
        <w:rPr>
          <w:ins w:id="2176" w:author="svcMRProcess" w:date="2020-02-15T03:25:00Z"/>
        </w:rPr>
      </w:pPr>
      <w:bookmarkStart w:id="2177" w:name="_Toc264547375"/>
      <w:bookmarkStart w:id="2178" w:name="_Toc265490693"/>
      <w:bookmarkStart w:id="2179" w:name="_Toc265499836"/>
      <w:ins w:id="2180" w:author="svcMRProcess" w:date="2020-02-15T03:25:00Z">
        <w:r>
          <w:rPr>
            <w:rStyle w:val="CharSectno"/>
          </w:rPr>
          <w:t>15</w:t>
        </w:r>
        <w:r>
          <w:t>.</w:t>
        </w:r>
        <w:r>
          <w:tab/>
          <w:t>Section 147F amended</w:t>
        </w:r>
        <w:bookmarkEnd w:id="2177"/>
        <w:bookmarkEnd w:id="2178"/>
        <w:bookmarkEnd w:id="2179"/>
      </w:ins>
    </w:p>
    <w:p>
      <w:pPr>
        <w:pStyle w:val="nzSubsection"/>
        <w:rPr>
          <w:ins w:id="2181" w:author="svcMRProcess" w:date="2020-02-15T03:25:00Z"/>
        </w:rPr>
      </w:pPr>
      <w:ins w:id="2182" w:author="svcMRProcess" w:date="2020-02-15T03:25:00Z">
        <w:r>
          <w:tab/>
          <w:t>(1)</w:t>
        </w:r>
        <w:r>
          <w:tab/>
          <w:t>In section 147F(2) delete “the application of the taxpayer,” and insert:</w:t>
        </w:r>
      </w:ins>
    </w:p>
    <w:p>
      <w:pPr>
        <w:pStyle w:val="BlankOpen"/>
        <w:rPr>
          <w:ins w:id="2183" w:author="svcMRProcess" w:date="2020-02-15T03:25:00Z"/>
        </w:rPr>
      </w:pPr>
    </w:p>
    <w:p>
      <w:pPr>
        <w:pStyle w:val="nzSubsection"/>
        <w:rPr>
          <w:ins w:id="2184" w:author="svcMRProcess" w:date="2020-02-15T03:25:00Z"/>
        </w:rPr>
      </w:pPr>
      <w:ins w:id="2185" w:author="svcMRProcess" w:date="2020-02-15T03:25:00Z">
        <w:r>
          <w:tab/>
        </w:r>
        <w:r>
          <w:tab/>
          <w:t>application being made in the approved form,</w:t>
        </w:r>
      </w:ins>
    </w:p>
    <w:p>
      <w:pPr>
        <w:pStyle w:val="BlankClose"/>
        <w:rPr>
          <w:ins w:id="2186" w:author="svcMRProcess" w:date="2020-02-15T03:25:00Z"/>
        </w:rPr>
      </w:pPr>
    </w:p>
    <w:p>
      <w:pPr>
        <w:pStyle w:val="nzSubsection"/>
        <w:rPr>
          <w:ins w:id="2187" w:author="svcMRProcess" w:date="2020-02-15T03:25:00Z"/>
        </w:rPr>
      </w:pPr>
      <w:ins w:id="2188" w:author="svcMRProcess" w:date="2020-02-15T03:25:00Z">
        <w:r>
          <w:tab/>
          <w:t>(2)</w:t>
        </w:r>
        <w:r>
          <w:tab/>
          <w:t>In section 147F(4) delete “the application of the taxpayer,” and insert:</w:t>
        </w:r>
      </w:ins>
    </w:p>
    <w:p>
      <w:pPr>
        <w:pStyle w:val="BlankOpen"/>
        <w:rPr>
          <w:ins w:id="2189" w:author="svcMRProcess" w:date="2020-02-15T03:25:00Z"/>
        </w:rPr>
      </w:pPr>
    </w:p>
    <w:p>
      <w:pPr>
        <w:pStyle w:val="nzSubsection"/>
        <w:rPr>
          <w:ins w:id="2190" w:author="svcMRProcess" w:date="2020-02-15T03:25:00Z"/>
        </w:rPr>
      </w:pPr>
      <w:ins w:id="2191" w:author="svcMRProcess" w:date="2020-02-15T03:25:00Z">
        <w:r>
          <w:tab/>
        </w:r>
        <w:r>
          <w:tab/>
          <w:t>application being made in the approved form,</w:t>
        </w:r>
      </w:ins>
    </w:p>
    <w:p>
      <w:pPr>
        <w:pStyle w:val="BlankClose"/>
      </w:pPr>
    </w:p>
    <w:p>
      <w:bookmarkStart w:id="2192" w:name="UpToHere"/>
      <w:bookmarkEnd w:id="2192"/>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Duties Act 2008</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Chapter 1</w:instrText>
            </w:r>
          </w:fldSimple>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separate"/>
          </w:r>
          <w:r>
            <w:rPr>
              <w:noProof/>
            </w:rPr>
            <w:t>Chapter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283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Chapter 1</w:instrText>
            </w:r>
          </w:fldSimple>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separate"/>
          </w:r>
          <w:r>
            <w:rPr>
              <w:noProof/>
            </w:rPr>
            <w:t>Chapter 1</w: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3</w:instrText>
            </w:r>
          </w:fldSimple>
          <w:r>
            <w:instrText>" "</w:instrText>
          </w:r>
          <w:fldSimple w:instr=" STYLEREF CharSectNo \n ">
            <w:r>
              <w:rPr>
                <w:noProof/>
              </w:rPr>
              <w:instrText>286</w:instrText>
            </w:r>
          </w:fldSimple>
          <w:r>
            <w:instrText>"</w:instrText>
          </w:r>
          <w:r>
            <w:fldChar w:fldCharType="separate"/>
          </w:r>
          <w:r>
            <w:rPr>
              <w:noProof/>
            </w:rPr>
            <w:t>3</w: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Rates of transfer duty</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vAlign w:val="bottom"/>
        </w:tcPr>
        <w:p>
          <w:pPr>
            <w:pStyle w:val="HeaderTextLeft"/>
          </w:pPr>
          <w:fldSimple w:instr=" styleref CharSDivText ">
            <w:r>
              <w:rPr>
                <w:noProof/>
              </w:rPr>
              <w:t>Nominal duty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29</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fldSimple w:instr=" styleref CharSchText ">
            <w:r>
              <w:rPr>
                <w:noProof/>
              </w:rPr>
              <w:t>Rates of transfer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vAlign w:val="bottom"/>
        </w:tcPr>
        <w:p>
          <w:pPr>
            <w:pStyle w:val="HeaderTextRight"/>
          </w:pPr>
          <w:fldSimple w:instr=" styleref CharSDivText ">
            <w:r>
              <w:rPr>
                <w:noProof/>
              </w:rPr>
              <w:t>Nominal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44DA7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A45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D268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52C3C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B49C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26C2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7143F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28C8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F62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27C658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FA623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5870354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3E70E9"/>
    <w:multiLevelType w:val="hybridMultilevel"/>
    <w:tmpl w:val="E4BEDA3C"/>
    <w:lvl w:ilvl="0" w:tplc="04090001">
      <w:start w:val="1"/>
      <w:numFmt w:val="bullet"/>
      <w:lvlText w:val=""/>
      <w:lvlJc w:val="left"/>
      <w:pPr>
        <w:tabs>
          <w:tab w:val="num" w:pos="1778"/>
        </w:tabs>
        <w:ind w:left="1778"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2217"/>
    <w:docVar w:name="WAFER_20151210102217" w:val="RemoveTrackChanges"/>
    <w:docVar w:name="WAFER_20151210102217_GUID" w:val="3d2d6d22-62ab-4bba-8fd1-9dc4e82357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footer" Target="footer6.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footer" Target="footer5.xml"/><Relationship Id="rId33" Type="http://schemas.openxmlformats.org/officeDocument/2006/relationships/header" Target="header12.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4.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5.xml"/><Relationship Id="rId28" Type="http://schemas.openxmlformats.org/officeDocument/2006/relationships/header" Target="header7.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4.xml"/><Relationship Id="rId27" Type="http://schemas.openxmlformats.org/officeDocument/2006/relationships/header" Target="header6.xml"/><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56892</Words>
  <Characters>274790</Characters>
  <Application>Microsoft Office Word</Application>
  <DocSecurity>0</DocSecurity>
  <Lines>7426</Lines>
  <Paragraphs>4094</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Duties Act 2008</vt:lpstr>
      <vt:lpstr>Western Australia</vt:lpstr>
      <vt:lpstr>Duties Act 2008</vt:lpstr>
      <vt:lpstr/>
      <vt:lpstr>Western Australia</vt:lpstr>
      <vt:lpstr>    Chapter 1 — Preliminary</vt:lpstr>
      <vt:lpstr>    Chapter 2 — Transfer duty</vt:lpstr>
      <vt:lpstr>        Part 1 — Preliminary</vt:lpstr>
      <vt:lpstr>        Part 2 — Imposition of transfer duty</vt:lpstr>
      <vt:lpstr>        Part 3 — Dutiable transactions and dutiable property</vt:lpstr>
      <vt:lpstr>        Part 4 — Collection of transfer duty</vt:lpstr>
      <vt:lpstr>        Part 5 — Application of this Chapter to certain transactions</vt:lpstr>
    </vt:vector>
  </TitlesOfParts>
  <Manager/>
  <Company/>
  <LinksUpToDate>false</LinksUpToDate>
  <CharactersWithSpaces>327588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00-e0-06 - 00-f0-04</dc:title>
  <dc:subject/>
  <dc:creator/>
  <cp:keywords/>
  <dc:description/>
  <cp:lastModifiedBy>svcMRProcess</cp:lastModifiedBy>
  <cp:revision>2</cp:revision>
  <cp:lastPrinted>2010-06-10T08:42:00Z</cp:lastPrinted>
  <dcterms:created xsi:type="dcterms:W3CDTF">2020-02-14T19:25:00Z</dcterms:created>
  <dcterms:modified xsi:type="dcterms:W3CDTF">2020-02-14T19:25:00Z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20100625</vt:lpwstr>
  </property>
  <property fmtid="{D5CDD505-2E9C-101B-9397-08002B2CF9AE}" pid="4" name="DocumentType">
    <vt:lpwstr>Act</vt:lpwstr>
  </property>
  <property fmtid="{D5CDD505-2E9C-101B-9397-08002B2CF9AE}" pid="5" name="OwlsUID">
    <vt:i4>146657</vt:i4>
  </property>
  <property fmtid="{D5CDD505-2E9C-101B-9397-08002B2CF9AE}" pid="6" name="FromSuffix">
    <vt:lpwstr>00-e0-06</vt:lpwstr>
  </property>
  <property fmtid="{D5CDD505-2E9C-101B-9397-08002B2CF9AE}" pid="7" name="FromAsAtDate">
    <vt:lpwstr>11 Jun 2010</vt:lpwstr>
  </property>
  <property fmtid="{D5CDD505-2E9C-101B-9397-08002B2CF9AE}" pid="8" name="ToSuffix">
    <vt:lpwstr>00-f0-04</vt:lpwstr>
  </property>
  <property fmtid="{D5CDD505-2E9C-101B-9397-08002B2CF9AE}" pid="9" name="ToAsAtDate">
    <vt:lpwstr>25 Jun 2010</vt:lpwstr>
  </property>
</Properties>
</file>