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2009</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184785553"/>
      <w:bookmarkStart w:id="18" w:name="_Toc246812721"/>
      <w:r>
        <w:rPr>
          <w:rStyle w:val="CharSectno"/>
        </w:rPr>
        <w:t>1</w:t>
      </w:r>
      <w:r>
        <w:t>.</w:t>
      </w:r>
      <w:r>
        <w:tab/>
        <w:t>Citation</w:t>
      </w:r>
      <w:bookmarkEnd w:id="17"/>
      <w:bookmarkEnd w:id="18"/>
    </w:p>
    <w:p>
      <w:pPr>
        <w:pStyle w:val="Subsection"/>
        <w:rPr>
          <w:i/>
        </w:rPr>
      </w:pPr>
      <w:r>
        <w:tab/>
      </w:r>
      <w:r>
        <w:tab/>
      </w:r>
      <w:bookmarkStart w:id="19" w:name="Start_Cursor"/>
      <w:bookmarkEnd w:id="19"/>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0" w:name="_Toc184785554"/>
      <w:bookmarkStart w:id="21" w:name="_Toc246812722"/>
      <w:r>
        <w:rPr>
          <w:rStyle w:val="CharSectno"/>
        </w:rPr>
        <w:t>2</w:t>
      </w:r>
      <w:r>
        <w:t>.</w:t>
      </w:r>
      <w:r>
        <w:tab/>
        <w:t>Commencement</w:t>
      </w:r>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2" w:name="_Toc246812723"/>
      <w:r>
        <w:rPr>
          <w:rStyle w:val="CharSectno"/>
        </w:rPr>
        <w:t>3</w:t>
      </w:r>
      <w:r>
        <w:t>.</w:t>
      </w:r>
      <w:r>
        <w:tab/>
        <w:t>Terms used in these regulations</w:t>
      </w:r>
      <w:bookmarkEnd w:id="22"/>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Fire and Emergency Services Authority of Western Australia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 or the UNMR;</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UNMR</w:t>
      </w:r>
      <w:r>
        <w:t xml:space="preserve"> means the </w:t>
      </w:r>
      <w:r>
        <w:rPr>
          <w:i/>
          <w:iCs/>
        </w:rPr>
        <w:t>Recommendations on the Transport of Dangerous Goods, Model Regulations</w:t>
      </w:r>
      <w:r>
        <w:t>, Fourteenth revised edition, published by the United Nations (ISBN 92 1 139106 7);</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w:t>
      </w:r>
    </w:p>
    <w:p>
      <w:pPr>
        <w:pStyle w:val="Heading5"/>
      </w:pPr>
      <w:bookmarkStart w:id="23" w:name="_Toc246812724"/>
      <w:r>
        <w:rPr>
          <w:rStyle w:val="CharSectno"/>
        </w:rPr>
        <w:t>4</w:t>
      </w:r>
      <w:r>
        <w:t>.</w:t>
      </w:r>
      <w:r>
        <w:tab/>
        <w:t>Examples and notes are not part of the law</w:t>
      </w:r>
      <w:bookmarkEnd w:id="23"/>
    </w:p>
    <w:p>
      <w:pPr>
        <w:pStyle w:val="Subsection"/>
      </w:pPr>
      <w:r>
        <w:tab/>
      </w:r>
      <w:r>
        <w:tab/>
        <w:t>Examples and notes in these regulations do not form part of them and are provided to assist understanding.</w:t>
      </w:r>
    </w:p>
    <w:p>
      <w:pPr>
        <w:pStyle w:val="Heading5"/>
      </w:pPr>
      <w:bookmarkStart w:id="24" w:name="_Toc246812725"/>
      <w:r>
        <w:rPr>
          <w:rStyle w:val="CharSectno"/>
        </w:rPr>
        <w:t>5</w:t>
      </w:r>
      <w:r>
        <w:t>.</w:t>
      </w:r>
      <w:r>
        <w:tab/>
        <w:t>AE Code, general provisions about</w:t>
      </w:r>
      <w:bookmarkEnd w:id="24"/>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5" w:name="_Toc246812726"/>
      <w:r>
        <w:rPr>
          <w:rStyle w:val="CharSectno"/>
        </w:rPr>
        <w:t>6</w:t>
      </w:r>
      <w:r>
        <w:t>.</w:t>
      </w:r>
      <w:r>
        <w:tab/>
        <w:t>“Alternative safety measures”, meaning of</w:t>
      </w:r>
      <w:bookmarkEnd w:id="25"/>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in relation to the explosive in relation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Heading5"/>
      </w:pPr>
      <w:bookmarkStart w:id="26" w:name="_Toc246812727"/>
      <w:r>
        <w:rPr>
          <w:rStyle w:val="CharSectno"/>
        </w:rPr>
        <w:t>7</w:t>
      </w:r>
      <w:r>
        <w:t>.</w:t>
      </w:r>
      <w:r>
        <w:tab/>
        <w:t>“AS 2187”, meaning of and general provisions about</w:t>
      </w:r>
      <w:bookmarkEnd w:id="26"/>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27" w:name="_Toc246812728"/>
      <w:r>
        <w:rPr>
          <w:rStyle w:val="CharSectno"/>
        </w:rPr>
        <w:t>8</w:t>
      </w:r>
      <w:r>
        <w:t>.</w:t>
      </w:r>
      <w:r>
        <w:tab/>
        <w:t>“Explosive”, meaning of</w:t>
      </w:r>
      <w:bookmarkEnd w:id="27"/>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28" w:name="_Toc246812729"/>
      <w:r>
        <w:rPr>
          <w:rStyle w:val="CharSectno"/>
        </w:rPr>
        <w:t>9</w:t>
      </w:r>
      <w:r>
        <w:t>.</w:t>
      </w:r>
      <w:r>
        <w:tab/>
        <w:t>Classification of explosives</w:t>
      </w:r>
      <w:bookmarkEnd w:id="28"/>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UNMR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UNMR, and the classification code assigned to it by the Chief Officer under regulation 15 or 31, the latter is the explosive’s classification code for the purposes of these regulations.</w:t>
      </w:r>
    </w:p>
    <w:p>
      <w:pPr>
        <w:pStyle w:val="Heading5"/>
      </w:pPr>
      <w:bookmarkStart w:id="29" w:name="_Toc246812730"/>
      <w:r>
        <w:rPr>
          <w:rStyle w:val="CharSectno"/>
        </w:rPr>
        <w:t>10</w:t>
      </w:r>
      <w:r>
        <w:t>.</w:t>
      </w:r>
      <w:r>
        <w:tab/>
        <w:t>“Supervised” and related terms, meaning of</w:t>
      </w:r>
      <w:bookmarkEnd w:id="2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0" w:name="_Toc246812731"/>
      <w:r>
        <w:rPr>
          <w:rStyle w:val="CharSectno"/>
        </w:rPr>
        <w:t>11</w:t>
      </w:r>
      <w:r>
        <w:t>.</w:t>
      </w:r>
      <w:r>
        <w:tab/>
        <w:t>“Supply”, meaning of affected</w:t>
      </w:r>
      <w:bookmarkEnd w:id="30"/>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1" w:name="_Toc246812732"/>
      <w:r>
        <w:rPr>
          <w:rStyle w:val="CharSectno"/>
        </w:rPr>
        <w:t>12</w:t>
      </w:r>
      <w:r>
        <w:t>.</w:t>
      </w:r>
      <w:r>
        <w:tab/>
        <w:t>Explosives to which these regulations do not apply</w:t>
      </w:r>
      <w:bookmarkEnd w:id="31"/>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2" w:name="_Toc191960488"/>
      <w:bookmarkStart w:id="33" w:name="_Toc191982069"/>
      <w:bookmarkStart w:id="34" w:name="_Toc233692983"/>
      <w:bookmarkStart w:id="35" w:name="_Toc238546334"/>
      <w:bookmarkStart w:id="36" w:name="_Toc238546639"/>
      <w:bookmarkStart w:id="37" w:name="_Toc238547768"/>
      <w:bookmarkStart w:id="38" w:name="_Toc246812733"/>
      <w:r>
        <w:rPr>
          <w:rStyle w:val="CharPartNo"/>
        </w:rPr>
        <w:t>Part 2</w:t>
      </w:r>
      <w:r>
        <w:rPr>
          <w:rStyle w:val="CharDivNo"/>
        </w:rPr>
        <w:t> </w:t>
      </w:r>
      <w:r>
        <w:t>—</w:t>
      </w:r>
      <w:r>
        <w:rPr>
          <w:rStyle w:val="CharDivText"/>
        </w:rPr>
        <w:t> </w:t>
      </w:r>
      <w:r>
        <w:rPr>
          <w:rStyle w:val="CharPartText"/>
        </w:rPr>
        <w:t>Administrative matters</w:t>
      </w:r>
      <w:bookmarkEnd w:id="32"/>
      <w:bookmarkEnd w:id="33"/>
      <w:bookmarkEnd w:id="34"/>
      <w:bookmarkEnd w:id="35"/>
      <w:bookmarkEnd w:id="36"/>
      <w:bookmarkEnd w:id="37"/>
      <w:bookmarkEnd w:id="38"/>
    </w:p>
    <w:p>
      <w:pPr>
        <w:pStyle w:val="Heading5"/>
      </w:pPr>
      <w:bookmarkStart w:id="39" w:name="_Toc246812734"/>
      <w:r>
        <w:rPr>
          <w:rStyle w:val="CharSectno"/>
        </w:rPr>
        <w:t>13</w:t>
      </w:r>
      <w:r>
        <w:t>.</w:t>
      </w:r>
      <w:r>
        <w:tab/>
        <w:t>Forms may be approved by Chief Officer</w:t>
      </w:r>
      <w:bookmarkEnd w:id="39"/>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0" w:name="_Toc246812735"/>
      <w:r>
        <w:rPr>
          <w:rStyle w:val="CharSectno"/>
        </w:rPr>
        <w:t>14</w:t>
      </w:r>
      <w:r>
        <w:t>.</w:t>
      </w:r>
      <w:r>
        <w:tab/>
        <w:t>Courses may be approved by Chief Officer</w:t>
      </w:r>
      <w:bookmarkEnd w:id="40"/>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a person who passes the test, or completes the course, will be competent to engage in the activities that would be authorised by the licence concerned.</w:t>
      </w:r>
    </w:p>
    <w:p>
      <w:pPr>
        <w:pStyle w:val="Heading5"/>
      </w:pPr>
      <w:bookmarkStart w:id="41" w:name="_Toc246812736"/>
      <w:r>
        <w:rPr>
          <w:rStyle w:val="CharSectno"/>
        </w:rPr>
        <w:t>15</w:t>
      </w:r>
      <w:r>
        <w:t>.</w:t>
      </w:r>
      <w:r>
        <w:tab/>
        <w:t>Declaring a substance to be an explosive</w:t>
      </w:r>
      <w:bookmarkEnd w:id="41"/>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UNMR,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Heading2"/>
      </w:pPr>
      <w:bookmarkStart w:id="42" w:name="_Toc191960492"/>
      <w:bookmarkStart w:id="43" w:name="_Toc191982073"/>
      <w:bookmarkStart w:id="44" w:name="_Toc233692987"/>
      <w:bookmarkStart w:id="45" w:name="_Toc238546338"/>
      <w:bookmarkStart w:id="46" w:name="_Toc238546643"/>
      <w:bookmarkStart w:id="47" w:name="_Toc238547772"/>
      <w:bookmarkStart w:id="48" w:name="_Toc246812737"/>
      <w:r>
        <w:rPr>
          <w:rStyle w:val="CharPartNo"/>
        </w:rPr>
        <w:t>Part 3</w:t>
      </w:r>
      <w:r>
        <w:rPr>
          <w:rStyle w:val="CharDivNo"/>
        </w:rPr>
        <w:t> </w:t>
      </w:r>
      <w:r>
        <w:t>—</w:t>
      </w:r>
      <w:r>
        <w:rPr>
          <w:rStyle w:val="CharDivText"/>
        </w:rPr>
        <w:t> </w:t>
      </w:r>
      <w:r>
        <w:rPr>
          <w:rStyle w:val="CharPartText"/>
        </w:rPr>
        <w:t>Security matters</w:t>
      </w:r>
      <w:bookmarkEnd w:id="42"/>
      <w:bookmarkEnd w:id="43"/>
      <w:bookmarkEnd w:id="44"/>
      <w:bookmarkEnd w:id="45"/>
      <w:bookmarkEnd w:id="46"/>
      <w:bookmarkEnd w:id="47"/>
      <w:bookmarkEnd w:id="48"/>
    </w:p>
    <w:p>
      <w:pPr>
        <w:pStyle w:val="Heading5"/>
      </w:pPr>
      <w:bookmarkStart w:id="49" w:name="_Toc246812738"/>
      <w:r>
        <w:rPr>
          <w:rStyle w:val="CharSectno"/>
        </w:rPr>
        <w:t>16</w:t>
      </w:r>
      <w:r>
        <w:t>.</w:t>
      </w:r>
      <w:r>
        <w:tab/>
        <w:t>Security clearance, meaning of</w:t>
      </w:r>
      <w:bookmarkEnd w:id="49"/>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50" w:name="_Toc246812739"/>
      <w:r>
        <w:rPr>
          <w:rStyle w:val="CharSectno"/>
        </w:rPr>
        <w:t>17</w:t>
      </w:r>
      <w:r>
        <w:t>.</w:t>
      </w:r>
      <w:r>
        <w:tab/>
        <w:t>Security card, application for</w:t>
      </w:r>
      <w:bookmarkEnd w:id="50"/>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51" w:name="_Toc246812740"/>
      <w:r>
        <w:rPr>
          <w:rStyle w:val="CharSectno"/>
        </w:rPr>
        <w:t>18</w:t>
      </w:r>
      <w:r>
        <w:t>.</w:t>
      </w:r>
      <w:r>
        <w:tab/>
        <w:t>Application to be referred to Commissioner of Police</w:t>
      </w:r>
      <w:bookmarkEnd w:id="51"/>
    </w:p>
    <w:p>
      <w:pPr>
        <w:pStyle w:val="Subsection"/>
      </w:pPr>
      <w:r>
        <w:tab/>
      </w:r>
      <w:r>
        <w:tab/>
        <w:t>The Chief Officer must refer an application made under regulation 17 to the Commissioner of Police.</w:t>
      </w:r>
    </w:p>
    <w:p>
      <w:pPr>
        <w:pStyle w:val="Heading5"/>
      </w:pPr>
      <w:bookmarkStart w:id="52" w:name="_Toc246812741"/>
      <w:r>
        <w:rPr>
          <w:rStyle w:val="CharSectno"/>
        </w:rPr>
        <w:t>19</w:t>
      </w:r>
      <w:r>
        <w:t>.</w:t>
      </w:r>
      <w:r>
        <w:tab/>
        <w:t>Commissioner of Police may object to person having a security card</w:t>
      </w:r>
      <w:bookmarkEnd w:id="52"/>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53" w:name="_Toc246812742"/>
      <w:r>
        <w:rPr>
          <w:rStyle w:val="CharSectno"/>
        </w:rPr>
        <w:t>20</w:t>
      </w:r>
      <w:r>
        <w:t>.</w:t>
      </w:r>
      <w:r>
        <w:tab/>
        <w:t>Security card, issue of</w:t>
      </w:r>
      <w:bookmarkEnd w:id="5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54" w:name="_Toc246812743"/>
      <w:r>
        <w:rPr>
          <w:rStyle w:val="CharSectno"/>
        </w:rPr>
        <w:t>21</w:t>
      </w:r>
      <w:r>
        <w:t>.</w:t>
      </w:r>
      <w:r>
        <w:tab/>
        <w:t>Security card, cancelling</w:t>
      </w:r>
      <w:bookmarkEnd w:id="54"/>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55" w:name="_Toc246812744"/>
      <w:r>
        <w:rPr>
          <w:rStyle w:val="CharSectno"/>
        </w:rPr>
        <w:t>22</w:t>
      </w:r>
      <w:r>
        <w:t>.</w:t>
      </w:r>
      <w:r>
        <w:tab/>
        <w:t>Security documents to be carried and produced</w:t>
      </w:r>
      <w:bookmarkEnd w:id="55"/>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so so by a DGO, immediately produce it to the DGO for inspection.</w:t>
      </w:r>
    </w:p>
    <w:p>
      <w:pPr>
        <w:pStyle w:val="Penstart"/>
      </w:pPr>
      <w:r>
        <w:tab/>
        <w:t>Penalty: a level 3 fine.</w:t>
      </w:r>
    </w:p>
    <w:p>
      <w:pPr>
        <w:pStyle w:val="Heading5"/>
      </w:pPr>
      <w:bookmarkStart w:id="56" w:name="_Toc246812745"/>
      <w:r>
        <w:rPr>
          <w:rStyle w:val="CharSectno"/>
        </w:rPr>
        <w:t>23</w:t>
      </w:r>
      <w:r>
        <w:t>.</w:t>
      </w:r>
      <w:r>
        <w:tab/>
        <w:t>Licence holders may authorise employees to have access to explosives</w:t>
      </w:r>
      <w:bookmarkEnd w:id="56"/>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57" w:name="_Toc246812746"/>
      <w:r>
        <w:rPr>
          <w:rStyle w:val="CharSectno"/>
        </w:rPr>
        <w:t>24</w:t>
      </w:r>
      <w:r>
        <w:t>.</w:t>
      </w:r>
      <w:r>
        <w:tab/>
        <w:t>Licence holders to keep record of secure employees</w:t>
      </w:r>
      <w:bookmarkEnd w:id="57"/>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58" w:name="_Toc246812747"/>
      <w:r>
        <w:rPr>
          <w:rStyle w:val="CharSectno"/>
        </w:rPr>
        <w:t>25</w:t>
      </w:r>
      <w:r>
        <w:t>.</w:t>
      </w:r>
      <w:r>
        <w:tab/>
        <w:t>Secure employee to disclose employer’s details if asked</w:t>
      </w:r>
      <w:bookmarkEnd w:id="58"/>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59" w:name="_Toc191960503"/>
      <w:bookmarkStart w:id="60" w:name="_Toc191982084"/>
      <w:bookmarkStart w:id="61" w:name="_Toc233692998"/>
      <w:bookmarkStart w:id="62" w:name="_Toc238546349"/>
      <w:bookmarkStart w:id="63" w:name="_Toc238546654"/>
      <w:bookmarkStart w:id="64" w:name="_Toc238547783"/>
      <w:bookmarkStart w:id="65" w:name="_Toc246812748"/>
      <w:r>
        <w:rPr>
          <w:rStyle w:val="CharPartNo"/>
        </w:rPr>
        <w:t>Part 4</w:t>
      </w:r>
      <w:r>
        <w:t> — </w:t>
      </w:r>
      <w:r>
        <w:rPr>
          <w:rStyle w:val="CharPartText"/>
        </w:rPr>
        <w:t>Authorisation of explosives</w:t>
      </w:r>
      <w:bookmarkEnd w:id="59"/>
      <w:bookmarkEnd w:id="60"/>
      <w:bookmarkEnd w:id="61"/>
      <w:bookmarkEnd w:id="62"/>
      <w:bookmarkEnd w:id="63"/>
      <w:bookmarkEnd w:id="64"/>
      <w:bookmarkEnd w:id="65"/>
    </w:p>
    <w:p>
      <w:pPr>
        <w:pStyle w:val="Heading3"/>
      </w:pPr>
      <w:bookmarkStart w:id="66" w:name="_Toc191960504"/>
      <w:bookmarkStart w:id="67" w:name="_Toc191982085"/>
      <w:bookmarkStart w:id="68" w:name="_Toc233692999"/>
      <w:bookmarkStart w:id="69" w:name="_Toc238546350"/>
      <w:bookmarkStart w:id="70" w:name="_Toc238546655"/>
      <w:bookmarkStart w:id="71" w:name="_Toc238547784"/>
      <w:bookmarkStart w:id="72" w:name="_Toc246812749"/>
      <w:r>
        <w:rPr>
          <w:rStyle w:val="CharDivNo"/>
        </w:rPr>
        <w:t>Division 1</w:t>
      </w:r>
      <w:r>
        <w:t> — </w:t>
      </w:r>
      <w:r>
        <w:rPr>
          <w:rStyle w:val="CharDivText"/>
        </w:rPr>
        <w:t>Testing unauthorised explosives</w:t>
      </w:r>
      <w:bookmarkEnd w:id="66"/>
      <w:bookmarkEnd w:id="67"/>
      <w:bookmarkEnd w:id="68"/>
      <w:bookmarkEnd w:id="69"/>
      <w:bookmarkEnd w:id="70"/>
      <w:bookmarkEnd w:id="71"/>
      <w:bookmarkEnd w:id="72"/>
    </w:p>
    <w:p>
      <w:pPr>
        <w:pStyle w:val="Heading5"/>
      </w:pPr>
      <w:bookmarkStart w:id="73" w:name="_Toc246812750"/>
      <w:r>
        <w:rPr>
          <w:rStyle w:val="CharSectno"/>
        </w:rPr>
        <w:t>26</w:t>
      </w:r>
      <w:r>
        <w:t>.</w:t>
      </w:r>
      <w:r>
        <w:tab/>
        <w:t>Terms used in this Division</w:t>
      </w:r>
      <w:bookmarkEnd w:id="7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74" w:name="_Toc246812751"/>
      <w:r>
        <w:rPr>
          <w:rStyle w:val="CharSectno"/>
        </w:rPr>
        <w:t>27</w:t>
      </w:r>
      <w:r>
        <w:t>.</w:t>
      </w:r>
      <w:r>
        <w:tab/>
        <w:t>Applying for test permit</w:t>
      </w:r>
      <w:bookmarkEnd w:id="7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75" w:name="_Toc246812752"/>
      <w:r>
        <w:rPr>
          <w:rStyle w:val="CharSectno"/>
        </w:rPr>
        <w:t>28</w:t>
      </w:r>
      <w:r>
        <w:t>.</w:t>
      </w:r>
      <w:r>
        <w:tab/>
        <w:t>Dealing with applications for test permits</w:t>
      </w:r>
      <w:bookmarkEnd w:id="7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76" w:name="_Toc246812753"/>
      <w:r>
        <w:rPr>
          <w:rStyle w:val="CharSectno"/>
        </w:rPr>
        <w:t>29</w:t>
      </w:r>
      <w:r>
        <w:t>.</w:t>
      </w:r>
      <w:r>
        <w:tab/>
        <w:t>Test permit, effect of</w:t>
      </w:r>
      <w:bookmarkEnd w:id="7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77" w:name="_Toc191960509"/>
      <w:bookmarkStart w:id="78" w:name="_Toc191982090"/>
      <w:bookmarkStart w:id="79" w:name="_Toc233693004"/>
      <w:bookmarkStart w:id="80" w:name="_Toc238546355"/>
      <w:bookmarkStart w:id="81" w:name="_Toc238546660"/>
      <w:bookmarkStart w:id="82" w:name="_Toc238547789"/>
      <w:bookmarkStart w:id="83" w:name="_Toc246812754"/>
      <w:r>
        <w:rPr>
          <w:rStyle w:val="CharDivNo"/>
        </w:rPr>
        <w:t>Division 2</w:t>
      </w:r>
      <w:r>
        <w:t> — </w:t>
      </w:r>
      <w:r>
        <w:rPr>
          <w:rStyle w:val="CharDivText"/>
        </w:rPr>
        <w:t>Authorisation procedure</w:t>
      </w:r>
      <w:bookmarkEnd w:id="77"/>
      <w:bookmarkEnd w:id="78"/>
      <w:bookmarkEnd w:id="79"/>
      <w:bookmarkEnd w:id="80"/>
      <w:bookmarkEnd w:id="81"/>
      <w:bookmarkEnd w:id="82"/>
      <w:bookmarkEnd w:id="83"/>
    </w:p>
    <w:p>
      <w:pPr>
        <w:pStyle w:val="Heading5"/>
      </w:pPr>
      <w:bookmarkStart w:id="84" w:name="_Toc246812755"/>
      <w:r>
        <w:rPr>
          <w:rStyle w:val="CharSectno"/>
        </w:rPr>
        <w:t>30</w:t>
      </w:r>
      <w:r>
        <w:t>.</w:t>
      </w:r>
      <w:r>
        <w:tab/>
        <w:t>Applying to have explosive authorised</w:t>
      </w:r>
      <w:bookmarkEnd w:id="84"/>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UNMR;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UNMR and under the law of the Commonwealth, another State or a Territory;</w:t>
      </w:r>
    </w:p>
    <w:p>
      <w:pPr>
        <w:pStyle w:val="Indenta"/>
      </w:pPr>
      <w:r>
        <w:tab/>
      </w:r>
      <w:r>
        <w:tab/>
        <w:t>and</w:t>
      </w:r>
    </w:p>
    <w:p>
      <w:pPr>
        <w:pStyle w:val="Indenta"/>
      </w:pPr>
      <w:r>
        <w:tab/>
        <w:t>(g)</w:t>
      </w:r>
      <w:r>
        <w:tab/>
        <w:t>set out the history of the explosive’s use (including any adverse experiences) in Australia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Heading5"/>
      </w:pPr>
      <w:bookmarkStart w:id="85" w:name="_Toc246812756"/>
      <w:r>
        <w:rPr>
          <w:rStyle w:val="CharSectno"/>
        </w:rPr>
        <w:t>31</w:t>
      </w:r>
      <w:r>
        <w:t>.</w:t>
      </w:r>
      <w:r>
        <w:tab/>
        <w:t>Authorising explosives</w:t>
      </w:r>
      <w:bookmarkEnd w:id="85"/>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UNMR.</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Heading5"/>
      </w:pPr>
      <w:bookmarkStart w:id="86" w:name="_Toc246812757"/>
      <w:r>
        <w:rPr>
          <w:rStyle w:val="CharSectno"/>
        </w:rPr>
        <w:t>32</w:t>
      </w:r>
      <w:r>
        <w:t>.</w:t>
      </w:r>
      <w:r>
        <w:tab/>
        <w:t>Register of authorised explosives</w:t>
      </w:r>
      <w:bookmarkEnd w:id="86"/>
    </w:p>
    <w:p>
      <w:pPr>
        <w:pStyle w:val="Subsection"/>
      </w:pPr>
      <w:r>
        <w:tab/>
        <w:t>(1)</w:t>
      </w:r>
      <w:r>
        <w:tab/>
        <w:t>The Chief Officer must keep a record in a register of —</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Heading2"/>
      </w:pPr>
      <w:bookmarkStart w:id="87" w:name="_Toc191960513"/>
      <w:bookmarkStart w:id="88" w:name="_Toc191982094"/>
      <w:bookmarkStart w:id="89" w:name="_Toc233693008"/>
      <w:bookmarkStart w:id="90" w:name="_Toc238546359"/>
      <w:bookmarkStart w:id="91" w:name="_Toc238546664"/>
      <w:bookmarkStart w:id="92" w:name="_Toc238547793"/>
      <w:bookmarkStart w:id="93" w:name="_Toc246812758"/>
      <w:r>
        <w:rPr>
          <w:rStyle w:val="CharPartNo"/>
        </w:rPr>
        <w:t>Part 5</w:t>
      </w:r>
      <w:r>
        <w:rPr>
          <w:rStyle w:val="CharDivNo"/>
        </w:rPr>
        <w:t> </w:t>
      </w:r>
      <w:r>
        <w:t>—</w:t>
      </w:r>
      <w:r>
        <w:rPr>
          <w:rStyle w:val="CharDivText"/>
        </w:rPr>
        <w:t> </w:t>
      </w:r>
      <w:r>
        <w:rPr>
          <w:rStyle w:val="CharPartText"/>
        </w:rPr>
        <w:t>General provisions about explosives</w:t>
      </w:r>
      <w:bookmarkEnd w:id="87"/>
      <w:bookmarkEnd w:id="88"/>
      <w:bookmarkEnd w:id="89"/>
      <w:bookmarkEnd w:id="90"/>
      <w:bookmarkEnd w:id="91"/>
      <w:bookmarkEnd w:id="92"/>
      <w:bookmarkEnd w:id="93"/>
    </w:p>
    <w:p>
      <w:pPr>
        <w:pStyle w:val="Heading5"/>
      </w:pPr>
      <w:bookmarkStart w:id="94" w:name="_Toc246812759"/>
      <w:r>
        <w:rPr>
          <w:rStyle w:val="CharSectno"/>
        </w:rPr>
        <w:t>33</w:t>
      </w:r>
      <w:r>
        <w:t>.</w:t>
      </w:r>
      <w:r>
        <w:tab/>
        <w:t>Terms used in this Part</w:t>
      </w:r>
      <w:bookmarkEnd w:id="94"/>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95" w:name="_Toc246812760"/>
      <w:r>
        <w:rPr>
          <w:rStyle w:val="CharSectno"/>
        </w:rPr>
        <w:t>34</w:t>
      </w:r>
      <w:r>
        <w:t>.</w:t>
      </w:r>
      <w:r>
        <w:tab/>
        <w:t>Signage at certain explosives facilities</w:t>
      </w:r>
      <w:bookmarkEnd w:id="95"/>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1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Heading5"/>
      </w:pPr>
      <w:bookmarkStart w:id="96" w:name="_Toc246812761"/>
      <w:r>
        <w:rPr>
          <w:rStyle w:val="CharSectno"/>
        </w:rPr>
        <w:t>35</w:t>
      </w:r>
      <w:r>
        <w:t>.</w:t>
      </w:r>
      <w:r>
        <w:tab/>
        <w:t>Guns in explosives facilities</w:t>
      </w:r>
      <w:bookmarkEnd w:id="96"/>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97" w:name="_Toc246812762"/>
      <w:r>
        <w:rPr>
          <w:rStyle w:val="CharSectno"/>
        </w:rPr>
        <w:t>36</w:t>
      </w:r>
      <w:r>
        <w:t>.</w:t>
      </w:r>
      <w:r>
        <w:tab/>
        <w:t>Explosives sites, duties of people at</w:t>
      </w:r>
      <w:bookmarkEnd w:id="97"/>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98" w:name="_Toc246812763"/>
      <w:r>
        <w:rPr>
          <w:rStyle w:val="CharSectno"/>
        </w:rPr>
        <w:t>37</w:t>
      </w:r>
      <w:r>
        <w:t>.</w:t>
      </w:r>
      <w:r>
        <w:tab/>
        <w:t>Ignition sources near explosives</w:t>
      </w:r>
      <w:bookmarkEnd w:id="9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99" w:name="_Toc246812764"/>
      <w:r>
        <w:rPr>
          <w:rStyle w:val="CharSectno"/>
        </w:rPr>
        <w:t>38</w:t>
      </w:r>
      <w:r>
        <w:t>.</w:t>
      </w:r>
      <w:r>
        <w:tab/>
        <w:t>Fire risk substances near explosives</w:t>
      </w:r>
      <w:bookmarkEnd w:id="99"/>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00" w:name="_Toc246812765"/>
      <w:r>
        <w:rPr>
          <w:rStyle w:val="CharSectno"/>
        </w:rPr>
        <w:t>39</w:t>
      </w:r>
      <w:r>
        <w:t>.</w:t>
      </w:r>
      <w:r>
        <w:tab/>
        <w:t>People affected by alcohol etc. near explosives</w:t>
      </w:r>
      <w:bookmarkEnd w:id="100"/>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01" w:name="_Toc246812766"/>
      <w:r>
        <w:rPr>
          <w:rStyle w:val="CharSectno"/>
        </w:rPr>
        <w:t>40</w:t>
      </w:r>
      <w:r>
        <w:t>.</w:t>
      </w:r>
      <w:r>
        <w:tab/>
        <w:t>Packaging requirements for explosives</w:t>
      </w:r>
      <w:bookmarkEnd w:id="10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02" w:name="_Toc246812767"/>
      <w:r>
        <w:rPr>
          <w:rStyle w:val="CharSectno"/>
        </w:rPr>
        <w:t>41</w:t>
      </w:r>
      <w:r>
        <w:t>.</w:t>
      </w:r>
      <w:r>
        <w:tab/>
        <w:t>Defective explosives not to be exported or supplied</w:t>
      </w:r>
      <w:bookmarkEnd w:id="102"/>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03" w:name="_Toc246812768"/>
      <w:r>
        <w:rPr>
          <w:rStyle w:val="CharSectno"/>
        </w:rPr>
        <w:t>42</w:t>
      </w:r>
      <w:r>
        <w:t>.</w:t>
      </w:r>
      <w:r>
        <w:tab/>
        <w:t>MPUs, use of</w:t>
      </w:r>
      <w:bookmarkEnd w:id="103"/>
    </w:p>
    <w:p>
      <w:pPr>
        <w:pStyle w:val="Subsection"/>
      </w:pPr>
      <w:r>
        <w:tab/>
        <w:t>(1)</w:t>
      </w:r>
      <w:r>
        <w:tab/>
        <w:t>A person must not use an MPU to transport the constituents of, or to manufacture, an explosive unless it is a complying MPU.</w:t>
      </w:r>
    </w:p>
    <w:p>
      <w:pPr>
        <w:pStyle w:val="Penstart"/>
      </w:pPr>
      <w:r>
        <w:tab/>
        <w:t>Penalty: a level 1 fine and imprisonment for 10 months.</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1 fine and imprisonment for 10 months.</w:t>
      </w:r>
    </w:p>
    <w:p>
      <w:pPr>
        <w:pStyle w:val="Heading5"/>
      </w:pPr>
      <w:bookmarkStart w:id="104" w:name="_Toc246812769"/>
      <w:r>
        <w:rPr>
          <w:rStyle w:val="CharSectno"/>
        </w:rPr>
        <w:t>43</w:t>
      </w:r>
      <w:r>
        <w:t>.</w:t>
      </w:r>
      <w:r>
        <w:tab/>
        <w:t>Falsely representing an explosive is authorised</w:t>
      </w:r>
      <w:bookmarkEnd w:id="104"/>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05" w:name="_Toc246812770"/>
      <w:r>
        <w:rPr>
          <w:rStyle w:val="CharSectno"/>
        </w:rPr>
        <w:t>44</w:t>
      </w:r>
      <w:r>
        <w:t>.</w:t>
      </w:r>
      <w:r>
        <w:tab/>
        <w:t>“Reportable situations” prescribed (Act s. 9)</w:t>
      </w:r>
      <w:bookmarkEnd w:id="105"/>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Heading2"/>
      </w:pPr>
      <w:bookmarkStart w:id="106" w:name="_Toc191960526"/>
      <w:bookmarkStart w:id="107" w:name="_Toc191982107"/>
      <w:bookmarkStart w:id="108" w:name="_Toc233693021"/>
      <w:bookmarkStart w:id="109" w:name="_Toc238546372"/>
      <w:bookmarkStart w:id="110" w:name="_Toc238546677"/>
      <w:bookmarkStart w:id="111" w:name="_Toc238547806"/>
      <w:bookmarkStart w:id="112" w:name="_Toc246812771"/>
      <w:r>
        <w:rPr>
          <w:rStyle w:val="CharPartNo"/>
        </w:rPr>
        <w:t>Part 6</w:t>
      </w:r>
      <w:r>
        <w:t> — </w:t>
      </w:r>
      <w:r>
        <w:rPr>
          <w:rStyle w:val="CharPartText"/>
        </w:rPr>
        <w:t>Possession of explosives</w:t>
      </w:r>
      <w:bookmarkEnd w:id="106"/>
      <w:bookmarkEnd w:id="107"/>
      <w:bookmarkEnd w:id="108"/>
      <w:bookmarkEnd w:id="109"/>
      <w:bookmarkEnd w:id="110"/>
      <w:bookmarkEnd w:id="111"/>
      <w:bookmarkEnd w:id="112"/>
    </w:p>
    <w:p>
      <w:pPr>
        <w:pStyle w:val="Heading3"/>
      </w:pPr>
      <w:bookmarkStart w:id="113" w:name="_Toc191960527"/>
      <w:bookmarkStart w:id="114" w:name="_Toc191982108"/>
      <w:bookmarkStart w:id="115" w:name="_Toc233693022"/>
      <w:bookmarkStart w:id="116" w:name="_Toc238546373"/>
      <w:bookmarkStart w:id="117" w:name="_Toc238546678"/>
      <w:bookmarkStart w:id="118" w:name="_Toc238547807"/>
      <w:bookmarkStart w:id="119" w:name="_Toc246812772"/>
      <w:r>
        <w:rPr>
          <w:rStyle w:val="CharDivNo"/>
        </w:rPr>
        <w:t>Division 1</w:t>
      </w:r>
      <w:r>
        <w:t> — </w:t>
      </w:r>
      <w:r>
        <w:rPr>
          <w:rStyle w:val="CharDivText"/>
        </w:rPr>
        <w:t>Licensing requirements</w:t>
      </w:r>
      <w:bookmarkEnd w:id="113"/>
      <w:bookmarkEnd w:id="114"/>
      <w:bookmarkEnd w:id="115"/>
      <w:bookmarkEnd w:id="116"/>
      <w:bookmarkEnd w:id="117"/>
      <w:bookmarkEnd w:id="118"/>
      <w:bookmarkEnd w:id="119"/>
    </w:p>
    <w:p>
      <w:pPr>
        <w:pStyle w:val="Heading5"/>
      </w:pPr>
      <w:bookmarkStart w:id="120" w:name="_Toc246812773"/>
      <w:r>
        <w:rPr>
          <w:rStyle w:val="CharSectno"/>
        </w:rPr>
        <w:t>45</w:t>
      </w:r>
      <w:r>
        <w:t>.</w:t>
      </w:r>
      <w:r>
        <w:tab/>
        <w:t>Unauthorised explosives</w:t>
      </w:r>
      <w:bookmarkEnd w:id="120"/>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21" w:name="_Toc246812774"/>
      <w:r>
        <w:rPr>
          <w:rStyle w:val="CharSectno"/>
        </w:rPr>
        <w:t>46</w:t>
      </w:r>
      <w:r>
        <w:t>.</w:t>
      </w:r>
      <w:r>
        <w:tab/>
        <w:t>Possession for which no licence is required (Sch. 4)</w:t>
      </w:r>
      <w:bookmarkEnd w:id="121"/>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22" w:name="_Toc246812775"/>
      <w:r>
        <w:rPr>
          <w:rStyle w:val="CharSectno"/>
        </w:rPr>
        <w:t>47</w:t>
      </w:r>
      <w:r>
        <w:t>.</w:t>
      </w:r>
      <w:r>
        <w:tab/>
        <w:t>Authorised explosives, licences and permits entitling possession of</w:t>
      </w:r>
      <w:bookmarkEnd w:id="122"/>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23" w:name="_Toc191960531"/>
      <w:bookmarkStart w:id="124" w:name="_Toc191982112"/>
      <w:bookmarkStart w:id="125" w:name="_Toc233693026"/>
      <w:bookmarkStart w:id="126" w:name="_Toc238546377"/>
      <w:bookmarkStart w:id="127" w:name="_Toc238546682"/>
      <w:bookmarkStart w:id="128" w:name="_Toc238547811"/>
      <w:bookmarkStart w:id="129" w:name="_Toc246812776"/>
      <w:r>
        <w:rPr>
          <w:rStyle w:val="CharDivNo"/>
        </w:rPr>
        <w:t>Division 2</w:t>
      </w:r>
      <w:r>
        <w:t> — </w:t>
      </w:r>
      <w:r>
        <w:rPr>
          <w:rStyle w:val="CharDivText"/>
        </w:rPr>
        <w:t>Other requirements</w:t>
      </w:r>
      <w:bookmarkEnd w:id="123"/>
      <w:bookmarkEnd w:id="124"/>
      <w:bookmarkEnd w:id="125"/>
      <w:bookmarkEnd w:id="126"/>
      <w:bookmarkEnd w:id="127"/>
      <w:bookmarkEnd w:id="128"/>
      <w:bookmarkEnd w:id="129"/>
    </w:p>
    <w:p>
      <w:pPr>
        <w:pStyle w:val="Heading5"/>
      </w:pPr>
      <w:bookmarkStart w:id="130" w:name="_Toc246812777"/>
      <w:r>
        <w:rPr>
          <w:rStyle w:val="CharSectno"/>
        </w:rPr>
        <w:t>48</w:t>
      </w:r>
      <w:r>
        <w:t>.</w:t>
      </w:r>
      <w:r>
        <w:tab/>
        <w:t>Prohibited explosives, possession of illegal</w:t>
      </w:r>
      <w:bookmarkEnd w:id="130"/>
    </w:p>
    <w:p>
      <w:pPr>
        <w:pStyle w:val="Subsection"/>
      </w:pPr>
      <w:r>
        <w:tab/>
      </w:r>
      <w:r>
        <w:tab/>
        <w:t>A person must not be in possession of a prohibited explosive.</w:t>
      </w:r>
    </w:p>
    <w:p>
      <w:pPr>
        <w:pStyle w:val="Penstart"/>
      </w:pPr>
      <w:r>
        <w:tab/>
        <w:t>Penalty: a level 2 fine.</w:t>
      </w:r>
    </w:p>
    <w:p>
      <w:pPr>
        <w:pStyle w:val="Heading5"/>
      </w:pPr>
      <w:bookmarkStart w:id="131" w:name="_Toc246812778"/>
      <w:r>
        <w:rPr>
          <w:rStyle w:val="CharSectno"/>
        </w:rPr>
        <w:t>49</w:t>
      </w:r>
      <w:r>
        <w:t>.</w:t>
      </w:r>
      <w:r>
        <w:tab/>
        <w:t>Children in possession of explosives</w:t>
      </w:r>
      <w:bookmarkEnd w:id="13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32" w:name="_Toc246812779"/>
      <w:r>
        <w:rPr>
          <w:rStyle w:val="CharSectno"/>
        </w:rPr>
        <w:t>50</w:t>
      </w:r>
      <w:r>
        <w:t>.</w:t>
      </w:r>
      <w:r>
        <w:tab/>
        <w:t>Public places, possession in</w:t>
      </w:r>
      <w:bookmarkEnd w:id="13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33" w:name="_Toc246812780"/>
      <w:r>
        <w:rPr>
          <w:rStyle w:val="CharSectno"/>
        </w:rPr>
        <w:t>51</w:t>
      </w:r>
      <w:r>
        <w:t>.</w:t>
      </w:r>
      <w:r>
        <w:tab/>
        <w:t>Licences etc. to be carried</w:t>
      </w:r>
      <w:bookmarkEnd w:id="13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34" w:name="_Toc246812781"/>
      <w:r>
        <w:rPr>
          <w:rStyle w:val="CharSectno"/>
        </w:rPr>
        <w:t>52</w:t>
      </w:r>
      <w:r>
        <w:t>.</w:t>
      </w:r>
      <w:r>
        <w:tab/>
        <w:t>Duties to keep explosives secure</w:t>
      </w:r>
      <w:bookmarkEnd w:id="13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35" w:name="_Toc191960537"/>
      <w:bookmarkStart w:id="136" w:name="_Toc191982118"/>
      <w:bookmarkStart w:id="137" w:name="_Toc233693032"/>
      <w:bookmarkStart w:id="138" w:name="_Toc238546383"/>
      <w:bookmarkStart w:id="139" w:name="_Toc238546688"/>
      <w:bookmarkStart w:id="140" w:name="_Toc238547817"/>
      <w:bookmarkStart w:id="141" w:name="_Toc246812782"/>
      <w:r>
        <w:rPr>
          <w:rStyle w:val="CharPartNo"/>
        </w:rPr>
        <w:t>Part 7</w:t>
      </w:r>
      <w:r>
        <w:t> — </w:t>
      </w:r>
      <w:r>
        <w:rPr>
          <w:rStyle w:val="CharPartText"/>
        </w:rPr>
        <w:t>Import and export of explosives</w:t>
      </w:r>
      <w:bookmarkEnd w:id="135"/>
      <w:bookmarkEnd w:id="136"/>
      <w:bookmarkEnd w:id="137"/>
      <w:bookmarkEnd w:id="138"/>
      <w:bookmarkEnd w:id="139"/>
      <w:bookmarkEnd w:id="140"/>
      <w:bookmarkEnd w:id="141"/>
    </w:p>
    <w:p>
      <w:pPr>
        <w:pStyle w:val="Heading3"/>
      </w:pPr>
      <w:bookmarkStart w:id="142" w:name="_Toc191960538"/>
      <w:bookmarkStart w:id="143" w:name="_Toc191982119"/>
      <w:bookmarkStart w:id="144" w:name="_Toc233693033"/>
      <w:bookmarkStart w:id="145" w:name="_Toc238546384"/>
      <w:bookmarkStart w:id="146" w:name="_Toc238546689"/>
      <w:bookmarkStart w:id="147" w:name="_Toc238547818"/>
      <w:bookmarkStart w:id="148" w:name="_Toc246812783"/>
      <w:r>
        <w:rPr>
          <w:rStyle w:val="CharDivNo"/>
        </w:rPr>
        <w:t>Division 1</w:t>
      </w:r>
      <w:r>
        <w:t> — </w:t>
      </w:r>
      <w:r>
        <w:rPr>
          <w:rStyle w:val="CharDivText"/>
        </w:rPr>
        <w:t>All imports and exports</w:t>
      </w:r>
      <w:bookmarkEnd w:id="142"/>
      <w:bookmarkEnd w:id="143"/>
      <w:bookmarkEnd w:id="144"/>
      <w:bookmarkEnd w:id="145"/>
      <w:bookmarkEnd w:id="146"/>
      <w:bookmarkEnd w:id="147"/>
      <w:bookmarkEnd w:id="148"/>
    </w:p>
    <w:p>
      <w:pPr>
        <w:pStyle w:val="Heading5"/>
      </w:pPr>
      <w:bookmarkStart w:id="149" w:name="_Toc246812784"/>
      <w:r>
        <w:rPr>
          <w:rStyle w:val="CharSectno"/>
        </w:rPr>
        <w:t>53</w:t>
      </w:r>
      <w:r>
        <w:t>.</w:t>
      </w:r>
      <w:r>
        <w:tab/>
        <w:t>Unauthorised explosives</w:t>
      </w:r>
      <w:bookmarkEnd w:id="149"/>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50" w:name="_Toc191960540"/>
      <w:bookmarkStart w:id="151" w:name="_Toc191982121"/>
      <w:bookmarkStart w:id="152" w:name="_Toc233693035"/>
      <w:bookmarkStart w:id="153" w:name="_Toc238546386"/>
      <w:bookmarkStart w:id="154" w:name="_Toc238546691"/>
      <w:bookmarkStart w:id="155" w:name="_Toc238547820"/>
      <w:bookmarkStart w:id="156" w:name="_Toc246812785"/>
      <w:r>
        <w:rPr>
          <w:rStyle w:val="CharDivNo"/>
        </w:rPr>
        <w:t>Division 2</w:t>
      </w:r>
      <w:r>
        <w:t> — </w:t>
      </w:r>
      <w:r>
        <w:rPr>
          <w:rStyle w:val="CharDivText"/>
        </w:rPr>
        <w:t>Interstate imports</w:t>
      </w:r>
      <w:bookmarkEnd w:id="150"/>
      <w:bookmarkEnd w:id="151"/>
      <w:bookmarkEnd w:id="152"/>
      <w:bookmarkEnd w:id="153"/>
      <w:bookmarkEnd w:id="154"/>
      <w:bookmarkEnd w:id="155"/>
      <w:bookmarkEnd w:id="156"/>
    </w:p>
    <w:p>
      <w:pPr>
        <w:pStyle w:val="Heading5"/>
      </w:pPr>
      <w:bookmarkStart w:id="157" w:name="_Toc246812786"/>
      <w:r>
        <w:rPr>
          <w:rStyle w:val="CharSectno"/>
        </w:rPr>
        <w:t>54</w:t>
      </w:r>
      <w:r>
        <w:t>.</w:t>
      </w:r>
      <w:r>
        <w:tab/>
        <w:t>Terms used in this Division</w:t>
      </w:r>
      <w:bookmarkEnd w:id="157"/>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158" w:name="_Toc246812787"/>
      <w:r>
        <w:rPr>
          <w:rStyle w:val="CharSectno"/>
        </w:rPr>
        <w:t>55</w:t>
      </w:r>
      <w:r>
        <w:t>.</w:t>
      </w:r>
      <w:r>
        <w:tab/>
        <w:t>Interstate import of fireworks</w:t>
      </w:r>
      <w:bookmarkEnd w:id="158"/>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159" w:name="_Toc191960543"/>
      <w:bookmarkStart w:id="160" w:name="_Toc191982124"/>
      <w:bookmarkStart w:id="161" w:name="_Toc233693038"/>
      <w:bookmarkStart w:id="162" w:name="_Toc238546389"/>
      <w:bookmarkStart w:id="163" w:name="_Toc238546694"/>
      <w:bookmarkStart w:id="164" w:name="_Toc238547823"/>
      <w:bookmarkStart w:id="165" w:name="_Toc246812788"/>
      <w:r>
        <w:rPr>
          <w:rStyle w:val="CharDivNo"/>
        </w:rPr>
        <w:t>Division 3</w:t>
      </w:r>
      <w:r>
        <w:t> — </w:t>
      </w:r>
      <w:r>
        <w:rPr>
          <w:rStyle w:val="CharDivText"/>
        </w:rPr>
        <w:t>International imports and exports</w:t>
      </w:r>
      <w:bookmarkEnd w:id="159"/>
      <w:bookmarkEnd w:id="160"/>
      <w:bookmarkEnd w:id="161"/>
      <w:bookmarkEnd w:id="162"/>
      <w:bookmarkEnd w:id="163"/>
      <w:bookmarkEnd w:id="164"/>
      <w:bookmarkEnd w:id="165"/>
    </w:p>
    <w:p>
      <w:pPr>
        <w:pStyle w:val="Heading5"/>
      </w:pPr>
      <w:bookmarkStart w:id="166" w:name="_Toc246812789"/>
      <w:r>
        <w:rPr>
          <w:rStyle w:val="CharSectno"/>
        </w:rPr>
        <w:t>56</w:t>
      </w:r>
      <w:r>
        <w:t>.</w:t>
      </w:r>
      <w:r>
        <w:tab/>
        <w:t>Terms used in this Division</w:t>
      </w:r>
      <w:bookmarkEnd w:id="166"/>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Australia;</w:t>
      </w:r>
    </w:p>
    <w:p>
      <w:pPr>
        <w:pStyle w:val="Defstart"/>
      </w:pPr>
      <w:r>
        <w:rPr>
          <w:b/>
        </w:rPr>
        <w:tab/>
      </w:r>
      <w:r>
        <w:rPr>
          <w:rStyle w:val="CharDefText"/>
        </w:rPr>
        <w:t>import</w:t>
      </w:r>
      <w:r>
        <w:t xml:space="preserve"> means to import to the State from a country outside Australia;</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167" w:name="_Toc246812790"/>
      <w:r>
        <w:rPr>
          <w:rStyle w:val="CharSectno"/>
        </w:rPr>
        <w:t>57</w:t>
      </w:r>
      <w:r>
        <w:t>.</w:t>
      </w:r>
      <w:r>
        <w:tab/>
        <w:t>Authorised explosives, licence entitling import or export</w:t>
      </w:r>
      <w:bookmarkEnd w:id="167"/>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Heading5"/>
      </w:pPr>
      <w:bookmarkStart w:id="168" w:name="_Toc246812791"/>
      <w:r>
        <w:rPr>
          <w:rStyle w:val="CharSectno"/>
        </w:rPr>
        <w:t>58</w:t>
      </w:r>
      <w:r>
        <w:t>.</w:t>
      </w:r>
      <w:r>
        <w:tab/>
        <w:t>International import and export, procedure for</w:t>
      </w:r>
      <w:bookmarkEnd w:id="168"/>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169" w:name="_Toc246812792"/>
      <w:r>
        <w:rPr>
          <w:rStyle w:val="CharSectno"/>
        </w:rPr>
        <w:t>59</w:t>
      </w:r>
      <w:r>
        <w:t>.</w:t>
      </w:r>
      <w:r>
        <w:tab/>
        <w:t>Import or export, notice to Chief Officer</w:t>
      </w:r>
      <w:bookmarkEnd w:id="169"/>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170" w:name="_Toc246812793"/>
      <w:r>
        <w:rPr>
          <w:rStyle w:val="CharSectno"/>
        </w:rPr>
        <w:t>60</w:t>
      </w:r>
      <w:r>
        <w:t>.</w:t>
      </w:r>
      <w:r>
        <w:tab/>
        <w:t>Chief Officer may direct explosive to be analysed</w:t>
      </w:r>
      <w:bookmarkEnd w:id="170"/>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171" w:name="_Toc246812794"/>
      <w:r>
        <w:rPr>
          <w:rStyle w:val="CharSectno"/>
        </w:rPr>
        <w:t>61</w:t>
      </w:r>
      <w:r>
        <w:t>.</w:t>
      </w:r>
      <w:r>
        <w:tab/>
        <w:t>Records to be kept by licence holders</w:t>
      </w:r>
      <w:bookmarkEnd w:id="171"/>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172" w:name="_Toc246812795"/>
      <w:r>
        <w:rPr>
          <w:rStyle w:val="CharSectno"/>
        </w:rPr>
        <w:t>62</w:t>
      </w:r>
      <w:r>
        <w:t>.</w:t>
      </w:r>
      <w:r>
        <w:tab/>
        <w:t>Port operators may refuse import in certain cases</w:t>
      </w:r>
      <w:bookmarkEnd w:id="172"/>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173" w:name="_Toc191960551"/>
      <w:bookmarkStart w:id="174" w:name="_Toc191982132"/>
      <w:bookmarkStart w:id="175" w:name="_Toc233693046"/>
      <w:bookmarkStart w:id="176" w:name="_Toc238546397"/>
      <w:bookmarkStart w:id="177" w:name="_Toc238546702"/>
      <w:bookmarkStart w:id="178" w:name="_Toc238547831"/>
      <w:bookmarkStart w:id="179" w:name="_Toc246812796"/>
      <w:r>
        <w:rPr>
          <w:rStyle w:val="CharPartNo"/>
        </w:rPr>
        <w:t>Part 8</w:t>
      </w:r>
      <w:r>
        <w:t> — </w:t>
      </w:r>
      <w:r>
        <w:rPr>
          <w:rStyle w:val="CharPartText"/>
        </w:rPr>
        <w:t>Manufacture of explosives</w:t>
      </w:r>
      <w:bookmarkEnd w:id="173"/>
      <w:bookmarkEnd w:id="174"/>
      <w:bookmarkEnd w:id="175"/>
      <w:bookmarkEnd w:id="176"/>
      <w:bookmarkEnd w:id="177"/>
      <w:bookmarkEnd w:id="178"/>
      <w:bookmarkEnd w:id="179"/>
    </w:p>
    <w:p>
      <w:pPr>
        <w:pStyle w:val="Heading3"/>
      </w:pPr>
      <w:bookmarkStart w:id="180" w:name="_Toc191960552"/>
      <w:bookmarkStart w:id="181" w:name="_Toc191982133"/>
      <w:bookmarkStart w:id="182" w:name="_Toc233693047"/>
      <w:bookmarkStart w:id="183" w:name="_Toc238546398"/>
      <w:bookmarkStart w:id="184" w:name="_Toc238546703"/>
      <w:bookmarkStart w:id="185" w:name="_Toc238547832"/>
      <w:bookmarkStart w:id="186" w:name="_Toc246812797"/>
      <w:r>
        <w:rPr>
          <w:rStyle w:val="CharDivNo"/>
        </w:rPr>
        <w:t>Division 1</w:t>
      </w:r>
      <w:r>
        <w:t> — </w:t>
      </w:r>
      <w:r>
        <w:rPr>
          <w:rStyle w:val="CharDivText"/>
        </w:rPr>
        <w:t>Licensing requirements</w:t>
      </w:r>
      <w:bookmarkEnd w:id="180"/>
      <w:bookmarkEnd w:id="181"/>
      <w:bookmarkEnd w:id="182"/>
      <w:bookmarkEnd w:id="183"/>
      <w:bookmarkEnd w:id="184"/>
      <w:bookmarkEnd w:id="185"/>
      <w:bookmarkEnd w:id="186"/>
    </w:p>
    <w:p>
      <w:pPr>
        <w:pStyle w:val="Heading5"/>
      </w:pPr>
      <w:bookmarkStart w:id="187" w:name="_Toc246812798"/>
      <w:r>
        <w:rPr>
          <w:rStyle w:val="CharSectno"/>
        </w:rPr>
        <w:t>63</w:t>
      </w:r>
      <w:r>
        <w:t>.</w:t>
      </w:r>
      <w:r>
        <w:tab/>
        <w:t>Unauthorised explosives</w:t>
      </w:r>
      <w:bookmarkEnd w:id="187"/>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188" w:name="_Toc246812799"/>
      <w:r>
        <w:rPr>
          <w:rStyle w:val="CharSectno"/>
        </w:rPr>
        <w:t>64</w:t>
      </w:r>
      <w:r>
        <w:t>.</w:t>
      </w:r>
      <w:r>
        <w:tab/>
        <w:t>Authorised explosives, licensing for manufacture (Sch. 5)</w:t>
      </w:r>
      <w:bookmarkEnd w:id="188"/>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189" w:name="_Toc246812800"/>
      <w:r>
        <w:rPr>
          <w:rStyle w:val="CharSectno"/>
        </w:rPr>
        <w:t>65</w:t>
      </w:r>
      <w:r>
        <w:t>.</w:t>
      </w:r>
      <w:r>
        <w:tab/>
        <w:t>Bulk AN-based explosives, licences authorising manufacture of</w:t>
      </w:r>
      <w:bookmarkEnd w:id="189"/>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190" w:name="_Toc246812801"/>
      <w:r>
        <w:rPr>
          <w:rStyle w:val="CharSectno"/>
        </w:rPr>
        <w:t>66</w:t>
      </w:r>
      <w:r>
        <w:t>.</w:t>
      </w:r>
      <w:r>
        <w:tab/>
        <w:t>Fireworks, licence authorising manufacture of</w:t>
      </w:r>
      <w:bookmarkEnd w:id="190"/>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191" w:name="_Toc191960557"/>
      <w:bookmarkStart w:id="192" w:name="_Toc191982138"/>
      <w:bookmarkStart w:id="193" w:name="_Toc233693052"/>
      <w:bookmarkStart w:id="194" w:name="_Toc238546403"/>
      <w:bookmarkStart w:id="195" w:name="_Toc238546708"/>
      <w:bookmarkStart w:id="196" w:name="_Toc238547837"/>
      <w:bookmarkStart w:id="197" w:name="_Toc246812802"/>
      <w:r>
        <w:rPr>
          <w:rStyle w:val="CharDivNo"/>
        </w:rPr>
        <w:t>Division 2</w:t>
      </w:r>
      <w:r>
        <w:t> — </w:t>
      </w:r>
      <w:r>
        <w:rPr>
          <w:rStyle w:val="CharDivText"/>
        </w:rPr>
        <w:t>Other requirements</w:t>
      </w:r>
      <w:bookmarkEnd w:id="191"/>
      <w:bookmarkEnd w:id="192"/>
      <w:bookmarkEnd w:id="193"/>
      <w:bookmarkEnd w:id="194"/>
      <w:bookmarkEnd w:id="195"/>
      <w:bookmarkEnd w:id="196"/>
      <w:bookmarkEnd w:id="197"/>
    </w:p>
    <w:p>
      <w:pPr>
        <w:pStyle w:val="Heading5"/>
      </w:pPr>
      <w:bookmarkStart w:id="198" w:name="_Toc246812803"/>
      <w:r>
        <w:rPr>
          <w:rStyle w:val="CharSectno"/>
        </w:rPr>
        <w:t>67</w:t>
      </w:r>
      <w:r>
        <w:t>.</w:t>
      </w:r>
      <w:r>
        <w:tab/>
        <w:t>Containers of components to be marked</w:t>
      </w:r>
      <w:bookmarkEnd w:id="198"/>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199" w:name="_Toc246812804"/>
      <w:r>
        <w:rPr>
          <w:rStyle w:val="CharSectno"/>
        </w:rPr>
        <w:t>68</w:t>
      </w:r>
      <w:r>
        <w:t>.</w:t>
      </w:r>
      <w:r>
        <w:tab/>
        <w:t>Records to be kept by some manufacturers</w:t>
      </w:r>
      <w:bookmarkEnd w:id="199"/>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00" w:name="_Toc246812805"/>
      <w:r>
        <w:rPr>
          <w:rStyle w:val="CharSectno"/>
        </w:rPr>
        <w:t>69</w:t>
      </w:r>
      <w:r>
        <w:t>.</w:t>
      </w:r>
      <w:r>
        <w:tab/>
        <w:t>Documents to be kept at place of manufacture</w:t>
      </w:r>
      <w:bookmarkEnd w:id="200"/>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201" w:name="_Toc246812806"/>
      <w:r>
        <w:rPr>
          <w:rStyle w:val="CharSectno"/>
        </w:rPr>
        <w:t>70</w:t>
      </w:r>
      <w:r>
        <w:t>.</w:t>
      </w:r>
      <w:r>
        <w:tab/>
        <w:t>Bulk AN-based explosives, manufacture of</w:t>
      </w:r>
      <w:bookmarkEnd w:id="20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02" w:name="_Toc246812807"/>
      <w:r>
        <w:rPr>
          <w:rStyle w:val="CharSectno"/>
        </w:rPr>
        <w:t>71</w:t>
      </w:r>
      <w:r>
        <w:t>.</w:t>
      </w:r>
      <w:r>
        <w:tab/>
        <w:t>MPUs in operation not to be left unattended</w:t>
      </w:r>
      <w:bookmarkEnd w:id="202"/>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03" w:name="_Toc246812808"/>
      <w:r>
        <w:rPr>
          <w:rStyle w:val="CharSectno"/>
        </w:rPr>
        <w:t>72</w:t>
      </w:r>
      <w:r>
        <w:t>.</w:t>
      </w:r>
      <w:r>
        <w:tab/>
        <w:t>Fireworks manufactured by licensee, supply and use of</w:t>
      </w:r>
      <w:bookmarkEnd w:id="203"/>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04" w:name="_Toc246812809"/>
      <w:r>
        <w:rPr>
          <w:rStyle w:val="CharSectno"/>
        </w:rPr>
        <w:t>73</w:t>
      </w:r>
      <w:r>
        <w:t>.</w:t>
      </w:r>
      <w:r>
        <w:tab/>
        <w:t>Filling ammunition</w:t>
      </w:r>
      <w:bookmarkEnd w:id="204"/>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05" w:name="_Toc191960565"/>
      <w:bookmarkStart w:id="206" w:name="_Toc191982146"/>
      <w:bookmarkStart w:id="207" w:name="_Toc233693060"/>
      <w:bookmarkStart w:id="208" w:name="_Toc238546411"/>
      <w:bookmarkStart w:id="209" w:name="_Toc238546716"/>
      <w:bookmarkStart w:id="210" w:name="_Toc238547845"/>
      <w:bookmarkStart w:id="211" w:name="_Toc246812810"/>
      <w:r>
        <w:rPr>
          <w:rStyle w:val="CharPartNo"/>
        </w:rPr>
        <w:t>Part 9</w:t>
      </w:r>
      <w:r>
        <w:t> — </w:t>
      </w:r>
      <w:r>
        <w:rPr>
          <w:rStyle w:val="CharPartText"/>
        </w:rPr>
        <w:t>Storage of explosives</w:t>
      </w:r>
      <w:bookmarkEnd w:id="205"/>
      <w:bookmarkEnd w:id="206"/>
      <w:bookmarkEnd w:id="207"/>
      <w:bookmarkEnd w:id="208"/>
      <w:bookmarkEnd w:id="209"/>
      <w:bookmarkEnd w:id="210"/>
      <w:bookmarkEnd w:id="211"/>
    </w:p>
    <w:p>
      <w:pPr>
        <w:pStyle w:val="Heading3"/>
      </w:pPr>
      <w:bookmarkStart w:id="212" w:name="_Toc191960566"/>
      <w:bookmarkStart w:id="213" w:name="_Toc191982147"/>
      <w:bookmarkStart w:id="214" w:name="_Toc233693061"/>
      <w:bookmarkStart w:id="215" w:name="_Toc238546412"/>
      <w:bookmarkStart w:id="216" w:name="_Toc238546717"/>
      <w:bookmarkStart w:id="217" w:name="_Toc238547846"/>
      <w:bookmarkStart w:id="218" w:name="_Toc246812811"/>
      <w:r>
        <w:rPr>
          <w:rStyle w:val="CharDivNo"/>
        </w:rPr>
        <w:t>Division 1</w:t>
      </w:r>
      <w:r>
        <w:t> — </w:t>
      </w:r>
      <w:r>
        <w:rPr>
          <w:rStyle w:val="CharDivText"/>
        </w:rPr>
        <w:t>Preliminary matters</w:t>
      </w:r>
      <w:bookmarkEnd w:id="212"/>
      <w:bookmarkEnd w:id="213"/>
      <w:bookmarkEnd w:id="214"/>
      <w:bookmarkEnd w:id="215"/>
      <w:bookmarkEnd w:id="216"/>
      <w:bookmarkEnd w:id="217"/>
      <w:bookmarkEnd w:id="218"/>
    </w:p>
    <w:p>
      <w:pPr>
        <w:pStyle w:val="Heading5"/>
      </w:pPr>
      <w:bookmarkStart w:id="219" w:name="_Toc246812812"/>
      <w:r>
        <w:rPr>
          <w:rStyle w:val="CharSectno"/>
        </w:rPr>
        <w:t>74</w:t>
      </w:r>
      <w:r>
        <w:t>.</w:t>
      </w:r>
      <w:r>
        <w:tab/>
        <w:t>Terms used in this Part</w:t>
      </w:r>
      <w:bookmarkEnd w:id="219"/>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20" w:name="_Toc191960568"/>
      <w:bookmarkStart w:id="221" w:name="_Toc191982149"/>
      <w:bookmarkStart w:id="222" w:name="_Toc233693063"/>
      <w:bookmarkStart w:id="223" w:name="_Toc238546414"/>
      <w:bookmarkStart w:id="224" w:name="_Toc238546719"/>
      <w:bookmarkStart w:id="225" w:name="_Toc238547848"/>
      <w:bookmarkStart w:id="226" w:name="_Toc246812813"/>
      <w:r>
        <w:rPr>
          <w:rStyle w:val="CharDivNo"/>
        </w:rPr>
        <w:t>Division 2</w:t>
      </w:r>
      <w:r>
        <w:t> — </w:t>
      </w:r>
      <w:r>
        <w:rPr>
          <w:rStyle w:val="CharDivText"/>
        </w:rPr>
        <w:t>Licensing requirements</w:t>
      </w:r>
      <w:bookmarkEnd w:id="220"/>
      <w:bookmarkEnd w:id="221"/>
      <w:bookmarkEnd w:id="222"/>
      <w:bookmarkEnd w:id="223"/>
      <w:bookmarkEnd w:id="224"/>
      <w:bookmarkEnd w:id="225"/>
      <w:bookmarkEnd w:id="226"/>
    </w:p>
    <w:p>
      <w:pPr>
        <w:pStyle w:val="Heading5"/>
      </w:pPr>
      <w:bookmarkStart w:id="227" w:name="_Toc246812814"/>
      <w:r>
        <w:rPr>
          <w:rStyle w:val="CharSectno"/>
        </w:rPr>
        <w:t>75</w:t>
      </w:r>
      <w:r>
        <w:t>.</w:t>
      </w:r>
      <w:r>
        <w:tab/>
        <w:t>Unauthorised explosives</w:t>
      </w:r>
      <w:bookmarkEnd w:id="22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228" w:name="_Toc246812815"/>
      <w:r>
        <w:rPr>
          <w:rStyle w:val="CharSectno"/>
        </w:rPr>
        <w:t>76</w:t>
      </w:r>
      <w:r>
        <w:t>.</w:t>
      </w:r>
      <w:r>
        <w:tab/>
        <w:t>Authorised explosives, licensing for storage (Sch. 6)</w:t>
      </w:r>
      <w:bookmarkEnd w:id="22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79 or 80 and stores the explosive in accordance with that regulation.</w:t>
      </w:r>
    </w:p>
    <w:p>
      <w:pPr>
        <w:pStyle w:val="NotesPerm"/>
      </w:pPr>
      <w:r>
        <w:tab/>
        <w:t>Note: the Act s. 11 (Unlicensed person involved with dangerous goods).</w:t>
      </w:r>
    </w:p>
    <w:p>
      <w:pPr>
        <w:pStyle w:val="Heading5"/>
      </w:pPr>
      <w:bookmarkStart w:id="229" w:name="_Toc246812816"/>
      <w:r>
        <w:rPr>
          <w:rStyle w:val="CharSectno"/>
        </w:rPr>
        <w:t>77</w:t>
      </w:r>
      <w:r>
        <w:t>.</w:t>
      </w:r>
      <w:r>
        <w:tab/>
        <w:t>Shotfiring licence authorises limited storage</w:t>
      </w:r>
      <w:bookmarkEnd w:id="22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230" w:name="_Toc246812817"/>
      <w:r>
        <w:rPr>
          <w:rStyle w:val="CharSectno"/>
        </w:rPr>
        <w:t>78</w:t>
      </w:r>
      <w:r>
        <w:t>.</w:t>
      </w:r>
      <w:r>
        <w:tab/>
        <w:t>Pyrotechnics (special use) licence authorises limited storage</w:t>
      </w:r>
      <w:bookmarkEnd w:id="23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1" w:name="_Toc246812818"/>
      <w:r>
        <w:rPr>
          <w:rStyle w:val="CharSectno"/>
        </w:rPr>
        <w:t>79</w:t>
      </w:r>
      <w:r>
        <w:t>.</w:t>
      </w:r>
      <w:r>
        <w:tab/>
        <w:t>Fireworks contractor licence and fireworks operator licence authorise limited storage</w:t>
      </w:r>
      <w:bookmarkEnd w:id="23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232" w:name="_Toc246812819"/>
      <w:r>
        <w:rPr>
          <w:rStyle w:val="CharSectno"/>
        </w:rPr>
        <w:t>80</w:t>
      </w:r>
      <w:r>
        <w:t>.</w:t>
      </w:r>
      <w:r>
        <w:tab/>
        <w:t>Fireworks event permit may authorise storage</w:t>
      </w:r>
      <w:bookmarkEnd w:id="232"/>
    </w:p>
    <w:p>
      <w:pPr>
        <w:pStyle w:val="Subsection"/>
      </w:pPr>
      <w:r>
        <w:tab/>
      </w:r>
      <w:r>
        <w:tab/>
        <w:t>The holder of a fireworks event permit is authorised to store a firework at a place for which there is no explosives storage licence if the permit authorises storage of it at the place.</w:t>
      </w:r>
    </w:p>
    <w:p>
      <w:pPr>
        <w:pStyle w:val="Heading3"/>
      </w:pPr>
      <w:bookmarkStart w:id="233" w:name="_Toc191960575"/>
      <w:bookmarkStart w:id="234" w:name="_Toc191982156"/>
      <w:bookmarkStart w:id="235" w:name="_Toc233693070"/>
      <w:bookmarkStart w:id="236" w:name="_Toc238546421"/>
      <w:bookmarkStart w:id="237" w:name="_Toc238546726"/>
      <w:bookmarkStart w:id="238" w:name="_Toc238547855"/>
      <w:bookmarkStart w:id="239" w:name="_Toc246812820"/>
      <w:r>
        <w:rPr>
          <w:rStyle w:val="CharDivNo"/>
        </w:rPr>
        <w:t>Division 3</w:t>
      </w:r>
      <w:r>
        <w:t> — </w:t>
      </w:r>
      <w:r>
        <w:rPr>
          <w:rStyle w:val="CharDivText"/>
        </w:rPr>
        <w:t>Storing Schedule 6 explosives</w:t>
      </w:r>
      <w:bookmarkEnd w:id="233"/>
      <w:bookmarkEnd w:id="234"/>
      <w:bookmarkEnd w:id="235"/>
      <w:bookmarkEnd w:id="236"/>
      <w:bookmarkEnd w:id="237"/>
      <w:bookmarkEnd w:id="238"/>
      <w:bookmarkEnd w:id="239"/>
    </w:p>
    <w:p>
      <w:pPr>
        <w:pStyle w:val="Heading5"/>
      </w:pPr>
      <w:bookmarkStart w:id="240" w:name="_Toc246812821"/>
      <w:r>
        <w:rPr>
          <w:rStyle w:val="CharSectno"/>
        </w:rPr>
        <w:t>81</w:t>
      </w:r>
      <w:r>
        <w:t>.</w:t>
      </w:r>
      <w:r>
        <w:tab/>
        <w:t>Application of this Division</w:t>
      </w:r>
      <w:bookmarkEnd w:id="240"/>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241" w:name="_Toc246812822"/>
      <w:r>
        <w:rPr>
          <w:rStyle w:val="CharSectno"/>
        </w:rPr>
        <w:t>82</w:t>
      </w:r>
      <w:r>
        <w:t>.</w:t>
      </w:r>
      <w:r>
        <w:tab/>
        <w:t>Cartridges for safety devices etc.</w:t>
      </w:r>
      <w:bookmarkEnd w:id="241"/>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242" w:name="_Toc246812823"/>
      <w:r>
        <w:rPr>
          <w:rStyle w:val="CharSectno"/>
        </w:rPr>
        <w:t>83</w:t>
      </w:r>
      <w:r>
        <w:t>.</w:t>
      </w:r>
      <w:r>
        <w:tab/>
        <w:t>Cartridges for nail guns etc.</w:t>
      </w:r>
      <w:bookmarkEnd w:id="242"/>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243" w:name="_Toc246812824"/>
      <w:r>
        <w:rPr>
          <w:rStyle w:val="CharSectno"/>
        </w:rPr>
        <w:t>84</w:t>
      </w:r>
      <w:r>
        <w:t>.</w:t>
      </w:r>
      <w:r>
        <w:tab/>
        <w:t>Emergency devices</w:t>
      </w:r>
      <w:bookmarkEnd w:id="243"/>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244" w:name="_Toc246812825"/>
      <w:r>
        <w:rPr>
          <w:rStyle w:val="CharSectno"/>
        </w:rPr>
        <w:t>85</w:t>
      </w:r>
      <w:r>
        <w:t>.</w:t>
      </w:r>
      <w:r>
        <w:tab/>
        <w:t>Ammunition propellant and black powder</w:t>
      </w:r>
      <w:bookmarkEnd w:id="24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245" w:name="_Toc191960581"/>
      <w:bookmarkStart w:id="246" w:name="_Toc191982162"/>
      <w:bookmarkStart w:id="247" w:name="_Toc233693076"/>
      <w:bookmarkStart w:id="248" w:name="_Toc238546427"/>
      <w:bookmarkStart w:id="249" w:name="_Toc238546732"/>
      <w:bookmarkStart w:id="250" w:name="_Toc238547861"/>
      <w:bookmarkStart w:id="251" w:name="_Toc246812826"/>
      <w:r>
        <w:rPr>
          <w:rStyle w:val="CharDivNo"/>
        </w:rPr>
        <w:t>Division 4</w:t>
      </w:r>
      <w:r>
        <w:t> — </w:t>
      </w:r>
      <w:r>
        <w:rPr>
          <w:rStyle w:val="CharDivText"/>
        </w:rPr>
        <w:t>Storage under licences other than an explosives storage licence</w:t>
      </w:r>
      <w:bookmarkEnd w:id="245"/>
      <w:bookmarkEnd w:id="246"/>
      <w:bookmarkEnd w:id="247"/>
      <w:bookmarkEnd w:id="248"/>
      <w:bookmarkEnd w:id="249"/>
      <w:bookmarkEnd w:id="250"/>
      <w:bookmarkEnd w:id="251"/>
    </w:p>
    <w:p>
      <w:pPr>
        <w:pStyle w:val="Heading5"/>
      </w:pPr>
      <w:bookmarkStart w:id="252" w:name="_Toc246812827"/>
      <w:r>
        <w:rPr>
          <w:rStyle w:val="CharSectno"/>
        </w:rPr>
        <w:t>86</w:t>
      </w:r>
      <w:r>
        <w:t>.</w:t>
      </w:r>
      <w:r>
        <w:tab/>
        <w:t>Shotfiring licence holders, storage by</w:t>
      </w:r>
      <w:bookmarkEnd w:id="252"/>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3" w:name="_Toc246812828"/>
      <w:r>
        <w:rPr>
          <w:rStyle w:val="CharSectno"/>
        </w:rPr>
        <w:t>87</w:t>
      </w:r>
      <w:r>
        <w:t>.</w:t>
      </w:r>
      <w:r>
        <w:tab/>
        <w:t>Pyrotechnics (special use) licence holders, storage by</w:t>
      </w:r>
      <w:bookmarkEnd w:id="253"/>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254" w:name="_Toc246812829"/>
      <w:r>
        <w:rPr>
          <w:rStyle w:val="CharSectno"/>
        </w:rPr>
        <w:t>88</w:t>
      </w:r>
      <w:r>
        <w:t>.</w:t>
      </w:r>
      <w:r>
        <w:tab/>
        <w:t>Fireworks contractor licence holders, storage by</w:t>
      </w:r>
      <w:bookmarkEnd w:id="254"/>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255" w:name="_Toc246812830"/>
      <w:r>
        <w:rPr>
          <w:rStyle w:val="CharSectno"/>
        </w:rPr>
        <w:t>89</w:t>
      </w:r>
      <w:r>
        <w:t>.</w:t>
      </w:r>
      <w:r>
        <w:tab/>
        <w:t>Fireworks event permit holders, storage by</w:t>
      </w:r>
      <w:bookmarkEnd w:id="255"/>
    </w:p>
    <w:p>
      <w:pPr>
        <w:pStyle w:val="Subsection"/>
      </w:pPr>
      <w:r>
        <w:tab/>
      </w:r>
      <w:r>
        <w:tab/>
        <w:t>This regulation applies to a person who holds a fireworks event permit and who, under the permit, stores a firework at a place for which there not an explosives storage licence held by the person.</w:t>
      </w:r>
    </w:p>
    <w:p>
      <w:pPr>
        <w:pStyle w:val="Penstart"/>
      </w:pPr>
      <w:r>
        <w:tab/>
        <w:t>Penalty: a level 2 fine.</w:t>
      </w:r>
    </w:p>
    <w:p>
      <w:pPr>
        <w:pStyle w:val="Heading3"/>
      </w:pPr>
      <w:bookmarkStart w:id="256" w:name="_Toc191960586"/>
      <w:bookmarkStart w:id="257" w:name="_Toc191982167"/>
      <w:bookmarkStart w:id="258" w:name="_Toc233693081"/>
      <w:bookmarkStart w:id="259" w:name="_Toc238546432"/>
      <w:bookmarkStart w:id="260" w:name="_Toc238546737"/>
      <w:bookmarkStart w:id="261" w:name="_Toc238547866"/>
      <w:bookmarkStart w:id="262" w:name="_Toc246812831"/>
      <w:r>
        <w:rPr>
          <w:rStyle w:val="CharDivNo"/>
        </w:rPr>
        <w:t>Division 5</w:t>
      </w:r>
      <w:r>
        <w:t> — </w:t>
      </w:r>
      <w:r>
        <w:rPr>
          <w:rStyle w:val="CharDivText"/>
        </w:rPr>
        <w:t>Storage under an explosives storage licence</w:t>
      </w:r>
      <w:bookmarkEnd w:id="256"/>
      <w:bookmarkEnd w:id="257"/>
      <w:bookmarkEnd w:id="258"/>
      <w:bookmarkEnd w:id="259"/>
      <w:bookmarkEnd w:id="260"/>
      <w:bookmarkEnd w:id="261"/>
      <w:bookmarkEnd w:id="262"/>
    </w:p>
    <w:p>
      <w:pPr>
        <w:pStyle w:val="Heading5"/>
      </w:pPr>
      <w:bookmarkStart w:id="263" w:name="_Toc246812832"/>
      <w:r>
        <w:rPr>
          <w:rStyle w:val="CharSectno"/>
        </w:rPr>
        <w:t>90</w:t>
      </w:r>
      <w:r>
        <w:t>.</w:t>
      </w:r>
      <w:r>
        <w:tab/>
        <w:t>General requirements</w:t>
      </w:r>
      <w:bookmarkEnd w:id="26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1 fine and imprisonment for 10 months.</w:t>
      </w:r>
    </w:p>
    <w:p>
      <w:pPr>
        <w:pStyle w:val="Heading5"/>
      </w:pPr>
      <w:bookmarkStart w:id="264" w:name="_Toc246812833"/>
      <w:r>
        <w:rPr>
          <w:rStyle w:val="CharSectno"/>
        </w:rPr>
        <w:t>91</w:t>
      </w:r>
      <w:r>
        <w:t>.</w:t>
      </w:r>
      <w:r>
        <w:tab/>
        <w:t>Underground storage, magazine requirements</w:t>
      </w:r>
      <w:bookmarkEnd w:id="264"/>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1 fine and imprisonment for 10 months.</w:t>
      </w:r>
    </w:p>
    <w:p>
      <w:pPr>
        <w:pStyle w:val="Subsection"/>
      </w:pPr>
      <w:r>
        <w:tab/>
        <w:t>(3)</w:t>
      </w:r>
      <w:r>
        <w:tab/>
        <w:t>It is a defence to a charge of an offence against subregulation (2) that is alleged to have been committed —</w:t>
      </w:r>
    </w:p>
    <w:p>
      <w:pPr>
        <w:pStyle w:val="Indenta"/>
      </w:pPr>
      <w:r>
        <w:tab/>
        <w:t>(a)</w:t>
      </w:r>
      <w:r>
        <w:tab/>
        <w:t xml:space="preserve">at a mine (as that term is defined in the </w:t>
      </w:r>
      <w:r>
        <w:rPr>
          <w:i/>
        </w:rPr>
        <w:t>Mines Safety and Inspection Act 1994</w:t>
      </w:r>
      <w:r>
        <w:t>); and</w:t>
      </w:r>
    </w:p>
    <w:p>
      <w:pPr>
        <w:pStyle w:val="Indenta"/>
      </w:pPr>
      <w:r>
        <w:tab/>
        <w:t>(b)</w:t>
      </w:r>
      <w:r>
        <w:tab/>
        <w:t>in the 12 months that begin on the day on which these regulations come into operation,</w:t>
      </w:r>
    </w:p>
    <w:p>
      <w:pPr>
        <w:pStyle w:val="Subsection"/>
      </w:pPr>
      <w:r>
        <w:tab/>
      </w:r>
      <w:r>
        <w:tab/>
        <w:t xml:space="preserve">to prove that the magazine complied with the </w:t>
      </w:r>
      <w:r>
        <w:rPr>
          <w:i/>
        </w:rPr>
        <w:t>Mines Safety and Inspection Regulations 1995</w:t>
      </w:r>
      <w:r>
        <w:t xml:space="preserve"> regulation 8.5(1) or 8.9, as it was immediately before it was repealed.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Heading5"/>
      </w:pPr>
      <w:bookmarkStart w:id="265" w:name="_Toc246812834"/>
      <w:r>
        <w:rPr>
          <w:rStyle w:val="CharSectno"/>
        </w:rPr>
        <w:t>92</w:t>
      </w:r>
      <w:r>
        <w:t>.</w:t>
      </w:r>
      <w:r>
        <w:tab/>
        <w:t>Explosives storage licence holders to keep inventories etc.</w:t>
      </w:r>
      <w:bookmarkEnd w:id="265"/>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266" w:name="_Toc246812835"/>
      <w:r>
        <w:rPr>
          <w:rStyle w:val="CharSectno"/>
        </w:rPr>
        <w:t>93</w:t>
      </w:r>
      <w:r>
        <w:t>.</w:t>
      </w:r>
      <w:r>
        <w:tab/>
        <w:t>Documents to be kept at storage places</w:t>
      </w:r>
      <w:bookmarkEnd w:id="26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267" w:name="_Toc246812836"/>
      <w:r>
        <w:rPr>
          <w:rStyle w:val="CharSectno"/>
        </w:rPr>
        <w:t>94</w:t>
      </w:r>
      <w:r>
        <w:t>.</w:t>
      </w:r>
      <w:r>
        <w:tab/>
        <w:t>Magazines to be kept secure</w:t>
      </w:r>
      <w:bookmarkEnd w:id="267"/>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268" w:name="_Toc191960592"/>
      <w:bookmarkStart w:id="269" w:name="_Toc191982173"/>
      <w:bookmarkStart w:id="270" w:name="_Toc233693087"/>
      <w:bookmarkStart w:id="271" w:name="_Toc238546438"/>
      <w:bookmarkStart w:id="272" w:name="_Toc238546743"/>
      <w:bookmarkStart w:id="273" w:name="_Toc238547872"/>
      <w:bookmarkStart w:id="274" w:name="_Toc246812837"/>
      <w:r>
        <w:rPr>
          <w:rStyle w:val="CharPartNo"/>
        </w:rPr>
        <w:t>Part 10</w:t>
      </w:r>
      <w:r>
        <w:t> — </w:t>
      </w:r>
      <w:r>
        <w:rPr>
          <w:rStyle w:val="CharPartText"/>
        </w:rPr>
        <w:t>Transport of explosives</w:t>
      </w:r>
      <w:bookmarkEnd w:id="268"/>
      <w:bookmarkEnd w:id="269"/>
      <w:bookmarkEnd w:id="270"/>
      <w:bookmarkEnd w:id="271"/>
      <w:bookmarkEnd w:id="272"/>
      <w:bookmarkEnd w:id="273"/>
      <w:bookmarkEnd w:id="274"/>
    </w:p>
    <w:p>
      <w:pPr>
        <w:pStyle w:val="Heading3"/>
      </w:pPr>
      <w:bookmarkStart w:id="275" w:name="_Toc191960593"/>
      <w:bookmarkStart w:id="276" w:name="_Toc191982174"/>
      <w:bookmarkStart w:id="277" w:name="_Toc233693088"/>
      <w:bookmarkStart w:id="278" w:name="_Toc238546439"/>
      <w:bookmarkStart w:id="279" w:name="_Toc238546744"/>
      <w:bookmarkStart w:id="280" w:name="_Toc238547873"/>
      <w:bookmarkStart w:id="281" w:name="_Toc246812838"/>
      <w:r>
        <w:rPr>
          <w:rStyle w:val="CharDivNo"/>
        </w:rPr>
        <w:t>Division 1</w:t>
      </w:r>
      <w:r>
        <w:t> — </w:t>
      </w:r>
      <w:r>
        <w:rPr>
          <w:rStyle w:val="CharDivText"/>
        </w:rPr>
        <w:t>Preliminary matters</w:t>
      </w:r>
      <w:bookmarkEnd w:id="275"/>
      <w:bookmarkEnd w:id="276"/>
      <w:bookmarkEnd w:id="277"/>
      <w:bookmarkEnd w:id="278"/>
      <w:bookmarkEnd w:id="279"/>
      <w:bookmarkEnd w:id="280"/>
      <w:bookmarkEnd w:id="281"/>
    </w:p>
    <w:p>
      <w:pPr>
        <w:pStyle w:val="Heading5"/>
      </w:pPr>
      <w:bookmarkStart w:id="282" w:name="_Toc246812839"/>
      <w:r>
        <w:rPr>
          <w:rStyle w:val="CharSectno"/>
        </w:rPr>
        <w:t>95</w:t>
      </w:r>
      <w:r>
        <w:t>.</w:t>
      </w:r>
      <w:r>
        <w:tab/>
        <w:t>Terms used in this Part</w:t>
      </w:r>
      <w:bookmarkEnd w:id="28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283" w:name="_Toc191960595"/>
      <w:bookmarkStart w:id="284" w:name="_Toc191982176"/>
      <w:bookmarkStart w:id="285" w:name="_Toc233693090"/>
      <w:bookmarkStart w:id="286" w:name="_Toc238546441"/>
      <w:bookmarkStart w:id="287" w:name="_Toc238546746"/>
      <w:bookmarkStart w:id="288" w:name="_Toc238547875"/>
      <w:bookmarkStart w:id="289" w:name="_Toc246812840"/>
      <w:r>
        <w:rPr>
          <w:rStyle w:val="CharDivNo"/>
        </w:rPr>
        <w:t>Division 2</w:t>
      </w:r>
      <w:r>
        <w:t> — </w:t>
      </w:r>
      <w:r>
        <w:rPr>
          <w:rStyle w:val="CharDivText"/>
        </w:rPr>
        <w:t>Licensing requirements</w:t>
      </w:r>
      <w:bookmarkEnd w:id="283"/>
      <w:bookmarkEnd w:id="284"/>
      <w:bookmarkEnd w:id="285"/>
      <w:bookmarkEnd w:id="286"/>
      <w:bookmarkEnd w:id="287"/>
      <w:bookmarkEnd w:id="288"/>
      <w:bookmarkEnd w:id="289"/>
    </w:p>
    <w:p>
      <w:pPr>
        <w:pStyle w:val="Heading5"/>
      </w:pPr>
      <w:bookmarkStart w:id="290" w:name="_Toc246812841"/>
      <w:r>
        <w:rPr>
          <w:rStyle w:val="CharSectno"/>
        </w:rPr>
        <w:t>96</w:t>
      </w:r>
      <w:r>
        <w:t>.</w:t>
      </w:r>
      <w:r>
        <w:tab/>
        <w:t>Unauthorised explosives</w:t>
      </w:r>
      <w:bookmarkEnd w:id="290"/>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291" w:name="_Toc246812842"/>
      <w:r>
        <w:rPr>
          <w:rStyle w:val="CharSectno"/>
        </w:rPr>
        <w:t>97</w:t>
      </w:r>
      <w:r>
        <w:t>.</w:t>
      </w:r>
      <w:r>
        <w:tab/>
        <w:t>Authorised explosives, licences entitling transport</w:t>
      </w:r>
      <w:bookmarkEnd w:id="291"/>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Heading5"/>
      </w:pPr>
      <w:bookmarkStart w:id="292" w:name="_Toc246812843"/>
      <w:r>
        <w:rPr>
          <w:rStyle w:val="CharSectno"/>
        </w:rPr>
        <w:t>98</w:t>
      </w:r>
      <w:r>
        <w:t>.</w:t>
      </w:r>
      <w:r>
        <w:tab/>
        <w:t>Shotfiring licence authorises limited transport</w:t>
      </w:r>
      <w:bookmarkEnd w:id="292"/>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93" w:name="_Toc246812844"/>
      <w:r>
        <w:rPr>
          <w:rStyle w:val="CharSectno"/>
        </w:rPr>
        <w:t>99</w:t>
      </w:r>
      <w:r>
        <w:t>.</w:t>
      </w:r>
      <w:r>
        <w:tab/>
        <w:t>Pyrotechnics (special use) licence authorises limited transport</w:t>
      </w:r>
      <w:bookmarkEnd w:id="293"/>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294" w:name="_Toc246812845"/>
      <w:r>
        <w:rPr>
          <w:rStyle w:val="CharSectno"/>
        </w:rPr>
        <w:t>100</w:t>
      </w:r>
      <w:r>
        <w:t>.</w:t>
      </w:r>
      <w:r>
        <w:tab/>
        <w:t>Fireworks contractor licence authorises limited transport</w:t>
      </w:r>
      <w:bookmarkEnd w:id="294"/>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295" w:name="_Toc246812846"/>
      <w:r>
        <w:rPr>
          <w:rStyle w:val="CharSectno"/>
        </w:rPr>
        <w:t>101</w:t>
      </w:r>
      <w:r>
        <w:t>.</w:t>
      </w:r>
      <w:r>
        <w:tab/>
        <w:t>Fireworks operator licence authorises limited transport</w:t>
      </w:r>
      <w:bookmarkEnd w:id="295"/>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296" w:name="_Toc246812847"/>
      <w:r>
        <w:rPr>
          <w:rStyle w:val="CharSectno"/>
        </w:rPr>
        <w:t>102</w:t>
      </w:r>
      <w:r>
        <w:t>.</w:t>
      </w:r>
      <w:r>
        <w:tab/>
        <w:t>MPUs, licensing requirements for</w:t>
      </w:r>
      <w:bookmarkEnd w:id="296"/>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297" w:name="_Toc191960603"/>
      <w:bookmarkStart w:id="298" w:name="_Toc191982184"/>
      <w:bookmarkStart w:id="299" w:name="_Toc233693098"/>
      <w:bookmarkStart w:id="300" w:name="_Toc238546449"/>
      <w:bookmarkStart w:id="301" w:name="_Toc238546754"/>
      <w:bookmarkStart w:id="302" w:name="_Toc238547883"/>
      <w:bookmarkStart w:id="303" w:name="_Toc246812848"/>
      <w:r>
        <w:rPr>
          <w:rStyle w:val="CharDivNo"/>
        </w:rPr>
        <w:t>Division 3</w:t>
      </w:r>
      <w:r>
        <w:t> — </w:t>
      </w:r>
      <w:r>
        <w:rPr>
          <w:rStyle w:val="CharDivText"/>
        </w:rPr>
        <w:t>Transport by road or rail</w:t>
      </w:r>
      <w:bookmarkEnd w:id="297"/>
      <w:bookmarkEnd w:id="298"/>
      <w:bookmarkEnd w:id="299"/>
      <w:bookmarkEnd w:id="300"/>
      <w:bookmarkEnd w:id="301"/>
      <w:bookmarkEnd w:id="302"/>
      <w:bookmarkEnd w:id="303"/>
    </w:p>
    <w:p>
      <w:pPr>
        <w:pStyle w:val="Heading5"/>
      </w:pPr>
      <w:bookmarkStart w:id="304" w:name="_Toc246812849"/>
      <w:r>
        <w:rPr>
          <w:rStyle w:val="CharSectno"/>
        </w:rPr>
        <w:t>103</w:t>
      </w:r>
      <w:r>
        <w:t>.</w:t>
      </w:r>
      <w:r>
        <w:tab/>
        <w:t>Application of this Division</w:t>
      </w:r>
      <w:bookmarkEnd w:id="304"/>
    </w:p>
    <w:p>
      <w:pPr>
        <w:pStyle w:val="Subsection"/>
      </w:pPr>
      <w:r>
        <w:tab/>
      </w:r>
      <w:r>
        <w:tab/>
        <w:t>This Division applies to and in relation to the transport of an explosive by road or rail.</w:t>
      </w:r>
    </w:p>
    <w:p>
      <w:pPr>
        <w:pStyle w:val="Heading5"/>
      </w:pPr>
      <w:bookmarkStart w:id="305" w:name="_Toc246812850"/>
      <w:r>
        <w:rPr>
          <w:rStyle w:val="CharSectno"/>
        </w:rPr>
        <w:t>104</w:t>
      </w:r>
      <w:r>
        <w:t>.</w:t>
      </w:r>
      <w:r>
        <w:tab/>
        <w:t>Contravention of AE Code Ch. 8 an offence</w:t>
      </w:r>
      <w:bookmarkEnd w:id="305"/>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1 fine and imprisonment for 10 months.</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w:t>
      </w:r>
    </w:p>
    <w:p>
      <w:pPr>
        <w:pStyle w:val="Heading5"/>
      </w:pPr>
      <w:bookmarkStart w:id="306" w:name="_Toc246812851"/>
      <w:r>
        <w:rPr>
          <w:rStyle w:val="CharSectno"/>
        </w:rPr>
        <w:t>105</w:t>
      </w:r>
      <w:r>
        <w:t>.</w:t>
      </w:r>
      <w:r>
        <w:tab/>
        <w:t>Consignor’s duties</w:t>
      </w:r>
      <w:bookmarkEnd w:id="306"/>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307" w:name="_Toc246812852"/>
      <w:r>
        <w:rPr>
          <w:rStyle w:val="CharSectno"/>
        </w:rPr>
        <w:t>106</w:t>
      </w:r>
      <w:r>
        <w:t>.</w:t>
      </w:r>
      <w:r>
        <w:tab/>
        <w:t>Prime contractor’s duties</w:t>
      </w:r>
      <w:bookmarkEnd w:id="307"/>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308" w:name="_Toc246812853"/>
      <w:r>
        <w:rPr>
          <w:rStyle w:val="CharSectno"/>
        </w:rPr>
        <w:t>107</w:t>
      </w:r>
      <w:r>
        <w:t>.</w:t>
      </w:r>
      <w:r>
        <w:tab/>
        <w:t>Restrictions on transporting certain loads in CBDs</w:t>
      </w:r>
      <w:bookmarkEnd w:id="308"/>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309" w:name="_Toc191960609"/>
      <w:bookmarkStart w:id="310" w:name="_Toc191982190"/>
      <w:bookmarkStart w:id="311" w:name="_Toc233693104"/>
      <w:bookmarkStart w:id="312" w:name="_Toc238546455"/>
      <w:bookmarkStart w:id="313" w:name="_Toc238546760"/>
      <w:bookmarkStart w:id="314" w:name="_Toc238547889"/>
      <w:bookmarkStart w:id="315" w:name="_Toc246812854"/>
      <w:r>
        <w:rPr>
          <w:rStyle w:val="CharDivNo"/>
        </w:rPr>
        <w:t>Division 4</w:t>
      </w:r>
      <w:r>
        <w:t> — </w:t>
      </w:r>
      <w:r>
        <w:rPr>
          <w:rStyle w:val="CharDivText"/>
        </w:rPr>
        <w:t>Emergencies</w:t>
      </w:r>
      <w:bookmarkEnd w:id="309"/>
      <w:bookmarkEnd w:id="310"/>
      <w:bookmarkEnd w:id="311"/>
      <w:bookmarkEnd w:id="312"/>
      <w:bookmarkEnd w:id="313"/>
      <w:bookmarkEnd w:id="314"/>
      <w:bookmarkEnd w:id="315"/>
    </w:p>
    <w:p>
      <w:pPr>
        <w:pStyle w:val="Heading5"/>
      </w:pPr>
      <w:bookmarkStart w:id="316" w:name="_Toc246812855"/>
      <w:r>
        <w:rPr>
          <w:rStyle w:val="CharSectno"/>
        </w:rPr>
        <w:t>108</w:t>
      </w:r>
      <w:r>
        <w:t>.</w:t>
      </w:r>
      <w:r>
        <w:tab/>
        <w:t>Terms used in this Division</w:t>
      </w:r>
      <w:bookmarkEnd w:id="316"/>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317" w:name="_Toc246812856"/>
      <w:r>
        <w:rPr>
          <w:rStyle w:val="CharSectno"/>
        </w:rPr>
        <w:t>109</w:t>
      </w:r>
      <w:r>
        <w:t>.</w:t>
      </w:r>
      <w:r>
        <w:tab/>
        <w:t>Dangerous situations, duty to notify authorities</w:t>
      </w:r>
      <w:bookmarkEnd w:id="317"/>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each accountable person in relation to the vehicle —</w:t>
      </w:r>
    </w:p>
    <w:p>
      <w:pPr>
        <w:pStyle w:val="Indenta"/>
      </w:pPr>
      <w:r>
        <w:tab/>
        <w:t>(a)</w:t>
      </w:r>
      <w:r>
        <w:tab/>
        <w:t>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Heading3"/>
      </w:pPr>
      <w:bookmarkStart w:id="318" w:name="_Toc191960612"/>
      <w:bookmarkStart w:id="319" w:name="_Toc191982193"/>
      <w:bookmarkStart w:id="320" w:name="_Toc233693107"/>
      <w:bookmarkStart w:id="321" w:name="_Toc238546458"/>
      <w:bookmarkStart w:id="322" w:name="_Toc238546763"/>
      <w:bookmarkStart w:id="323" w:name="_Toc238547892"/>
      <w:bookmarkStart w:id="324" w:name="_Toc246812857"/>
      <w:r>
        <w:rPr>
          <w:rStyle w:val="CharDivNo"/>
        </w:rPr>
        <w:t>Division 5</w:t>
      </w:r>
      <w:r>
        <w:t> — </w:t>
      </w:r>
      <w:r>
        <w:rPr>
          <w:rStyle w:val="CharDivText"/>
        </w:rPr>
        <w:t>Transport in mines</w:t>
      </w:r>
      <w:bookmarkEnd w:id="318"/>
      <w:bookmarkEnd w:id="319"/>
      <w:bookmarkEnd w:id="320"/>
      <w:bookmarkEnd w:id="321"/>
      <w:bookmarkEnd w:id="322"/>
      <w:bookmarkEnd w:id="323"/>
      <w:bookmarkEnd w:id="324"/>
    </w:p>
    <w:p>
      <w:pPr>
        <w:pStyle w:val="Heading5"/>
      </w:pPr>
      <w:bookmarkStart w:id="325" w:name="_Toc246812858"/>
      <w:bookmarkStart w:id="326" w:name="_Toc191960614"/>
      <w:bookmarkStart w:id="327" w:name="_Toc191982195"/>
      <w:bookmarkStart w:id="328" w:name="_Toc233693109"/>
      <w:bookmarkStart w:id="329" w:name="_Toc238546460"/>
      <w:bookmarkStart w:id="330" w:name="_Toc238546765"/>
      <w:bookmarkStart w:id="331" w:name="_Toc238547894"/>
      <w:r>
        <w:rPr>
          <w:rStyle w:val="CharSectno"/>
        </w:rPr>
        <w:t>110</w:t>
      </w:r>
      <w:r>
        <w:t>.</w:t>
      </w:r>
      <w:r>
        <w:tab/>
        <w:t>Contravention of certain provisions of AE Code an offence</w:t>
      </w:r>
      <w:bookmarkEnd w:id="32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w:t>
      </w:r>
    </w:p>
    <w:p>
      <w:pPr>
        <w:pStyle w:val="Heading2"/>
      </w:pPr>
      <w:bookmarkStart w:id="332" w:name="_Toc246812859"/>
      <w:r>
        <w:rPr>
          <w:rStyle w:val="CharPartNo"/>
        </w:rPr>
        <w:t>Part 11</w:t>
      </w:r>
      <w:r>
        <w:t> — </w:t>
      </w:r>
      <w:r>
        <w:rPr>
          <w:rStyle w:val="CharPartText"/>
        </w:rPr>
        <w:t>Supply of explosives</w:t>
      </w:r>
      <w:bookmarkEnd w:id="326"/>
      <w:bookmarkEnd w:id="327"/>
      <w:bookmarkEnd w:id="328"/>
      <w:bookmarkEnd w:id="329"/>
      <w:bookmarkEnd w:id="330"/>
      <w:bookmarkEnd w:id="331"/>
      <w:bookmarkEnd w:id="332"/>
    </w:p>
    <w:p>
      <w:pPr>
        <w:pStyle w:val="Heading3"/>
      </w:pPr>
      <w:bookmarkStart w:id="333" w:name="_Toc191960615"/>
      <w:bookmarkStart w:id="334" w:name="_Toc191982196"/>
      <w:bookmarkStart w:id="335" w:name="_Toc233693110"/>
      <w:bookmarkStart w:id="336" w:name="_Toc238546461"/>
      <w:bookmarkStart w:id="337" w:name="_Toc238546766"/>
      <w:bookmarkStart w:id="338" w:name="_Toc238547895"/>
      <w:bookmarkStart w:id="339" w:name="_Toc246812860"/>
      <w:r>
        <w:rPr>
          <w:rStyle w:val="CharDivNo"/>
        </w:rPr>
        <w:t>Division 1</w:t>
      </w:r>
      <w:r>
        <w:t> — </w:t>
      </w:r>
      <w:r>
        <w:rPr>
          <w:rStyle w:val="CharDivText"/>
        </w:rPr>
        <w:t>Licensing requirements</w:t>
      </w:r>
      <w:bookmarkEnd w:id="333"/>
      <w:bookmarkEnd w:id="334"/>
      <w:bookmarkEnd w:id="335"/>
      <w:bookmarkEnd w:id="336"/>
      <w:bookmarkEnd w:id="337"/>
      <w:bookmarkEnd w:id="338"/>
      <w:bookmarkEnd w:id="339"/>
    </w:p>
    <w:p>
      <w:pPr>
        <w:pStyle w:val="Heading5"/>
      </w:pPr>
      <w:bookmarkStart w:id="340" w:name="_Toc246812861"/>
      <w:r>
        <w:rPr>
          <w:rStyle w:val="CharSectno"/>
        </w:rPr>
        <w:t>111</w:t>
      </w:r>
      <w:r>
        <w:t>.</w:t>
      </w:r>
      <w:r>
        <w:tab/>
        <w:t>Unauthorised explosives</w:t>
      </w:r>
      <w:bookmarkEnd w:id="340"/>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341" w:name="_Toc246812862"/>
      <w:r>
        <w:rPr>
          <w:rStyle w:val="CharSectno"/>
        </w:rPr>
        <w:t>112</w:t>
      </w:r>
      <w:r>
        <w:t>.</w:t>
      </w:r>
      <w:r>
        <w:tab/>
        <w:t>Authorised explosives, licences authorising supply</w:t>
      </w:r>
      <w:bookmarkEnd w:id="341"/>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 115 or 116 and the supply is in accordance with that regulation.</w:t>
      </w:r>
    </w:p>
    <w:p>
      <w:pPr>
        <w:pStyle w:val="NotesPerm"/>
      </w:pPr>
      <w:r>
        <w:tab/>
        <w:t>Note: the Act s. 11 (Unlicensed person involved with dangerous goods).</w:t>
      </w:r>
    </w:p>
    <w:p>
      <w:pPr>
        <w:pStyle w:val="Heading5"/>
      </w:pPr>
      <w:bookmarkStart w:id="342" w:name="_Toc246812863"/>
      <w:r>
        <w:rPr>
          <w:rStyle w:val="CharSectno"/>
        </w:rPr>
        <w:t>113</w:t>
      </w:r>
      <w:r>
        <w:t>.</w:t>
      </w:r>
      <w:r>
        <w:tab/>
        <w:t>Import/export licence authorises limited supply</w:t>
      </w:r>
      <w:bookmarkEnd w:id="342"/>
    </w:p>
    <w:p>
      <w:pPr>
        <w:pStyle w:val="Subsection"/>
      </w:pPr>
      <w:r>
        <w:tab/>
      </w:r>
      <w:r>
        <w:tab/>
        <w:t>The holder of an explosives import/export licence is authorised, without holding an explosives supply licence, to supply to a person outside the State any explosive that the holder exports under the licence.</w:t>
      </w:r>
    </w:p>
    <w:p>
      <w:pPr>
        <w:pStyle w:val="Heading5"/>
      </w:pPr>
      <w:bookmarkStart w:id="343" w:name="_Toc246812864"/>
      <w:r>
        <w:rPr>
          <w:rStyle w:val="CharSectno"/>
        </w:rPr>
        <w:t>114</w:t>
      </w:r>
      <w:r>
        <w:t>.</w:t>
      </w:r>
      <w:r>
        <w:tab/>
        <w:t>Explosives manufacture (MPU) licence authorises limited supply</w:t>
      </w:r>
      <w:bookmarkEnd w:id="343"/>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344" w:name="_Toc246812865"/>
      <w:r>
        <w:rPr>
          <w:rStyle w:val="CharSectno"/>
        </w:rPr>
        <w:t>115</w:t>
      </w:r>
      <w:r>
        <w:t>.</w:t>
      </w:r>
      <w:r>
        <w:tab/>
        <w:t>Explosives transport licence authorises limited supply</w:t>
      </w:r>
      <w:bookmarkEnd w:id="344"/>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345" w:name="_Toc246812866"/>
      <w:r>
        <w:rPr>
          <w:rStyle w:val="CharSectno"/>
        </w:rPr>
        <w:t>116</w:t>
      </w:r>
      <w:r>
        <w:t>.</w:t>
      </w:r>
      <w:r>
        <w:tab/>
        <w:t>Explosives driver licence authorises limited supply</w:t>
      </w:r>
      <w:bookmarkEnd w:id="345"/>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346" w:name="_Toc191960622"/>
      <w:bookmarkStart w:id="347" w:name="_Toc191982203"/>
      <w:bookmarkStart w:id="348" w:name="_Toc233693117"/>
      <w:bookmarkStart w:id="349" w:name="_Toc238546468"/>
      <w:bookmarkStart w:id="350" w:name="_Toc238546773"/>
      <w:bookmarkStart w:id="351" w:name="_Toc238547902"/>
      <w:bookmarkStart w:id="352" w:name="_Toc246812867"/>
      <w:r>
        <w:rPr>
          <w:rStyle w:val="CharDivNo"/>
        </w:rPr>
        <w:t>Division 2</w:t>
      </w:r>
      <w:r>
        <w:t> — </w:t>
      </w:r>
      <w:r>
        <w:rPr>
          <w:rStyle w:val="CharDivText"/>
        </w:rPr>
        <w:t>Supplying explosives</w:t>
      </w:r>
      <w:bookmarkEnd w:id="346"/>
      <w:bookmarkEnd w:id="347"/>
      <w:bookmarkEnd w:id="348"/>
      <w:bookmarkEnd w:id="349"/>
      <w:bookmarkEnd w:id="350"/>
      <w:bookmarkEnd w:id="351"/>
      <w:bookmarkEnd w:id="352"/>
    </w:p>
    <w:p>
      <w:pPr>
        <w:pStyle w:val="Heading5"/>
      </w:pPr>
      <w:bookmarkStart w:id="353" w:name="_Toc246812868"/>
      <w:r>
        <w:rPr>
          <w:rStyle w:val="CharSectno"/>
        </w:rPr>
        <w:t>117</w:t>
      </w:r>
      <w:r>
        <w:t>.</w:t>
      </w:r>
      <w:r>
        <w:tab/>
        <w:t>Supply to unauthorised people prohibited</w:t>
      </w:r>
      <w:bookmarkEnd w:id="353"/>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354" w:name="_Toc246812869"/>
      <w:r>
        <w:rPr>
          <w:rStyle w:val="CharSectno"/>
        </w:rPr>
        <w:t>118</w:t>
      </w:r>
      <w:r>
        <w:t>.</w:t>
      </w:r>
      <w:r>
        <w:tab/>
        <w:t>Suppliers, duties when supplying</w:t>
      </w:r>
      <w:bookmarkEnd w:id="35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a driver’s licence issued in Australia;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355" w:name="_Toc246812870"/>
      <w:r>
        <w:rPr>
          <w:rStyle w:val="CharSectno"/>
        </w:rPr>
        <w:t>119</w:t>
      </w:r>
      <w:r>
        <w:t>.</w:t>
      </w:r>
      <w:r>
        <w:tab/>
        <w:t>Records to be kept by suppliers</w:t>
      </w:r>
      <w:bookmarkEnd w:id="355"/>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356" w:name="_Toc246812871"/>
      <w:r>
        <w:rPr>
          <w:rStyle w:val="CharSectno"/>
        </w:rPr>
        <w:t>120</w:t>
      </w:r>
      <w:r>
        <w:t>.</w:t>
      </w:r>
      <w:r>
        <w:tab/>
        <w:t>Receiver of explosives not to mislead supplier</w:t>
      </w:r>
      <w:bookmarkEnd w:id="356"/>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357" w:name="_Toc246812872"/>
      <w:r>
        <w:rPr>
          <w:rStyle w:val="CharSectno"/>
        </w:rPr>
        <w:t>121</w:t>
      </w:r>
      <w:r>
        <w:t>.</w:t>
      </w:r>
      <w:r>
        <w:tab/>
        <w:t>Sale in public prohibited</w:t>
      </w:r>
      <w:bookmarkEnd w:id="357"/>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358" w:name="_Toc191960628"/>
      <w:bookmarkStart w:id="359" w:name="_Toc191982209"/>
      <w:bookmarkStart w:id="360" w:name="_Toc233693123"/>
      <w:bookmarkStart w:id="361" w:name="_Toc238546474"/>
      <w:bookmarkStart w:id="362" w:name="_Toc238546779"/>
      <w:bookmarkStart w:id="363" w:name="_Toc238547908"/>
      <w:bookmarkStart w:id="364" w:name="_Toc246812873"/>
      <w:r>
        <w:rPr>
          <w:rStyle w:val="CharPartNo"/>
        </w:rPr>
        <w:t>Part 12</w:t>
      </w:r>
      <w:r>
        <w:t> — </w:t>
      </w:r>
      <w:r>
        <w:rPr>
          <w:rStyle w:val="CharPartText"/>
        </w:rPr>
        <w:t>Use of explosives other than fireworks</w:t>
      </w:r>
      <w:bookmarkEnd w:id="358"/>
      <w:bookmarkEnd w:id="359"/>
      <w:bookmarkEnd w:id="360"/>
      <w:bookmarkEnd w:id="361"/>
      <w:bookmarkEnd w:id="362"/>
      <w:bookmarkEnd w:id="363"/>
      <w:bookmarkEnd w:id="364"/>
    </w:p>
    <w:p>
      <w:pPr>
        <w:pStyle w:val="Heading3"/>
      </w:pPr>
      <w:bookmarkStart w:id="365" w:name="_Toc191960629"/>
      <w:bookmarkStart w:id="366" w:name="_Toc191982210"/>
      <w:bookmarkStart w:id="367" w:name="_Toc233693124"/>
      <w:bookmarkStart w:id="368" w:name="_Toc238546475"/>
      <w:bookmarkStart w:id="369" w:name="_Toc238546780"/>
      <w:bookmarkStart w:id="370" w:name="_Toc238547909"/>
      <w:bookmarkStart w:id="371" w:name="_Toc246812874"/>
      <w:r>
        <w:rPr>
          <w:rStyle w:val="CharDivNo"/>
        </w:rPr>
        <w:t>Division 1</w:t>
      </w:r>
      <w:r>
        <w:t> — </w:t>
      </w:r>
      <w:r>
        <w:rPr>
          <w:rStyle w:val="CharDivText"/>
        </w:rPr>
        <w:t>Preliminary</w:t>
      </w:r>
      <w:bookmarkEnd w:id="365"/>
      <w:bookmarkEnd w:id="366"/>
      <w:bookmarkEnd w:id="367"/>
      <w:bookmarkEnd w:id="368"/>
      <w:bookmarkEnd w:id="369"/>
      <w:bookmarkEnd w:id="370"/>
      <w:bookmarkEnd w:id="371"/>
    </w:p>
    <w:p>
      <w:pPr>
        <w:pStyle w:val="Heading5"/>
      </w:pPr>
      <w:bookmarkStart w:id="372" w:name="_Toc246812875"/>
      <w:r>
        <w:rPr>
          <w:rStyle w:val="CharSectno"/>
        </w:rPr>
        <w:t>122</w:t>
      </w:r>
      <w:r>
        <w:t>.</w:t>
      </w:r>
      <w:r>
        <w:tab/>
        <w:t>Term used in this Part</w:t>
      </w:r>
      <w:bookmarkEnd w:id="372"/>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373" w:name="_Toc246812876"/>
      <w:r>
        <w:rPr>
          <w:rStyle w:val="CharSectno"/>
        </w:rPr>
        <w:t>123</w:t>
      </w:r>
      <w:r>
        <w:t>.</w:t>
      </w:r>
      <w:r>
        <w:tab/>
        <w:t>Application of this Part</w:t>
      </w:r>
      <w:bookmarkEnd w:id="373"/>
    </w:p>
    <w:p>
      <w:pPr>
        <w:pStyle w:val="Subsection"/>
        <w:keepNext/>
      </w:pPr>
      <w:r>
        <w:tab/>
      </w:r>
      <w:r>
        <w:tab/>
        <w:t>This Part does not apply to a firework.</w:t>
      </w:r>
    </w:p>
    <w:p>
      <w:pPr>
        <w:pStyle w:val="Heading3"/>
      </w:pPr>
      <w:bookmarkStart w:id="374" w:name="_Toc191960632"/>
      <w:bookmarkStart w:id="375" w:name="_Toc191982213"/>
      <w:bookmarkStart w:id="376" w:name="_Toc233693127"/>
      <w:bookmarkStart w:id="377" w:name="_Toc238546478"/>
      <w:bookmarkStart w:id="378" w:name="_Toc238546783"/>
      <w:bookmarkStart w:id="379" w:name="_Toc238547912"/>
      <w:bookmarkStart w:id="380" w:name="_Toc246812877"/>
      <w:r>
        <w:rPr>
          <w:rStyle w:val="CharDivNo"/>
        </w:rPr>
        <w:t>Division 2</w:t>
      </w:r>
      <w:r>
        <w:t> — </w:t>
      </w:r>
      <w:r>
        <w:rPr>
          <w:rStyle w:val="CharDivText"/>
        </w:rPr>
        <w:t>Licensing requirements</w:t>
      </w:r>
      <w:bookmarkEnd w:id="374"/>
      <w:bookmarkEnd w:id="375"/>
      <w:bookmarkEnd w:id="376"/>
      <w:bookmarkEnd w:id="377"/>
      <w:bookmarkEnd w:id="378"/>
      <w:bookmarkEnd w:id="379"/>
      <w:bookmarkEnd w:id="380"/>
    </w:p>
    <w:p>
      <w:pPr>
        <w:pStyle w:val="Heading5"/>
      </w:pPr>
      <w:bookmarkStart w:id="381" w:name="_Toc246812878"/>
      <w:r>
        <w:rPr>
          <w:rStyle w:val="CharSectno"/>
        </w:rPr>
        <w:t>124</w:t>
      </w:r>
      <w:r>
        <w:t>.</w:t>
      </w:r>
      <w:r>
        <w:tab/>
        <w:t>Unauthorised explosives</w:t>
      </w:r>
      <w:bookmarkEnd w:id="381"/>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382" w:name="_Toc246812879"/>
      <w:r>
        <w:rPr>
          <w:rStyle w:val="CharSectno"/>
        </w:rPr>
        <w:t>125</w:t>
      </w:r>
      <w:r>
        <w:t>.</w:t>
      </w:r>
      <w:r>
        <w:tab/>
        <w:t>Authorised explosives, licences authorising use of</w:t>
      </w:r>
      <w:bookmarkEnd w:id="38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383" w:name="_Toc191960635"/>
      <w:bookmarkStart w:id="384" w:name="_Toc191982216"/>
      <w:bookmarkStart w:id="385" w:name="_Toc233693130"/>
      <w:bookmarkStart w:id="386" w:name="_Toc238546481"/>
      <w:bookmarkStart w:id="387" w:name="_Toc238546786"/>
      <w:bookmarkStart w:id="388" w:name="_Toc238547915"/>
      <w:bookmarkStart w:id="389" w:name="_Toc246812880"/>
      <w:r>
        <w:rPr>
          <w:rStyle w:val="CharDivNo"/>
        </w:rPr>
        <w:t>Division 3</w:t>
      </w:r>
      <w:r>
        <w:t> — </w:t>
      </w:r>
      <w:r>
        <w:rPr>
          <w:rStyle w:val="CharDivText"/>
        </w:rPr>
        <w:t>General requirements</w:t>
      </w:r>
      <w:bookmarkEnd w:id="383"/>
      <w:bookmarkEnd w:id="384"/>
      <w:bookmarkEnd w:id="385"/>
      <w:bookmarkEnd w:id="386"/>
      <w:bookmarkEnd w:id="387"/>
      <w:bookmarkEnd w:id="388"/>
      <w:bookmarkEnd w:id="389"/>
    </w:p>
    <w:p>
      <w:pPr>
        <w:pStyle w:val="Heading5"/>
      </w:pPr>
      <w:bookmarkStart w:id="390" w:name="_Toc246812881"/>
      <w:r>
        <w:rPr>
          <w:rStyle w:val="CharSectno"/>
        </w:rPr>
        <w:t>126</w:t>
      </w:r>
      <w:r>
        <w:t>.</w:t>
      </w:r>
      <w:r>
        <w:tab/>
        <w:t>Occupier’s permission needed for use</w:t>
      </w:r>
      <w:bookmarkEnd w:id="390"/>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391" w:name="_Toc246812882"/>
      <w:r>
        <w:rPr>
          <w:rStyle w:val="CharSectno"/>
        </w:rPr>
        <w:t>127</w:t>
      </w:r>
      <w:r>
        <w:t>.</w:t>
      </w:r>
      <w:r>
        <w:tab/>
        <w:t>Manufacturer’s instructions for use to be followed</w:t>
      </w:r>
      <w:bookmarkEnd w:id="391"/>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392" w:name="_Toc246812883"/>
      <w:r>
        <w:rPr>
          <w:rStyle w:val="CharSectno"/>
        </w:rPr>
        <w:t>128</w:t>
      </w:r>
      <w:r>
        <w:t>.</w:t>
      </w:r>
      <w:r>
        <w:tab/>
        <w:t>Children using explosives</w:t>
      </w:r>
      <w:bookmarkEnd w:id="39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393" w:name="_Toc191960639"/>
      <w:bookmarkStart w:id="394" w:name="_Toc191982220"/>
      <w:bookmarkStart w:id="395" w:name="_Toc233693134"/>
      <w:bookmarkStart w:id="396" w:name="_Toc238546485"/>
      <w:bookmarkStart w:id="397" w:name="_Toc238546790"/>
      <w:bookmarkStart w:id="398" w:name="_Toc238547919"/>
      <w:bookmarkStart w:id="399" w:name="_Toc246812884"/>
      <w:r>
        <w:rPr>
          <w:rStyle w:val="CharDivNo"/>
        </w:rPr>
        <w:t>Division 4</w:t>
      </w:r>
      <w:r>
        <w:t> — </w:t>
      </w:r>
      <w:r>
        <w:rPr>
          <w:rStyle w:val="CharDivText"/>
        </w:rPr>
        <w:t>Using explosives to blast, damage, destroy or demolish</w:t>
      </w:r>
      <w:bookmarkEnd w:id="393"/>
      <w:bookmarkEnd w:id="394"/>
      <w:bookmarkEnd w:id="395"/>
      <w:bookmarkEnd w:id="396"/>
      <w:bookmarkEnd w:id="397"/>
      <w:bookmarkEnd w:id="398"/>
      <w:bookmarkEnd w:id="399"/>
    </w:p>
    <w:p>
      <w:pPr>
        <w:pStyle w:val="Heading5"/>
      </w:pPr>
      <w:bookmarkStart w:id="400" w:name="_Toc246812885"/>
      <w:r>
        <w:rPr>
          <w:rStyle w:val="CharSectno"/>
        </w:rPr>
        <w:t>129</w:t>
      </w:r>
      <w:r>
        <w:t>.</w:t>
      </w:r>
      <w:r>
        <w:tab/>
        <w:t>No use without blast plan</w:t>
      </w:r>
      <w:bookmarkEnd w:id="400"/>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401" w:name="_Toc246812886"/>
      <w:r>
        <w:rPr>
          <w:rStyle w:val="CharSectno"/>
        </w:rPr>
        <w:t>130</w:t>
      </w:r>
      <w:r>
        <w:t>.</w:t>
      </w:r>
      <w:r>
        <w:tab/>
        <w:t>Blast plans, content of</w:t>
      </w:r>
      <w:bookmarkEnd w:id="401"/>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 or comply with alternative safety measures for blast plans.</w:t>
      </w:r>
    </w:p>
    <w:p>
      <w:pPr>
        <w:pStyle w:val="Subsection"/>
      </w:pPr>
      <w:r>
        <w:tab/>
        <w:t>(2)</w:t>
      </w:r>
      <w:r>
        <w:tab/>
        <w:t>One blast plan may relate to multiple proposed uses of explosives if it is intended that they occur simultaneously or in rapid succession at one site.</w:t>
      </w:r>
    </w:p>
    <w:p>
      <w:pPr>
        <w:pStyle w:val="Heading5"/>
      </w:pPr>
      <w:bookmarkStart w:id="402" w:name="_Toc246812887"/>
      <w:r>
        <w:rPr>
          <w:rStyle w:val="CharSectno"/>
        </w:rPr>
        <w:t>131</w:t>
      </w:r>
      <w:r>
        <w:t>.</w:t>
      </w:r>
      <w:r>
        <w:tab/>
        <w:t>Blasting in townsite, permit required for</w:t>
      </w:r>
      <w:bookmarkEnd w:id="402"/>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403" w:name="_Toc246812888"/>
      <w:r>
        <w:rPr>
          <w:rStyle w:val="CharSectno"/>
        </w:rPr>
        <w:t>132</w:t>
      </w:r>
      <w:r>
        <w:t>.</w:t>
      </w:r>
      <w:r>
        <w:tab/>
        <w:t>General requirements for use</w:t>
      </w:r>
      <w:bookmarkEnd w:id="403"/>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404" w:name="_Toc246812889"/>
      <w:r>
        <w:rPr>
          <w:rStyle w:val="CharSectno"/>
        </w:rPr>
        <w:t>133</w:t>
      </w:r>
      <w:r>
        <w:t>.</w:t>
      </w:r>
      <w:r>
        <w:tab/>
        <w:t>Blast plans to be obeyed etc.</w:t>
      </w:r>
      <w:bookmarkEnd w:id="404"/>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405" w:name="_Toc246812890"/>
      <w:r>
        <w:rPr>
          <w:rStyle w:val="CharSectno"/>
        </w:rPr>
        <w:t>134</w:t>
      </w:r>
      <w:r>
        <w:t>.</w:t>
      </w:r>
      <w:r>
        <w:tab/>
        <w:t>Records to be kept about blasts</w:t>
      </w:r>
      <w:bookmarkEnd w:id="40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406" w:name="_Toc191960646"/>
      <w:bookmarkStart w:id="407" w:name="_Toc191982227"/>
      <w:bookmarkStart w:id="408" w:name="_Toc233693141"/>
      <w:bookmarkStart w:id="409" w:name="_Toc238546492"/>
      <w:bookmarkStart w:id="410" w:name="_Toc238546797"/>
      <w:bookmarkStart w:id="411" w:name="_Toc238547926"/>
      <w:bookmarkStart w:id="412" w:name="_Toc246812891"/>
      <w:r>
        <w:rPr>
          <w:rStyle w:val="CharDivNo"/>
        </w:rPr>
        <w:t>Division 5</w:t>
      </w:r>
      <w:r>
        <w:t> — </w:t>
      </w:r>
      <w:r>
        <w:rPr>
          <w:rStyle w:val="CharDivText"/>
        </w:rPr>
        <w:t>Use of explosives under pyrotechnics (special use) licence</w:t>
      </w:r>
      <w:bookmarkEnd w:id="406"/>
      <w:bookmarkEnd w:id="407"/>
      <w:bookmarkEnd w:id="408"/>
      <w:bookmarkEnd w:id="409"/>
      <w:bookmarkEnd w:id="410"/>
      <w:bookmarkEnd w:id="411"/>
      <w:bookmarkEnd w:id="412"/>
    </w:p>
    <w:p>
      <w:pPr>
        <w:pStyle w:val="Heading5"/>
      </w:pPr>
      <w:bookmarkStart w:id="413" w:name="_Toc246812892"/>
      <w:r>
        <w:rPr>
          <w:rStyle w:val="CharSectno"/>
        </w:rPr>
        <w:t>135</w:t>
      </w:r>
      <w:r>
        <w:t>.</w:t>
      </w:r>
      <w:r>
        <w:tab/>
        <w:t>Holder of pyrotechnics (special use) licence, duties of</w:t>
      </w:r>
      <w:bookmarkEnd w:id="413"/>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414" w:name="_Toc191960648"/>
      <w:bookmarkStart w:id="415" w:name="_Toc191982229"/>
      <w:bookmarkStart w:id="416" w:name="_Toc233693143"/>
      <w:bookmarkStart w:id="417" w:name="_Toc238546494"/>
      <w:bookmarkStart w:id="418" w:name="_Toc238546799"/>
      <w:bookmarkStart w:id="419" w:name="_Toc238547928"/>
      <w:bookmarkStart w:id="420" w:name="_Toc246812893"/>
      <w:r>
        <w:rPr>
          <w:rStyle w:val="CharPartNo"/>
        </w:rPr>
        <w:t>Part 13</w:t>
      </w:r>
      <w:r>
        <w:t> — </w:t>
      </w:r>
      <w:r>
        <w:rPr>
          <w:rStyle w:val="CharPartText"/>
        </w:rPr>
        <w:t>Use of fireworks</w:t>
      </w:r>
      <w:bookmarkEnd w:id="414"/>
      <w:bookmarkEnd w:id="415"/>
      <w:bookmarkEnd w:id="416"/>
      <w:bookmarkEnd w:id="417"/>
      <w:bookmarkEnd w:id="418"/>
      <w:bookmarkEnd w:id="419"/>
      <w:bookmarkEnd w:id="420"/>
    </w:p>
    <w:p>
      <w:pPr>
        <w:pStyle w:val="Heading3"/>
      </w:pPr>
      <w:bookmarkStart w:id="421" w:name="_Toc191960649"/>
      <w:bookmarkStart w:id="422" w:name="_Toc191982230"/>
      <w:bookmarkStart w:id="423" w:name="_Toc233693144"/>
      <w:bookmarkStart w:id="424" w:name="_Toc238546495"/>
      <w:bookmarkStart w:id="425" w:name="_Toc238546800"/>
      <w:bookmarkStart w:id="426" w:name="_Toc238547929"/>
      <w:bookmarkStart w:id="427" w:name="_Toc246812894"/>
      <w:r>
        <w:rPr>
          <w:rStyle w:val="CharDivNo"/>
        </w:rPr>
        <w:t>Division 1</w:t>
      </w:r>
      <w:r>
        <w:t> — </w:t>
      </w:r>
      <w:r>
        <w:rPr>
          <w:rStyle w:val="CharDivText"/>
        </w:rPr>
        <w:t>Preliminary matters</w:t>
      </w:r>
      <w:bookmarkEnd w:id="421"/>
      <w:bookmarkEnd w:id="422"/>
      <w:bookmarkEnd w:id="423"/>
      <w:bookmarkEnd w:id="424"/>
      <w:bookmarkEnd w:id="425"/>
      <w:bookmarkEnd w:id="426"/>
      <w:bookmarkEnd w:id="427"/>
    </w:p>
    <w:p>
      <w:pPr>
        <w:pStyle w:val="Heading5"/>
      </w:pPr>
      <w:bookmarkStart w:id="428" w:name="_Toc246812895"/>
      <w:r>
        <w:rPr>
          <w:rStyle w:val="CharSectno"/>
        </w:rPr>
        <w:t>136</w:t>
      </w:r>
      <w:r>
        <w:t>.</w:t>
      </w:r>
      <w:r>
        <w:tab/>
        <w:t>Terms used in this Part</w:t>
      </w:r>
      <w:bookmarkEnd w:id="42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the public or a section of the public,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Heading3"/>
      </w:pPr>
      <w:bookmarkStart w:id="429" w:name="_Toc191960651"/>
      <w:bookmarkStart w:id="430" w:name="_Toc191982232"/>
      <w:bookmarkStart w:id="431" w:name="_Toc233693146"/>
      <w:bookmarkStart w:id="432" w:name="_Toc238546497"/>
      <w:bookmarkStart w:id="433" w:name="_Toc238546802"/>
      <w:bookmarkStart w:id="434" w:name="_Toc238547931"/>
      <w:bookmarkStart w:id="435" w:name="_Toc246812896"/>
      <w:r>
        <w:rPr>
          <w:rStyle w:val="CharDivNo"/>
        </w:rPr>
        <w:t>Division 2</w:t>
      </w:r>
      <w:r>
        <w:t> — </w:t>
      </w:r>
      <w:r>
        <w:rPr>
          <w:rStyle w:val="CharDivText"/>
        </w:rPr>
        <w:t>Licensing requirements</w:t>
      </w:r>
      <w:bookmarkEnd w:id="429"/>
      <w:bookmarkEnd w:id="430"/>
      <w:bookmarkEnd w:id="431"/>
      <w:bookmarkEnd w:id="432"/>
      <w:bookmarkEnd w:id="433"/>
      <w:bookmarkEnd w:id="434"/>
      <w:bookmarkEnd w:id="435"/>
    </w:p>
    <w:p>
      <w:pPr>
        <w:pStyle w:val="Heading5"/>
      </w:pPr>
      <w:bookmarkStart w:id="436" w:name="_Toc246812897"/>
      <w:r>
        <w:rPr>
          <w:rStyle w:val="CharSectno"/>
        </w:rPr>
        <w:t>137</w:t>
      </w:r>
      <w:r>
        <w:t>.</w:t>
      </w:r>
      <w:r>
        <w:tab/>
        <w:t>Unauthorised explosives</w:t>
      </w:r>
      <w:bookmarkEnd w:id="436"/>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437" w:name="_Toc246812898"/>
      <w:r>
        <w:rPr>
          <w:rStyle w:val="CharSectno"/>
        </w:rPr>
        <w:t>138</w:t>
      </w:r>
      <w:r>
        <w:t>.</w:t>
      </w:r>
      <w:r>
        <w:tab/>
        <w:t>Fireworks, licences authorising use of</w:t>
      </w:r>
      <w:bookmarkEnd w:id="43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Indenta"/>
      </w:pPr>
      <w:r>
        <w:tab/>
      </w:r>
      <w:r>
        <w:tab/>
        <w:t>and, if required by regulation 139 or 140, a permit or permits issued under those regulations.</w:t>
      </w:r>
    </w:p>
    <w:p>
      <w:pPr>
        <w:pStyle w:val="NotesPerm"/>
      </w:pPr>
      <w:r>
        <w:tab/>
        <w:t>Note: the Act s. 11 (Unlicensed person involved with dangerous goods).</w:t>
      </w:r>
    </w:p>
    <w:p>
      <w:pPr>
        <w:pStyle w:val="Heading5"/>
      </w:pPr>
      <w:bookmarkStart w:id="438" w:name="_Toc246812899"/>
      <w:r>
        <w:rPr>
          <w:rStyle w:val="CharSectno"/>
        </w:rPr>
        <w:t>139</w:t>
      </w:r>
      <w:r>
        <w:t>.</w:t>
      </w:r>
      <w:r>
        <w:tab/>
        <w:t>Fireworks designed for fireworks events, permits required to use</w:t>
      </w:r>
      <w:bookmarkEnd w:id="438"/>
    </w:p>
    <w:p>
      <w:pPr>
        <w:pStyle w:val="Subsection"/>
      </w:pPr>
      <w:r>
        <w:tab/>
        <w:t>(1)</w:t>
      </w:r>
      <w:r>
        <w:tab/>
        <w:t>This regulation does not apply to the use of a firework at a fireworks event under a fireworks event permit.</w:t>
      </w:r>
    </w:p>
    <w:p>
      <w:pPr>
        <w:pStyle w:val="Subsection"/>
      </w:pPr>
      <w:r>
        <w:tab/>
        <w:t>(2)</w:t>
      </w:r>
      <w:r>
        <w:tab/>
        <w:t>A person who uses a firework that is designed to be used at a fireworks event must —</w:t>
      </w:r>
    </w:p>
    <w:p>
      <w:pPr>
        <w:pStyle w:val="Indenta"/>
      </w:pPr>
      <w:r>
        <w:tab/>
        <w:t>(a)</w:t>
      </w:r>
      <w:r>
        <w:tab/>
        <w:t>have a written permit issued under this regulation by FESA; and</w:t>
      </w:r>
    </w:p>
    <w:p>
      <w:pPr>
        <w:pStyle w:val="Indenta"/>
      </w:pPr>
      <w:r>
        <w:tab/>
        <w:t>(b)</w:t>
      </w:r>
      <w:r>
        <w:tab/>
        <w:t>have a written permit issued under this regulation by the local government of the district in which the firework will be used.</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Subsection"/>
      </w:pPr>
      <w:r>
        <w:tab/>
        <w:t>(4)</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Indenta"/>
      </w:pPr>
      <w:r>
        <w:tab/>
        <w:t>(e)</w:t>
      </w:r>
      <w:r>
        <w:tab/>
        <w:t>the purpose of using the firework.</w:t>
      </w:r>
    </w:p>
    <w:p>
      <w:pPr>
        <w:pStyle w:val="Subsection"/>
      </w:pPr>
      <w:r>
        <w:tab/>
        <w:t>(5)</w:t>
      </w:r>
      <w:r>
        <w:tab/>
        <w:t>A fireworks notice may relate to the use of multiple fireworks at the one place.</w:t>
      </w:r>
    </w:p>
    <w:p>
      <w:pPr>
        <w:pStyle w:val="Subsection"/>
      </w:pPr>
      <w:r>
        <w:tab/>
        <w:t>(6)</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 xml:space="preserve">a written permit for the proposed use that contains reasonable conditions for any of these purposes — </w:t>
      </w:r>
    </w:p>
    <w:p>
      <w:pPr>
        <w:pStyle w:val="Indenti"/>
      </w:pPr>
      <w:r>
        <w:tab/>
        <w:t>(i)</w:t>
      </w:r>
      <w:r>
        <w:tab/>
        <w:t>to ensure the safety of people, property or the environment in the vicinity of where the firework will be used;</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FESA or a local government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5"/>
      </w:pPr>
      <w:bookmarkStart w:id="439" w:name="_Toc246812900"/>
      <w:r>
        <w:rPr>
          <w:rStyle w:val="CharSectno"/>
        </w:rPr>
        <w:t>140</w:t>
      </w:r>
      <w:r>
        <w:t>.</w:t>
      </w:r>
      <w:r>
        <w:tab/>
        <w:t>Indoor fireworks, permit required to use</w:t>
      </w:r>
      <w:bookmarkEnd w:id="439"/>
    </w:p>
    <w:p>
      <w:pPr>
        <w:pStyle w:val="Subsection"/>
        <w:keepNext/>
      </w:pPr>
      <w:r>
        <w:tab/>
        <w:t>(1)</w:t>
      </w:r>
      <w:r>
        <w:tab/>
        <w:t xml:space="preserve">This regulation does not apply to — </w:t>
      </w:r>
    </w:p>
    <w:p>
      <w:pPr>
        <w:pStyle w:val="Indenta"/>
      </w:pPr>
      <w:r>
        <w:tab/>
        <w:t>(a)</w:t>
      </w:r>
      <w:r>
        <w:tab/>
        <w:t>the use of a sparkler; or</w:t>
      </w:r>
    </w:p>
    <w:p>
      <w:pPr>
        <w:pStyle w:val="Indenta"/>
      </w:pPr>
      <w:r>
        <w:tab/>
        <w:t>(b)</w:t>
      </w:r>
      <w:r>
        <w:tab/>
        <w:t>the use of a cracker chain under regulation 144.</w:t>
      </w:r>
    </w:p>
    <w:p>
      <w:pPr>
        <w:pStyle w:val="Subsection"/>
      </w:pPr>
      <w:r>
        <w:tab/>
        <w:t>(2)</w:t>
      </w:r>
      <w:r>
        <w:tab/>
        <w:t>A person who uses a firework indoors must have a written permit issued under this regulation by FESA.</w:t>
      </w:r>
    </w:p>
    <w:p>
      <w:pPr>
        <w:pStyle w:val="NotesPerm"/>
      </w:pPr>
      <w:r>
        <w:tab/>
        <w:t>Note: the Act s. 11 (Unlicensed person involved with dangerous goods).</w:t>
      </w:r>
    </w:p>
    <w:p>
      <w:pPr>
        <w:pStyle w:val="Subsection"/>
      </w:pPr>
      <w:r>
        <w:tab/>
        <w:t>(3)</w:t>
      </w:r>
      <w:r>
        <w:tab/>
        <w:t>A person who wants a permit issued under this regulation must, at least 14 days before the date of the proposed use of the firework, give FESA an indoors fireworks notice signed by the person.</w:t>
      </w:r>
    </w:p>
    <w:p>
      <w:pPr>
        <w:pStyle w:val="Subsection"/>
      </w:pPr>
      <w:r>
        <w:tab/>
        <w:t>(4)</w:t>
      </w:r>
      <w:r>
        <w:tab/>
        <w:t>An indoors fireworks notice must be in an approved form and contain this information —</w:t>
      </w:r>
    </w:p>
    <w:p>
      <w:pPr>
        <w:pStyle w:val="Indenta"/>
      </w:pPr>
      <w:r>
        <w:tab/>
        <w:t>(a)</w:t>
      </w:r>
      <w:r>
        <w:tab/>
        <w:t>the details of the pyrotechnics (special use) licence, or fireworks (operator) licence, that the person holds;</w:t>
      </w:r>
    </w:p>
    <w:p>
      <w:pPr>
        <w:pStyle w:val="Indenta"/>
      </w:pPr>
      <w:r>
        <w:tab/>
        <w:t>(b)</w:t>
      </w:r>
      <w:r>
        <w:tab/>
        <w:t>the required details of the firework that will be used;</w:t>
      </w:r>
    </w:p>
    <w:p>
      <w:pPr>
        <w:pStyle w:val="Indenta"/>
      </w:pPr>
      <w:r>
        <w:tab/>
        <w:t>(c)</w:t>
      </w:r>
      <w:r>
        <w:tab/>
        <w:t>the date and time when the firework will be used;</w:t>
      </w:r>
    </w:p>
    <w:p>
      <w:pPr>
        <w:pStyle w:val="Indenta"/>
      </w:pPr>
      <w:r>
        <w:tab/>
        <w:t>(d)</w:t>
      </w:r>
      <w:r>
        <w:tab/>
        <w:t>where the firework will be used.</w:t>
      </w:r>
    </w:p>
    <w:p>
      <w:pPr>
        <w:pStyle w:val="Subsection"/>
      </w:pPr>
      <w:r>
        <w:tab/>
        <w:t>(5)</w:t>
      </w:r>
      <w:r>
        <w:tab/>
        <w:t>An indoors fireworks notice may relate to the use of multiple fireworks at the one place.</w:t>
      </w:r>
    </w:p>
    <w:p>
      <w:pPr>
        <w:pStyle w:val="Subsection"/>
      </w:pPr>
      <w:r>
        <w:tab/>
        <w:t>(6)</w:t>
      </w:r>
      <w:r>
        <w:tab/>
        <w:t>On receiving a fireworks notice from a person, FESA may give the person —</w:t>
      </w:r>
    </w:p>
    <w:p>
      <w:pPr>
        <w:pStyle w:val="Indenta"/>
      </w:pPr>
      <w:r>
        <w:tab/>
        <w:t>(a)</w:t>
      </w:r>
      <w:r>
        <w:tab/>
        <w:t>a written notice that prohibits the proposed use of the firework; or</w:t>
      </w:r>
    </w:p>
    <w:p>
      <w:pPr>
        <w:pStyle w:val="Indenta"/>
      </w:pPr>
      <w:r>
        <w:tab/>
        <w:t>(b)</w:t>
      </w:r>
      <w:r>
        <w:tab/>
        <w:t>a written permit for the proposed use; or</w:t>
      </w:r>
    </w:p>
    <w:p>
      <w:pPr>
        <w:pStyle w:val="Indenta"/>
      </w:pPr>
      <w:r>
        <w:tab/>
        <w:t>(c)</w:t>
      </w:r>
      <w:r>
        <w:tab/>
        <w:t>a written permit for the proposed use that contains reasonable conditions to ensure the safety of people and property at the place where the firework will be used.</w:t>
      </w:r>
    </w:p>
    <w:p>
      <w:pPr>
        <w:pStyle w:val="Subsection"/>
      </w:pPr>
      <w:r>
        <w:tab/>
        <w:t>(7)</w:t>
      </w:r>
      <w:r>
        <w:tab/>
        <w:t>FESA may amend or cancel a permit it has issued under this regulation by advising the permit holder in writing.</w:t>
      </w:r>
    </w:p>
    <w:p>
      <w:pPr>
        <w:pStyle w:val="Subsection"/>
      </w:pPr>
      <w:r>
        <w:tab/>
        <w:t>(8)</w:t>
      </w:r>
      <w:r>
        <w:tab/>
        <w:t>A person who is given a permit under this regulation must keep it for 2 years after the date of the permit.</w:t>
      </w:r>
    </w:p>
    <w:p>
      <w:pPr>
        <w:pStyle w:val="Penstart"/>
      </w:pPr>
      <w:r>
        <w:tab/>
        <w:t>Penalty: a level 3 fine.</w:t>
      </w:r>
    </w:p>
    <w:p>
      <w:pPr>
        <w:pStyle w:val="Heading3"/>
      </w:pPr>
      <w:bookmarkStart w:id="440" w:name="_Toc191960656"/>
      <w:bookmarkStart w:id="441" w:name="_Toc191982237"/>
      <w:bookmarkStart w:id="442" w:name="_Toc233693151"/>
      <w:bookmarkStart w:id="443" w:name="_Toc238546502"/>
      <w:bookmarkStart w:id="444" w:name="_Toc238546807"/>
      <w:bookmarkStart w:id="445" w:name="_Toc238547936"/>
      <w:bookmarkStart w:id="446" w:name="_Toc246812901"/>
      <w:r>
        <w:rPr>
          <w:rStyle w:val="CharDivNo"/>
        </w:rPr>
        <w:t>Division 3</w:t>
      </w:r>
      <w:r>
        <w:t> — </w:t>
      </w:r>
      <w:r>
        <w:rPr>
          <w:rStyle w:val="CharDivText"/>
        </w:rPr>
        <w:t>General requirements</w:t>
      </w:r>
      <w:bookmarkEnd w:id="440"/>
      <w:bookmarkEnd w:id="441"/>
      <w:bookmarkEnd w:id="442"/>
      <w:bookmarkEnd w:id="443"/>
      <w:bookmarkEnd w:id="444"/>
      <w:bookmarkEnd w:id="445"/>
      <w:bookmarkEnd w:id="446"/>
    </w:p>
    <w:p>
      <w:pPr>
        <w:pStyle w:val="Heading5"/>
      </w:pPr>
      <w:bookmarkStart w:id="447" w:name="_Toc246812902"/>
      <w:r>
        <w:rPr>
          <w:rStyle w:val="CharSectno"/>
        </w:rPr>
        <w:t>141</w:t>
      </w:r>
      <w:r>
        <w:t>.</w:t>
      </w:r>
      <w:r>
        <w:tab/>
        <w:t>Occupier’s permission needed for use</w:t>
      </w:r>
      <w:bookmarkEnd w:id="447"/>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448" w:name="_Toc246812903"/>
      <w:r>
        <w:rPr>
          <w:rStyle w:val="CharSectno"/>
        </w:rPr>
        <w:t>142</w:t>
      </w:r>
      <w:r>
        <w:t>.</w:t>
      </w:r>
      <w:r>
        <w:tab/>
        <w:t>Manufacturer’s instructions for use to be followed</w:t>
      </w:r>
      <w:bookmarkEnd w:id="448"/>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449" w:name="_Toc246812904"/>
      <w:r>
        <w:rPr>
          <w:rStyle w:val="CharSectno"/>
        </w:rPr>
        <w:t>143</w:t>
      </w:r>
      <w:r>
        <w:t>.</w:t>
      </w:r>
      <w:r>
        <w:tab/>
        <w:t>General requirements for use</w:t>
      </w:r>
      <w:bookmarkEnd w:id="44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450" w:name="_Toc246812905"/>
      <w:r>
        <w:rPr>
          <w:rStyle w:val="CharSectno"/>
        </w:rPr>
        <w:t>144</w:t>
      </w:r>
      <w:r>
        <w:t>.</w:t>
      </w:r>
      <w:r>
        <w:tab/>
        <w:t>Cracker chains, use of</w:t>
      </w:r>
      <w:bookmarkEnd w:id="450"/>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451" w:name="_Toc246812906"/>
      <w:r>
        <w:rPr>
          <w:rStyle w:val="CharSectno"/>
        </w:rPr>
        <w:t>145</w:t>
      </w:r>
      <w:r>
        <w:t>.</w:t>
      </w:r>
      <w:r>
        <w:tab/>
        <w:t>Records to be kept by fireworks contractors</w:t>
      </w:r>
      <w:bookmarkEnd w:id="451"/>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452" w:name="_Toc191960662"/>
      <w:bookmarkStart w:id="453" w:name="_Toc191982243"/>
      <w:bookmarkStart w:id="454" w:name="_Toc233693157"/>
      <w:bookmarkStart w:id="455" w:name="_Toc238546508"/>
      <w:bookmarkStart w:id="456" w:name="_Toc238546813"/>
      <w:bookmarkStart w:id="457" w:name="_Toc238547942"/>
      <w:bookmarkStart w:id="458" w:name="_Toc246812907"/>
      <w:r>
        <w:rPr>
          <w:rStyle w:val="CharDivNo"/>
        </w:rPr>
        <w:t>Division 4</w:t>
      </w:r>
      <w:r>
        <w:t> — </w:t>
      </w:r>
      <w:r>
        <w:rPr>
          <w:rStyle w:val="CharDivText"/>
        </w:rPr>
        <w:t>Fireworks events</w:t>
      </w:r>
      <w:bookmarkEnd w:id="452"/>
      <w:bookmarkEnd w:id="453"/>
      <w:bookmarkEnd w:id="454"/>
      <w:bookmarkEnd w:id="455"/>
      <w:bookmarkEnd w:id="456"/>
      <w:bookmarkEnd w:id="457"/>
      <w:bookmarkEnd w:id="458"/>
    </w:p>
    <w:p>
      <w:pPr>
        <w:pStyle w:val="Heading5"/>
      </w:pPr>
      <w:bookmarkStart w:id="459" w:name="_Toc246812908"/>
      <w:r>
        <w:rPr>
          <w:rStyle w:val="CharSectno"/>
        </w:rPr>
        <w:t>146</w:t>
      </w:r>
      <w:r>
        <w:t>.</w:t>
      </w:r>
      <w:r>
        <w:tab/>
        <w:t>Terms used in this Division</w:t>
      </w:r>
      <w:bookmarkEnd w:id="459"/>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460" w:name="_Toc246812909"/>
      <w:r>
        <w:rPr>
          <w:rStyle w:val="CharSectno"/>
        </w:rPr>
        <w:t>147</w:t>
      </w:r>
      <w:r>
        <w:t>.</w:t>
      </w:r>
      <w:r>
        <w:tab/>
        <w:t>Fireworks used at fireworks events, requirements for</w:t>
      </w:r>
      <w:bookmarkEnd w:id="460"/>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461" w:name="_Toc246812910"/>
      <w:r>
        <w:rPr>
          <w:rStyle w:val="CharSectno"/>
        </w:rPr>
        <w:t>148</w:t>
      </w:r>
      <w:r>
        <w:t>.</w:t>
      </w:r>
      <w:r>
        <w:tab/>
        <w:t>Fireworks event permits, preliminary matters</w:t>
      </w:r>
      <w:bookmarkEnd w:id="461"/>
    </w:p>
    <w:p>
      <w:pPr>
        <w:pStyle w:val="Subsection"/>
      </w:pPr>
      <w:r>
        <w:tab/>
        <w:t>(1)</w:t>
      </w:r>
      <w:r>
        <w:tab/>
        <w:t>Only the holder of a fireworks contractor licence can apply for a fireworks event permit.</w:t>
      </w:r>
    </w:p>
    <w:p>
      <w:pPr>
        <w:pStyle w:val="Subsection"/>
      </w:pPr>
      <w:r>
        <w:tab/>
        <w:t>(2)</w:t>
      </w:r>
      <w:r>
        <w:tab/>
        <w:t>Before the holder of a fireworks contractor licence applies for a fireworks event permit, the holder must give a fireworks event notice signed by the holder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Heading5"/>
      </w:pPr>
      <w:bookmarkStart w:id="462" w:name="_Toc246812911"/>
      <w:r>
        <w:rPr>
          <w:rStyle w:val="CharSectno"/>
        </w:rPr>
        <w:t>149</w:t>
      </w:r>
      <w:r>
        <w:t>.</w:t>
      </w:r>
      <w:r>
        <w:tab/>
        <w:t>Fireworks event permit, application for</w:t>
      </w:r>
      <w:bookmarkEnd w:id="462"/>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approved form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will be propelled into the air before it is initiated, the diameter of the largest such firework;</w:t>
      </w:r>
    </w:p>
    <w:p>
      <w:pPr>
        <w:pStyle w:val="Indenta"/>
      </w:pPr>
      <w:r>
        <w:tab/>
        <w:t>(d)</w:t>
      </w:r>
      <w:r>
        <w:tab/>
        <w:t>the name and address of each person who will prepare the event fireworks at the site for use or who will use the fireworks;</w:t>
      </w:r>
    </w:p>
    <w:p>
      <w:pPr>
        <w:pStyle w:val="Indenta"/>
      </w:pPr>
      <w:r>
        <w:tab/>
        <w:t>(e)</w:t>
      </w:r>
      <w:r>
        <w:tab/>
        <w:t>any other information the form reasonably requires to be provided.</w:t>
      </w:r>
    </w:p>
    <w:p>
      <w:pPr>
        <w:pStyle w:val="Heading5"/>
      </w:pPr>
      <w:bookmarkStart w:id="463" w:name="_Toc246812912"/>
      <w:r>
        <w:rPr>
          <w:rStyle w:val="CharSectno"/>
        </w:rPr>
        <w:t>150</w:t>
      </w:r>
      <w:r>
        <w:t>.</w:t>
      </w:r>
      <w:r>
        <w:tab/>
        <w:t>Dealing with applications for fireworks event permits</w:t>
      </w:r>
      <w:bookmarkEnd w:id="46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Heading5"/>
      </w:pPr>
      <w:bookmarkStart w:id="464" w:name="_Toc246812913"/>
      <w:r>
        <w:rPr>
          <w:rStyle w:val="CharSectno"/>
        </w:rPr>
        <w:t>151</w:t>
      </w:r>
      <w:r>
        <w:t>.</w:t>
      </w:r>
      <w:r>
        <w:tab/>
        <w:t>Amending, suspending and cancelling fireworks event permits</w:t>
      </w:r>
      <w:bookmarkEnd w:id="464"/>
    </w:p>
    <w:p>
      <w:pPr>
        <w:pStyle w:val="Subsection"/>
      </w:pPr>
      <w:r>
        <w:tab/>
      </w:r>
      <w:r>
        <w:tab/>
        <w:t>The Chief Officer may amend, suspend or cancel a fireworks event permit by advising the permit holder in writing.</w:t>
      </w:r>
    </w:p>
    <w:p>
      <w:pPr>
        <w:pStyle w:val="Heading5"/>
      </w:pPr>
      <w:bookmarkStart w:id="465" w:name="_Toc246812914"/>
      <w:r>
        <w:rPr>
          <w:rStyle w:val="CharSectno"/>
        </w:rPr>
        <w:t>152</w:t>
      </w:r>
      <w:r>
        <w:t>.</w:t>
      </w:r>
      <w:r>
        <w:tab/>
        <w:t>Fireworks event, conduct of</w:t>
      </w:r>
      <w:bookmarkEnd w:id="465"/>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466" w:name="_Toc246812915"/>
      <w:r>
        <w:rPr>
          <w:rStyle w:val="CharSectno"/>
        </w:rPr>
        <w:t>153</w:t>
      </w:r>
      <w:r>
        <w:t>.</w:t>
      </w:r>
      <w:r>
        <w:tab/>
        <w:t>Records to be kept by fireworks event permit holders</w:t>
      </w:r>
      <w:bookmarkEnd w:id="466"/>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467" w:name="_Toc191960671"/>
      <w:bookmarkStart w:id="468" w:name="_Toc191982252"/>
      <w:bookmarkStart w:id="469" w:name="_Toc233693166"/>
      <w:bookmarkStart w:id="470" w:name="_Toc238546517"/>
      <w:bookmarkStart w:id="471" w:name="_Toc238546822"/>
      <w:bookmarkStart w:id="472" w:name="_Toc238547951"/>
      <w:bookmarkStart w:id="473" w:name="_Toc246812916"/>
      <w:r>
        <w:rPr>
          <w:rStyle w:val="CharPartNo"/>
        </w:rPr>
        <w:t>Part 14</w:t>
      </w:r>
      <w:r>
        <w:rPr>
          <w:rStyle w:val="CharDivNo"/>
        </w:rPr>
        <w:t> </w:t>
      </w:r>
      <w:r>
        <w:t>—</w:t>
      </w:r>
      <w:r>
        <w:rPr>
          <w:rStyle w:val="CharDivText"/>
        </w:rPr>
        <w:t> </w:t>
      </w:r>
      <w:r>
        <w:rPr>
          <w:rStyle w:val="CharPartText"/>
        </w:rPr>
        <w:t>Disposal of explosives</w:t>
      </w:r>
      <w:bookmarkEnd w:id="467"/>
      <w:bookmarkEnd w:id="468"/>
      <w:bookmarkEnd w:id="469"/>
      <w:bookmarkEnd w:id="470"/>
      <w:bookmarkEnd w:id="471"/>
      <w:bookmarkEnd w:id="472"/>
      <w:bookmarkEnd w:id="473"/>
    </w:p>
    <w:p>
      <w:pPr>
        <w:pStyle w:val="Heading5"/>
      </w:pPr>
      <w:bookmarkStart w:id="474" w:name="_Toc246812917"/>
      <w:r>
        <w:rPr>
          <w:rStyle w:val="CharSectno"/>
        </w:rPr>
        <w:t>154</w:t>
      </w:r>
      <w:r>
        <w:t>.</w:t>
      </w:r>
      <w:r>
        <w:tab/>
        <w:t>Who can dispose of explosives</w:t>
      </w:r>
      <w:bookmarkEnd w:id="474"/>
    </w:p>
    <w:p>
      <w:pPr>
        <w:pStyle w:val="Subsection"/>
      </w:pPr>
      <w:r>
        <w:tab/>
      </w:r>
      <w:r>
        <w:tab/>
        <w:t>A person must not destroy or dispose of an explosive unless the person has a licence that authorises the person to use the explosive.</w:t>
      </w:r>
    </w:p>
    <w:p>
      <w:pPr>
        <w:pStyle w:val="Heading5"/>
      </w:pPr>
      <w:bookmarkStart w:id="475" w:name="_Toc246812918"/>
      <w:r>
        <w:rPr>
          <w:rStyle w:val="CharSectno"/>
        </w:rPr>
        <w:t>155</w:t>
      </w:r>
      <w:r>
        <w:t>.</w:t>
      </w:r>
      <w:r>
        <w:tab/>
        <w:t>Improper disposal of explosives</w:t>
      </w:r>
      <w:bookmarkEnd w:id="475"/>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476" w:name="_Toc191960674"/>
      <w:bookmarkStart w:id="477" w:name="_Toc191982255"/>
      <w:bookmarkStart w:id="478" w:name="_Toc233693169"/>
      <w:bookmarkStart w:id="479" w:name="_Toc238546520"/>
      <w:bookmarkStart w:id="480" w:name="_Toc238546825"/>
      <w:bookmarkStart w:id="481" w:name="_Toc238547954"/>
      <w:bookmarkStart w:id="482" w:name="_Toc246812919"/>
      <w:r>
        <w:rPr>
          <w:rStyle w:val="CharPartNo"/>
        </w:rPr>
        <w:t>Part 15</w:t>
      </w:r>
      <w:r>
        <w:t> — </w:t>
      </w:r>
      <w:r>
        <w:rPr>
          <w:rStyle w:val="CharPartText"/>
        </w:rPr>
        <w:t>Licences</w:t>
      </w:r>
      <w:bookmarkEnd w:id="476"/>
      <w:bookmarkEnd w:id="477"/>
      <w:bookmarkEnd w:id="478"/>
      <w:bookmarkEnd w:id="479"/>
      <w:bookmarkEnd w:id="480"/>
      <w:bookmarkEnd w:id="481"/>
      <w:bookmarkEnd w:id="482"/>
    </w:p>
    <w:p>
      <w:pPr>
        <w:pStyle w:val="Heading3"/>
      </w:pPr>
      <w:bookmarkStart w:id="483" w:name="_Toc191960675"/>
      <w:bookmarkStart w:id="484" w:name="_Toc191982256"/>
      <w:bookmarkStart w:id="485" w:name="_Toc233693170"/>
      <w:bookmarkStart w:id="486" w:name="_Toc238546521"/>
      <w:bookmarkStart w:id="487" w:name="_Toc238546826"/>
      <w:bookmarkStart w:id="488" w:name="_Toc238547955"/>
      <w:bookmarkStart w:id="489" w:name="_Toc246812920"/>
      <w:r>
        <w:rPr>
          <w:rStyle w:val="CharDivNo"/>
        </w:rPr>
        <w:t>Division 1</w:t>
      </w:r>
      <w:r>
        <w:t> — </w:t>
      </w:r>
      <w:r>
        <w:rPr>
          <w:rStyle w:val="CharDivText"/>
        </w:rPr>
        <w:t>Preliminary matters</w:t>
      </w:r>
      <w:bookmarkEnd w:id="483"/>
      <w:bookmarkEnd w:id="484"/>
      <w:bookmarkEnd w:id="485"/>
      <w:bookmarkEnd w:id="486"/>
      <w:bookmarkEnd w:id="487"/>
      <w:bookmarkEnd w:id="488"/>
      <w:bookmarkEnd w:id="489"/>
    </w:p>
    <w:p>
      <w:pPr>
        <w:pStyle w:val="Heading5"/>
      </w:pPr>
      <w:bookmarkStart w:id="490" w:name="_Toc246812921"/>
      <w:r>
        <w:rPr>
          <w:rStyle w:val="CharSectno"/>
        </w:rPr>
        <w:t>156</w:t>
      </w:r>
      <w:r>
        <w:t>.</w:t>
      </w:r>
      <w:r>
        <w:tab/>
        <w:t>Terms used in this Part</w:t>
      </w:r>
      <w:bookmarkEnd w:id="490"/>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491" w:name="_Toc191960677"/>
      <w:bookmarkStart w:id="492" w:name="_Toc191982258"/>
      <w:bookmarkStart w:id="493" w:name="_Toc233693172"/>
      <w:bookmarkStart w:id="494" w:name="_Toc238546523"/>
      <w:bookmarkStart w:id="495" w:name="_Toc238546828"/>
      <w:bookmarkStart w:id="496" w:name="_Toc238547957"/>
      <w:bookmarkStart w:id="497" w:name="_Toc246812922"/>
      <w:r>
        <w:rPr>
          <w:rStyle w:val="CharDivNo"/>
        </w:rPr>
        <w:t>Division 2</w:t>
      </w:r>
      <w:r>
        <w:t> — </w:t>
      </w:r>
      <w:r>
        <w:rPr>
          <w:rStyle w:val="CharDivText"/>
        </w:rPr>
        <w:t>General matters</w:t>
      </w:r>
      <w:bookmarkEnd w:id="491"/>
      <w:bookmarkEnd w:id="492"/>
      <w:bookmarkEnd w:id="493"/>
      <w:bookmarkEnd w:id="494"/>
      <w:bookmarkEnd w:id="495"/>
      <w:bookmarkEnd w:id="496"/>
      <w:bookmarkEnd w:id="497"/>
    </w:p>
    <w:p>
      <w:pPr>
        <w:pStyle w:val="Heading5"/>
      </w:pPr>
      <w:bookmarkStart w:id="498" w:name="_Toc246812923"/>
      <w:r>
        <w:rPr>
          <w:rStyle w:val="CharSectno"/>
        </w:rPr>
        <w:t>157</w:t>
      </w:r>
      <w:r>
        <w:t>.</w:t>
      </w:r>
      <w:r>
        <w:tab/>
        <w:t>Applying for a licence</w:t>
      </w:r>
      <w:bookmarkEnd w:id="498"/>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is the required age for the licence;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Heading5"/>
      </w:pPr>
      <w:bookmarkStart w:id="499" w:name="_Toc246812924"/>
      <w:r>
        <w:rPr>
          <w:rStyle w:val="CharSectno"/>
        </w:rPr>
        <w:t>158</w:t>
      </w:r>
      <w:r>
        <w:t>.</w:t>
      </w:r>
      <w:r>
        <w:tab/>
        <w:t>Medical evidence</w:t>
      </w:r>
      <w:bookmarkEnd w:id="499"/>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500" w:name="_Toc246812925"/>
      <w:r>
        <w:rPr>
          <w:rStyle w:val="CharSectno"/>
        </w:rPr>
        <w:t>159</w:t>
      </w:r>
      <w:r>
        <w:t>.</w:t>
      </w:r>
      <w:r>
        <w:tab/>
        <w:t>Competency evidence</w:t>
      </w:r>
      <w:bookmarkEnd w:id="500"/>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501" w:name="_Toc246812926"/>
      <w:r>
        <w:rPr>
          <w:rStyle w:val="CharSectno"/>
        </w:rPr>
        <w:t>160</w:t>
      </w:r>
      <w:r>
        <w:t>.</w:t>
      </w:r>
      <w:r>
        <w:tab/>
        <w:t>Driver licence evidence</w:t>
      </w:r>
      <w:bookmarkEnd w:id="50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502" w:name="_Toc246812927"/>
      <w:r>
        <w:rPr>
          <w:rStyle w:val="CharSectno"/>
        </w:rPr>
        <w:t>161</w:t>
      </w:r>
      <w:r>
        <w:t>.</w:t>
      </w:r>
      <w:r>
        <w:tab/>
        <w:t>Explosives management plans</w:t>
      </w:r>
      <w:bookmarkEnd w:id="502"/>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Heading5"/>
      </w:pPr>
      <w:bookmarkStart w:id="503" w:name="_Toc246812928"/>
      <w:r>
        <w:rPr>
          <w:rStyle w:val="CharSectno"/>
        </w:rPr>
        <w:t>162</w:t>
      </w:r>
      <w:r>
        <w:t>.</w:t>
      </w:r>
      <w:r>
        <w:tab/>
        <w:t>Chief Officer’s powers for dealing with applications for licences</w:t>
      </w:r>
      <w:bookmarkEnd w:id="503"/>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504" w:name="_Toc246812929"/>
      <w:r>
        <w:rPr>
          <w:rStyle w:val="CharSectno"/>
        </w:rPr>
        <w:t>163</w:t>
      </w:r>
      <w:r>
        <w:t>.</w:t>
      </w:r>
      <w:r>
        <w:tab/>
        <w:t>Licence for place that is or may be major hazard facility</w:t>
      </w:r>
      <w:bookmarkEnd w:id="504"/>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505" w:name="_Toc246812930"/>
      <w:r>
        <w:rPr>
          <w:rStyle w:val="CharSectno"/>
        </w:rPr>
        <w:t>164</w:t>
      </w:r>
      <w:r>
        <w:t>.</w:t>
      </w:r>
      <w:r>
        <w:tab/>
        <w:t>Deciding applications for licences</w:t>
      </w:r>
      <w:bookmarkEnd w:id="50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The Chief Officer must give an applicant written notice of a decision made under this regulation as soon as practicable after it is made.</w:t>
      </w:r>
    </w:p>
    <w:p>
      <w:pPr>
        <w:pStyle w:val="Subsection"/>
      </w:pPr>
      <w:r>
        <w:tab/>
        <w:t>(8)</w:t>
      </w:r>
      <w:r>
        <w:tab/>
        <w:t>If the Chief Officer refuses an application for a licence, the applicant is entitled to a refund of the fee.</w:t>
      </w:r>
    </w:p>
    <w:p>
      <w:pPr>
        <w:pStyle w:val="Heading5"/>
      </w:pPr>
      <w:bookmarkStart w:id="506" w:name="_Toc246812931"/>
      <w:r>
        <w:rPr>
          <w:rStyle w:val="CharSectno"/>
        </w:rPr>
        <w:t>165</w:t>
      </w:r>
      <w:r>
        <w:t>.</w:t>
      </w:r>
      <w:r>
        <w:tab/>
        <w:t>Licences issued to bodies corporate and partnerships</w:t>
      </w:r>
      <w:bookmarkEnd w:id="506"/>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18 years of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Heading5"/>
      </w:pPr>
      <w:bookmarkStart w:id="507" w:name="_Toc246812932"/>
      <w:r>
        <w:rPr>
          <w:rStyle w:val="CharSectno"/>
        </w:rPr>
        <w:t>166</w:t>
      </w:r>
      <w:r>
        <w:t>.</w:t>
      </w:r>
      <w:r>
        <w:tab/>
        <w:t>Conditions of licences</w:t>
      </w:r>
      <w:bookmarkEnd w:id="507"/>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508" w:name="_Toc246812933"/>
      <w:r>
        <w:rPr>
          <w:rStyle w:val="CharSectno"/>
        </w:rPr>
        <w:t>167</w:t>
      </w:r>
      <w:r>
        <w:t>.</w:t>
      </w:r>
      <w:r>
        <w:tab/>
        <w:t>Duration of licences</w:t>
      </w:r>
      <w:bookmarkEnd w:id="508"/>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509" w:name="_Toc246812934"/>
      <w:r>
        <w:rPr>
          <w:rStyle w:val="CharSectno"/>
        </w:rPr>
        <w:t>168</w:t>
      </w:r>
      <w:r>
        <w:t>.</w:t>
      </w:r>
      <w:r>
        <w:tab/>
        <w:t>Form of licences</w:t>
      </w:r>
      <w:bookmarkEnd w:id="509"/>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510" w:name="_Toc246812935"/>
      <w:r>
        <w:rPr>
          <w:rStyle w:val="CharSectno"/>
        </w:rPr>
        <w:t>169</w:t>
      </w:r>
      <w:r>
        <w:t>.</w:t>
      </w:r>
      <w:r>
        <w:tab/>
        <w:t>Licences not transferable etc.</w:t>
      </w:r>
      <w:bookmarkEnd w:id="510"/>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511" w:name="_Toc246812936"/>
      <w:r>
        <w:rPr>
          <w:rStyle w:val="CharSectno"/>
        </w:rPr>
        <w:t>170</w:t>
      </w:r>
      <w:r>
        <w:t>.</w:t>
      </w:r>
      <w:r>
        <w:tab/>
        <w:t>Licences may be surrendered</w:t>
      </w:r>
      <w:bookmarkEnd w:id="51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512" w:name="_Toc246812937"/>
      <w:r>
        <w:rPr>
          <w:rStyle w:val="CharSectno"/>
        </w:rPr>
        <w:t>171</w:t>
      </w:r>
      <w:r>
        <w:t>.</w:t>
      </w:r>
      <w:r>
        <w:tab/>
        <w:t>Lost licences and cards may be replaced</w:t>
      </w:r>
      <w:bookmarkEnd w:id="512"/>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513" w:name="_Toc246812938"/>
      <w:r>
        <w:rPr>
          <w:rStyle w:val="CharSectno"/>
        </w:rPr>
        <w:t>172</w:t>
      </w:r>
      <w:r>
        <w:t>.</w:t>
      </w:r>
      <w:r>
        <w:tab/>
        <w:t>Amending licences</w:t>
      </w:r>
      <w:bookmarkEnd w:id="513"/>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514" w:name="_Toc246812939"/>
      <w:r>
        <w:rPr>
          <w:rStyle w:val="CharSectno"/>
        </w:rPr>
        <w:t>173</w:t>
      </w:r>
      <w:r>
        <w:t>.</w:t>
      </w:r>
      <w:r>
        <w:tab/>
        <w:t>Renewing licences, procedure for</w:t>
      </w:r>
      <w:bookmarkEnd w:id="514"/>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515" w:name="_Toc191960695"/>
      <w:bookmarkStart w:id="516" w:name="_Toc191982276"/>
      <w:bookmarkStart w:id="517" w:name="_Toc233693190"/>
      <w:bookmarkStart w:id="518" w:name="_Toc238546541"/>
      <w:bookmarkStart w:id="519" w:name="_Toc238546846"/>
      <w:bookmarkStart w:id="520" w:name="_Toc238547975"/>
      <w:bookmarkStart w:id="521" w:name="_Toc246812940"/>
      <w:r>
        <w:rPr>
          <w:rStyle w:val="CharDivNo"/>
        </w:rPr>
        <w:t>Division 3</w:t>
      </w:r>
      <w:r>
        <w:t> — </w:t>
      </w:r>
      <w:r>
        <w:rPr>
          <w:rStyle w:val="CharDivText"/>
        </w:rPr>
        <w:t>Suspending and cancelling licences</w:t>
      </w:r>
      <w:bookmarkEnd w:id="515"/>
      <w:bookmarkEnd w:id="516"/>
      <w:bookmarkEnd w:id="517"/>
      <w:bookmarkEnd w:id="518"/>
      <w:bookmarkEnd w:id="519"/>
      <w:bookmarkEnd w:id="520"/>
      <w:bookmarkEnd w:id="521"/>
    </w:p>
    <w:p>
      <w:pPr>
        <w:pStyle w:val="Heading5"/>
      </w:pPr>
      <w:bookmarkStart w:id="522" w:name="_Toc246812941"/>
      <w:r>
        <w:rPr>
          <w:rStyle w:val="CharSectno"/>
        </w:rPr>
        <w:t>174</w:t>
      </w:r>
      <w:r>
        <w:t>.</w:t>
      </w:r>
      <w:r>
        <w:tab/>
        <w:t>Grounds for suspending or cancelling</w:t>
      </w:r>
      <w:bookmarkEnd w:id="522"/>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162.</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Heading5"/>
      </w:pPr>
      <w:bookmarkStart w:id="523" w:name="_Toc246812942"/>
      <w:r>
        <w:rPr>
          <w:rStyle w:val="CharSectno"/>
        </w:rPr>
        <w:t>175</w:t>
      </w:r>
      <w:r>
        <w:t>.</w:t>
      </w:r>
      <w:r>
        <w:tab/>
        <w:t>Procedure for suspending or cancelling</w:t>
      </w:r>
      <w:bookmarkEnd w:id="52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524" w:name="_Toc246812943"/>
      <w:r>
        <w:rPr>
          <w:rStyle w:val="CharSectno"/>
        </w:rPr>
        <w:t>176</w:t>
      </w:r>
      <w:r>
        <w:t>.</w:t>
      </w:r>
      <w:r>
        <w:tab/>
        <w:t>Suspension in urgent circumstances</w:t>
      </w:r>
      <w:bookmarkEnd w:id="524"/>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525" w:name="_Toc246812944"/>
      <w:r>
        <w:rPr>
          <w:rStyle w:val="CharSectno"/>
        </w:rPr>
        <w:t>177</w:t>
      </w:r>
      <w:r>
        <w:t>.</w:t>
      </w:r>
      <w:r>
        <w:tab/>
        <w:t>Licences etc. to be returned on cancellation etc.</w:t>
      </w:r>
      <w:bookmarkEnd w:id="525"/>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526" w:name="_Toc246812945"/>
      <w:r>
        <w:rPr>
          <w:rStyle w:val="CharSectno"/>
        </w:rPr>
        <w:t>178</w:t>
      </w:r>
      <w:r>
        <w:t>.</w:t>
      </w:r>
      <w:r>
        <w:tab/>
        <w:t>Suspension may be terminated</w:t>
      </w:r>
      <w:bookmarkEnd w:id="526"/>
    </w:p>
    <w:p>
      <w:pPr>
        <w:pStyle w:val="Subsection"/>
      </w:pPr>
      <w:r>
        <w:tab/>
      </w:r>
      <w:r>
        <w:tab/>
        <w:t>The Chief Officer may terminate the suspension of a licence at any time by giving the holder a written notice of the fact.</w:t>
      </w:r>
    </w:p>
    <w:p>
      <w:pPr>
        <w:pStyle w:val="Heading3"/>
      </w:pPr>
      <w:bookmarkStart w:id="527" w:name="_Toc191960701"/>
      <w:bookmarkStart w:id="528" w:name="_Toc191982282"/>
      <w:bookmarkStart w:id="529" w:name="_Toc233693196"/>
      <w:bookmarkStart w:id="530" w:name="_Toc238546547"/>
      <w:bookmarkStart w:id="531" w:name="_Toc238546852"/>
      <w:bookmarkStart w:id="532" w:name="_Toc238547981"/>
      <w:bookmarkStart w:id="533" w:name="_Toc246812946"/>
      <w:r>
        <w:rPr>
          <w:rStyle w:val="CharDivNo"/>
        </w:rPr>
        <w:t>Division 4</w:t>
      </w:r>
      <w:r>
        <w:t> — </w:t>
      </w:r>
      <w:r>
        <w:rPr>
          <w:rStyle w:val="CharDivText"/>
        </w:rPr>
        <w:t>Duties of licence holders</w:t>
      </w:r>
      <w:bookmarkEnd w:id="527"/>
      <w:bookmarkEnd w:id="528"/>
      <w:bookmarkEnd w:id="529"/>
      <w:bookmarkEnd w:id="530"/>
      <w:bookmarkEnd w:id="531"/>
      <w:bookmarkEnd w:id="532"/>
      <w:bookmarkEnd w:id="533"/>
    </w:p>
    <w:p>
      <w:pPr>
        <w:pStyle w:val="Heading5"/>
      </w:pPr>
      <w:bookmarkStart w:id="534" w:name="_Toc246812947"/>
      <w:r>
        <w:rPr>
          <w:rStyle w:val="CharSectno"/>
        </w:rPr>
        <w:t>179</w:t>
      </w:r>
      <w:r>
        <w:t>.</w:t>
      </w:r>
      <w:r>
        <w:tab/>
        <w:t>Wrong information, duty to correct</w:t>
      </w:r>
      <w:bookmarkEnd w:id="534"/>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535" w:name="_Toc246812948"/>
      <w:r>
        <w:rPr>
          <w:rStyle w:val="CharSectno"/>
        </w:rPr>
        <w:t>180</w:t>
      </w:r>
      <w:r>
        <w:t>.</w:t>
      </w:r>
      <w:r>
        <w:tab/>
        <w:t>Licence holder charged with or convicted of relevant offence to notify Chief Officer</w:t>
      </w:r>
      <w:bookmarkEnd w:id="535"/>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536" w:name="_Toc246812949"/>
      <w:r>
        <w:rPr>
          <w:rStyle w:val="CharSectno"/>
        </w:rPr>
        <w:t>181</w:t>
      </w:r>
      <w:r>
        <w:t>.</w:t>
      </w:r>
      <w:r>
        <w:tab/>
        <w:t>Licences relating to places, notification of development</w:t>
      </w:r>
      <w:bookmarkEnd w:id="536"/>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537" w:name="_Toc246812950"/>
      <w:r>
        <w:rPr>
          <w:rStyle w:val="CharSectno"/>
        </w:rPr>
        <w:t>182</w:t>
      </w:r>
      <w:r>
        <w:t>.</w:t>
      </w:r>
      <w:r>
        <w:tab/>
        <w:t>Condition of licence, contravening</w:t>
      </w:r>
      <w:bookmarkEnd w:id="537"/>
    </w:p>
    <w:p>
      <w:pPr>
        <w:pStyle w:val="Subsection"/>
      </w:pPr>
      <w:r>
        <w:tab/>
        <w:t>(1)</w:t>
      </w:r>
      <w:r>
        <w:tab/>
        <w:t>A licence holder must not contravene a condition of the licence.</w:t>
      </w:r>
    </w:p>
    <w:p>
      <w:pPr>
        <w:pStyle w:val="Penstart"/>
      </w:pPr>
      <w:r>
        <w:tab/>
        <w:t>Penalty: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Subsection"/>
      </w:pPr>
      <w:r>
        <w:tab/>
        <w:t>(3)</w:t>
      </w:r>
      <w:r>
        <w:tab/>
        <w:t xml:space="preserve">A person convicted of an offence under subregulation (1) may be punished for the offence even if the condition contravened is subsequently amended or cancelled, despite </w:t>
      </w:r>
      <w:r>
        <w:rPr>
          <w:i/>
          <w:iCs/>
        </w:rPr>
        <w:t xml:space="preserve">The Criminal Code </w:t>
      </w:r>
      <w:r>
        <w:t>section 11.</w:t>
      </w:r>
    </w:p>
    <w:p>
      <w:pPr>
        <w:pStyle w:val="Heading3"/>
      </w:pPr>
      <w:bookmarkStart w:id="538" w:name="_Toc191960706"/>
      <w:bookmarkStart w:id="539" w:name="_Toc191982287"/>
      <w:bookmarkStart w:id="540" w:name="_Toc233693201"/>
      <w:bookmarkStart w:id="541" w:name="_Toc238546552"/>
      <w:bookmarkStart w:id="542" w:name="_Toc238546857"/>
      <w:bookmarkStart w:id="543" w:name="_Toc238547986"/>
      <w:bookmarkStart w:id="544" w:name="_Toc246812951"/>
      <w:r>
        <w:rPr>
          <w:rStyle w:val="CharDivNo"/>
        </w:rPr>
        <w:t>Division 5</w:t>
      </w:r>
      <w:r>
        <w:t> — </w:t>
      </w:r>
      <w:r>
        <w:rPr>
          <w:rStyle w:val="CharDivText"/>
        </w:rPr>
        <w:t>Miscellaneous matters</w:t>
      </w:r>
      <w:bookmarkEnd w:id="538"/>
      <w:bookmarkEnd w:id="539"/>
      <w:bookmarkEnd w:id="540"/>
      <w:bookmarkEnd w:id="541"/>
      <w:bookmarkEnd w:id="542"/>
      <w:bookmarkEnd w:id="543"/>
      <w:bookmarkEnd w:id="544"/>
    </w:p>
    <w:p>
      <w:pPr>
        <w:pStyle w:val="Heading5"/>
      </w:pPr>
      <w:bookmarkStart w:id="545" w:name="_Toc246812952"/>
      <w:r>
        <w:rPr>
          <w:rStyle w:val="CharSectno"/>
        </w:rPr>
        <w:t>183</w:t>
      </w:r>
      <w:r>
        <w:t>.</w:t>
      </w:r>
      <w:r>
        <w:tab/>
        <w:t>Register of licences</w:t>
      </w:r>
      <w:bookmarkEnd w:id="545"/>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546" w:name="_Toc246812953"/>
      <w:r>
        <w:rPr>
          <w:rStyle w:val="CharSectno"/>
        </w:rPr>
        <w:t>184</w:t>
      </w:r>
      <w:r>
        <w:t>.</w:t>
      </w:r>
      <w:r>
        <w:tab/>
        <w:t>Annual fee for major hazard facilities</w:t>
      </w:r>
      <w:bookmarkEnd w:id="546"/>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w:t>
      </w:r>
      <w:del w:id="547" w:author="Master Repository Process" w:date="2021-08-01T03:16:00Z">
        <w:r>
          <w:delText xml:space="preserve"> 000</w:delText>
        </w:r>
      </w:del>
      <w:ins w:id="548" w:author="Master Repository Process" w:date="2021-08-01T03:16:00Z">
        <w:r>
          <w:t> 315</w:t>
        </w:r>
      </w:ins>
      <w:r>
        <w:t>;</w:t>
      </w:r>
    </w:p>
    <w:p>
      <w:pPr>
        <w:pStyle w:val="Indenta"/>
      </w:pPr>
      <w:r>
        <w:tab/>
        <w:t>(b)</w:t>
      </w:r>
      <w:r>
        <w:tab/>
        <w:t>if under Schedule 3 of those regulations the site is a Class B place, a fee of $10</w:t>
      </w:r>
      <w:del w:id="549" w:author="Master Repository Process" w:date="2021-08-01T03:16:00Z">
        <w:r>
          <w:delText xml:space="preserve"> 000</w:delText>
        </w:r>
      </w:del>
      <w:ins w:id="550" w:author="Master Repository Process" w:date="2021-08-01T03:16:00Z">
        <w:r>
          <w:t> 210</w:t>
        </w:r>
      </w:ins>
      <w:r>
        <w:t>;</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Footnotesection"/>
        <w:rPr>
          <w:ins w:id="551" w:author="Master Repository Process" w:date="2021-08-01T03:16:00Z"/>
        </w:rPr>
      </w:pPr>
      <w:ins w:id="552" w:author="Master Repository Process" w:date="2021-08-01T03:16:00Z">
        <w:r>
          <w:tab/>
          <w:t>[Regulation 184 amended in Gazette 25 Jun 2010 p. 2876.]</w:t>
        </w:r>
      </w:ins>
    </w:p>
    <w:p>
      <w:pPr>
        <w:pStyle w:val="Heading2"/>
      </w:pPr>
      <w:bookmarkStart w:id="553" w:name="_Toc191960709"/>
      <w:bookmarkStart w:id="554" w:name="_Toc191982290"/>
      <w:bookmarkStart w:id="555" w:name="_Toc233693204"/>
      <w:bookmarkStart w:id="556" w:name="_Toc238546555"/>
      <w:bookmarkStart w:id="557" w:name="_Toc238546860"/>
      <w:bookmarkStart w:id="558" w:name="_Toc238547989"/>
      <w:bookmarkStart w:id="559" w:name="_Toc246812954"/>
      <w:r>
        <w:rPr>
          <w:rStyle w:val="CharPartNo"/>
        </w:rPr>
        <w:t>Part 16</w:t>
      </w:r>
      <w:r>
        <w:rPr>
          <w:rStyle w:val="CharDivNo"/>
        </w:rPr>
        <w:t> </w:t>
      </w:r>
      <w:r>
        <w:t>—</w:t>
      </w:r>
      <w:r>
        <w:rPr>
          <w:rStyle w:val="CharDivText"/>
        </w:rPr>
        <w:t> </w:t>
      </w:r>
      <w:r>
        <w:rPr>
          <w:rStyle w:val="CharPartText"/>
        </w:rPr>
        <w:t>Fees for using State explosives facilities</w:t>
      </w:r>
      <w:bookmarkEnd w:id="553"/>
      <w:bookmarkEnd w:id="554"/>
      <w:bookmarkEnd w:id="555"/>
      <w:bookmarkEnd w:id="556"/>
      <w:bookmarkEnd w:id="557"/>
      <w:bookmarkEnd w:id="558"/>
      <w:bookmarkEnd w:id="559"/>
    </w:p>
    <w:p>
      <w:pPr>
        <w:pStyle w:val="Heading5"/>
      </w:pPr>
      <w:bookmarkStart w:id="560" w:name="_Toc246812955"/>
      <w:r>
        <w:rPr>
          <w:rStyle w:val="CharSectno"/>
        </w:rPr>
        <w:t>185</w:t>
      </w:r>
      <w:r>
        <w:t>.</w:t>
      </w:r>
      <w:r>
        <w:tab/>
        <w:t>Terms used in this Part</w:t>
      </w:r>
      <w:bookmarkEnd w:id="560"/>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r>
        <w:rPr>
          <w:rStyle w:val="CharDefText"/>
        </w:rPr>
        <w:t>Kalgoorlie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Kalgoorlie facility;</w:t>
      </w:r>
    </w:p>
    <w:p>
      <w:pPr>
        <w:pStyle w:val="Defstart"/>
      </w:pPr>
      <w:r>
        <w:rPr>
          <w:b/>
        </w:rPr>
        <w:tab/>
      </w:r>
      <w:r>
        <w:rPr>
          <w:rStyle w:val="CharDefText"/>
        </w:rPr>
        <w:t>type B facility</w:t>
      </w:r>
      <w:r>
        <w:t xml:space="preserve"> means an SEF other than the Baldivis facility or the Kalgoorlie facility.</w:t>
      </w:r>
    </w:p>
    <w:p>
      <w:pPr>
        <w:pStyle w:val="Heading5"/>
      </w:pPr>
      <w:bookmarkStart w:id="561" w:name="_Toc246812956"/>
      <w:r>
        <w:rPr>
          <w:rStyle w:val="CharSectno"/>
        </w:rPr>
        <w:t>186</w:t>
      </w:r>
      <w:r>
        <w:t>.</w:t>
      </w:r>
      <w:r>
        <w:tab/>
        <w:t>Application of this Part</w:t>
      </w:r>
      <w:bookmarkEnd w:id="561"/>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562" w:name="_Toc246812957"/>
      <w:r>
        <w:rPr>
          <w:rStyle w:val="CharSectno"/>
        </w:rPr>
        <w:t>187</w:t>
      </w:r>
      <w:r>
        <w:t>.</w:t>
      </w:r>
      <w:r>
        <w:tab/>
        <w:t>Fees to be paid quarterly</w:t>
      </w:r>
      <w:bookmarkEnd w:id="562"/>
    </w:p>
    <w:p>
      <w:pPr>
        <w:pStyle w:val="Subsection"/>
      </w:pPr>
      <w:r>
        <w:tab/>
      </w:r>
      <w:r>
        <w:tab/>
        <w:t>The fees payable under this Part must be paid in advance before 1 January, 1 April, 1 July and 1 October of each year for the quarter that begins on that date.</w:t>
      </w:r>
    </w:p>
    <w:p>
      <w:pPr>
        <w:pStyle w:val="Heading5"/>
      </w:pPr>
      <w:bookmarkStart w:id="563" w:name="_Toc246812958"/>
      <w:r>
        <w:rPr>
          <w:rStyle w:val="CharSectno"/>
        </w:rPr>
        <w:t>188</w:t>
      </w:r>
      <w:r>
        <w:t>.</w:t>
      </w:r>
      <w:r>
        <w:tab/>
        <w:t>Fees for using SEF to manufacture explosives</w:t>
      </w:r>
      <w:bookmarkEnd w:id="563"/>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w:t>
      </w:r>
      <w:del w:id="564" w:author="Master Repository Process" w:date="2021-08-01T03:16:00Z">
        <w:r>
          <w:delText xml:space="preserve"> 400</w:delText>
        </w:r>
      </w:del>
      <w:ins w:id="565" w:author="Master Repository Process" w:date="2021-08-01T03:16:00Z">
        <w:r>
          <w:t> 450</w:t>
        </w:r>
      </w:ins>
      <w:r>
        <w:t>; or</w:t>
      </w:r>
    </w:p>
    <w:p>
      <w:pPr>
        <w:pStyle w:val="Indenti"/>
      </w:pPr>
      <w:r>
        <w:tab/>
        <w:t>(ii)</w:t>
      </w:r>
      <w:r>
        <w:tab/>
        <w:t>$6.</w:t>
      </w:r>
      <w:del w:id="566" w:author="Master Repository Process" w:date="2021-08-01T03:16:00Z">
        <w:r>
          <w:delText>40</w:delText>
        </w:r>
      </w:del>
      <w:ins w:id="567" w:author="Master Repository Process" w:date="2021-08-01T03:16:00Z">
        <w:r>
          <w:t>50</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rPr>
          <w:ins w:id="568" w:author="Master Repository Process" w:date="2021-08-01T03:16:00Z"/>
        </w:rPr>
      </w:pPr>
      <w:bookmarkStart w:id="569" w:name="_Toc246812959"/>
      <w:ins w:id="570" w:author="Master Repository Process" w:date="2021-08-01T03:16:00Z">
        <w:r>
          <w:tab/>
          <w:t>[Regulation 188 amended in Gazette 25 Jun 2010 p. 2876.]</w:t>
        </w:r>
      </w:ins>
    </w:p>
    <w:p>
      <w:pPr>
        <w:pStyle w:val="Heading5"/>
      </w:pPr>
      <w:r>
        <w:rPr>
          <w:rStyle w:val="CharSectno"/>
        </w:rPr>
        <w:t>189</w:t>
      </w:r>
      <w:r>
        <w:t>.</w:t>
      </w:r>
      <w:r>
        <w:tab/>
        <w:t>Fees for using SEF to store explosives</w:t>
      </w:r>
      <w:bookmarkEnd w:id="569"/>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w:t>
      </w:r>
      <w:del w:id="571" w:author="Master Repository Process" w:date="2021-08-01T03:16:00Z">
        <w:r>
          <w:delText>150</w:delText>
        </w:r>
      </w:del>
      <w:ins w:id="572" w:author="Master Repository Process" w:date="2021-08-01T03:16:00Z">
        <w:r>
          <w:t>153</w:t>
        </w:r>
      </w:ins>
      <w:r>
        <w:t>;</w:t>
      </w:r>
    </w:p>
    <w:p>
      <w:pPr>
        <w:pStyle w:val="Indenti"/>
      </w:pPr>
      <w:r>
        <w:tab/>
        <w:t>(ii)</w:t>
      </w:r>
      <w:r>
        <w:tab/>
        <w:t>if the licence authorises the storage of 100 kg or more but not more than 1 000 kg of explosive — $</w:t>
      </w:r>
      <w:del w:id="573" w:author="Master Repository Process" w:date="2021-08-01T03:16:00Z">
        <w:r>
          <w:delText>150</w:delText>
        </w:r>
      </w:del>
      <w:ins w:id="574" w:author="Master Repository Process" w:date="2021-08-01T03:16:00Z">
        <w:r>
          <w:t>153</w:t>
        </w:r>
      </w:ins>
      <w:r>
        <w:t xml:space="preserve"> plus $1.</w:t>
      </w:r>
      <w:del w:id="575" w:author="Master Repository Process" w:date="2021-08-01T03:16:00Z">
        <w:r>
          <w:delText>25</w:delText>
        </w:r>
      </w:del>
      <w:ins w:id="576" w:author="Master Repository Process" w:date="2021-08-01T03:16:00Z">
        <w:r>
          <w:t>30</w:t>
        </w:r>
      </w:ins>
      <w:r>
        <w:t xml:space="preserve">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w:t>
      </w:r>
      <w:del w:id="577" w:author="Master Repository Process" w:date="2021-08-01T03:16:00Z">
        <w:r>
          <w:delText>230</w:delText>
        </w:r>
      </w:del>
      <w:ins w:id="578" w:author="Master Repository Process" w:date="2021-08-01T03:16:00Z">
        <w:r>
          <w:t>235</w:t>
        </w:r>
      </w:ins>
      <w:r>
        <w:t xml:space="preserve">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rPr>
          <w:ins w:id="579" w:author="Master Repository Process" w:date="2021-08-01T03:16:00Z"/>
        </w:rPr>
      </w:pPr>
      <w:bookmarkStart w:id="580" w:name="_Toc246812960"/>
      <w:ins w:id="581" w:author="Master Repository Process" w:date="2021-08-01T03:16:00Z">
        <w:r>
          <w:tab/>
          <w:t>[Regulation 189 amended in Gazette 25 Jun 2010 p. 2876.]</w:t>
        </w:r>
      </w:ins>
    </w:p>
    <w:p>
      <w:pPr>
        <w:pStyle w:val="Heading5"/>
      </w:pPr>
      <w:r>
        <w:rPr>
          <w:rStyle w:val="CharSectno"/>
        </w:rPr>
        <w:t>190</w:t>
      </w:r>
      <w:r>
        <w:t>.</w:t>
      </w:r>
      <w:r>
        <w:tab/>
        <w:t>Fees for using SEF to manufacture or store SRSs</w:t>
      </w:r>
      <w:bookmarkEnd w:id="580"/>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w:t>
      </w:r>
      <w:del w:id="582" w:author="Master Repository Process" w:date="2021-08-01T03:16:00Z">
        <w:r>
          <w:delText xml:space="preserve"> 400</w:delText>
        </w:r>
      </w:del>
      <w:ins w:id="583" w:author="Master Repository Process" w:date="2021-08-01T03:16:00Z">
        <w:r>
          <w:t> 450</w:t>
        </w:r>
      </w:ins>
      <w:r>
        <w:t>; or</w:t>
      </w:r>
    </w:p>
    <w:p>
      <w:pPr>
        <w:pStyle w:val="Indenti"/>
      </w:pPr>
      <w:r>
        <w:tab/>
        <w:t>(ii)</w:t>
      </w:r>
      <w:r>
        <w:tab/>
        <w:t>$6.</w:t>
      </w:r>
      <w:del w:id="584" w:author="Master Repository Process" w:date="2021-08-01T03:16:00Z">
        <w:r>
          <w:delText>40</w:delText>
        </w:r>
      </w:del>
      <w:ins w:id="585" w:author="Master Repository Process" w:date="2021-08-01T03:16:00Z">
        <w:r>
          <w:t>50</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rPr>
          <w:ins w:id="586" w:author="Master Repository Process" w:date="2021-08-01T03:16:00Z"/>
        </w:rPr>
      </w:pPr>
      <w:bookmarkStart w:id="587" w:name="_Toc191960716"/>
      <w:bookmarkStart w:id="588" w:name="_Toc191982297"/>
      <w:bookmarkStart w:id="589" w:name="_Toc233693211"/>
      <w:bookmarkStart w:id="590" w:name="_Toc238546562"/>
      <w:bookmarkStart w:id="591" w:name="_Toc238546867"/>
      <w:bookmarkStart w:id="592" w:name="_Toc238547996"/>
      <w:bookmarkStart w:id="593" w:name="_Toc246812961"/>
      <w:ins w:id="594" w:author="Master Repository Process" w:date="2021-08-01T03:16:00Z">
        <w:r>
          <w:tab/>
          <w:t>[Regulation 190 amended in Gazette 25 Jun 2010 p. 2876.]</w:t>
        </w:r>
      </w:ins>
    </w:p>
    <w:p>
      <w:pPr>
        <w:pStyle w:val="Heading2"/>
      </w:pPr>
      <w:r>
        <w:rPr>
          <w:rStyle w:val="CharPartNo"/>
        </w:rPr>
        <w:t>Part 17</w:t>
      </w:r>
      <w:r>
        <w:rPr>
          <w:rStyle w:val="CharDivNo"/>
        </w:rPr>
        <w:t> </w:t>
      </w:r>
      <w:r>
        <w:t>—</w:t>
      </w:r>
      <w:r>
        <w:rPr>
          <w:rStyle w:val="CharDivText"/>
        </w:rPr>
        <w:t> </w:t>
      </w:r>
      <w:r>
        <w:rPr>
          <w:rStyle w:val="CharPartText"/>
        </w:rPr>
        <w:t>Miscellaneous matters</w:t>
      </w:r>
      <w:bookmarkEnd w:id="587"/>
      <w:bookmarkEnd w:id="588"/>
      <w:bookmarkEnd w:id="589"/>
      <w:bookmarkEnd w:id="590"/>
      <w:bookmarkEnd w:id="591"/>
      <w:bookmarkEnd w:id="592"/>
      <w:bookmarkEnd w:id="593"/>
    </w:p>
    <w:p>
      <w:pPr>
        <w:pStyle w:val="Heading5"/>
      </w:pPr>
      <w:bookmarkStart w:id="595" w:name="_Toc246812962"/>
      <w:r>
        <w:rPr>
          <w:rStyle w:val="CharSectno"/>
        </w:rPr>
        <w:t>191</w:t>
      </w:r>
      <w:r>
        <w:t>.</w:t>
      </w:r>
      <w:r>
        <w:tab/>
        <w:t>State land, manufacture or storage on</w:t>
      </w:r>
      <w:bookmarkEnd w:id="595"/>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596" w:name="_Toc246812963"/>
      <w:r>
        <w:rPr>
          <w:rStyle w:val="CharSectno"/>
        </w:rPr>
        <w:t>192</w:t>
      </w:r>
      <w:r>
        <w:t>.</w:t>
      </w:r>
      <w:r>
        <w:tab/>
        <w:t>“Safety management documents” prescribed (Act s. 3)</w:t>
      </w:r>
      <w:bookmarkEnd w:id="596"/>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597" w:name="_Toc246812964"/>
      <w:r>
        <w:rPr>
          <w:rStyle w:val="CharSectno"/>
        </w:rPr>
        <w:t>193</w:t>
      </w:r>
      <w:r>
        <w:t>.</w:t>
      </w:r>
      <w:r>
        <w:tab/>
        <w:t>False or misleading information, offences</w:t>
      </w:r>
      <w:bookmarkEnd w:id="597"/>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598" w:name="_Toc246812965"/>
      <w:r>
        <w:rPr>
          <w:rStyle w:val="CharSectno"/>
        </w:rPr>
        <w:t>194</w:t>
      </w:r>
      <w:r>
        <w:t>.</w:t>
      </w:r>
      <w:r>
        <w:tab/>
        <w:t>Explosives management plan, duties in respect of</w:t>
      </w:r>
      <w:bookmarkEnd w:id="598"/>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599" w:name="_Toc246812966"/>
      <w:r>
        <w:rPr>
          <w:rStyle w:val="CharSectno"/>
        </w:rPr>
        <w:t>195</w:t>
      </w:r>
      <w:r>
        <w:t>.</w:t>
      </w:r>
      <w:r>
        <w:tab/>
        <w:t>Conditions of a permit, contravening</w:t>
      </w:r>
      <w:bookmarkEnd w:id="599"/>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 or</w:t>
      </w:r>
    </w:p>
    <w:p>
      <w:pPr>
        <w:pStyle w:val="Indenta"/>
      </w:pPr>
      <w:r>
        <w:tab/>
        <w:t>(d)</w:t>
      </w:r>
      <w:r>
        <w:tab/>
        <w:t>a permit issued under regulation 139; or</w:t>
      </w:r>
    </w:p>
    <w:p>
      <w:pPr>
        <w:pStyle w:val="Indenta"/>
      </w:pPr>
      <w:r>
        <w:tab/>
        <w:t>(e)</w:t>
      </w:r>
      <w:r>
        <w:tab/>
        <w:t>a permit issued under regulation 140,</w:t>
      </w:r>
    </w:p>
    <w:p>
      <w:pPr>
        <w:pStyle w:val="Subsection"/>
      </w:pPr>
      <w:r>
        <w:tab/>
      </w:r>
      <w:r>
        <w:tab/>
        <w:t>must obey any condition that is in the permit.</w:t>
      </w:r>
    </w:p>
    <w:p>
      <w:pPr>
        <w:pStyle w:val="Penstart"/>
      </w:pPr>
      <w:r>
        <w:tab/>
        <w:t>Penalty: a level 1 fine and imprisonment for 10 months.</w:t>
      </w:r>
    </w:p>
    <w:p>
      <w:pPr>
        <w:pStyle w:val="Subsection"/>
      </w:pPr>
      <w:r>
        <w:tab/>
        <w:t>(2)</w:t>
      </w:r>
      <w:r>
        <w:tab/>
        <w:t xml:space="preserve">Despite </w:t>
      </w:r>
      <w:r>
        <w:rPr>
          <w:i/>
          <w:iCs/>
        </w:rPr>
        <w:t>The Criminal Code</w:t>
      </w:r>
      <w:r>
        <w:t xml:space="preserve"> section 11, a person convicted of an offence under subregulation (1) may be punished for the offence even if the condition contravened was amended or cancelled after the offence was committed.</w:t>
      </w:r>
    </w:p>
    <w:p>
      <w:pPr>
        <w:pStyle w:val="Heading5"/>
      </w:pPr>
      <w:bookmarkStart w:id="600" w:name="_Toc246812967"/>
      <w:r>
        <w:rPr>
          <w:rStyle w:val="CharSectno"/>
        </w:rPr>
        <w:t>196</w:t>
      </w:r>
      <w:r>
        <w:t>.</w:t>
      </w:r>
      <w:r>
        <w:tab/>
        <w:t>Permits have no effect if holder’s licence ceases to have effect</w:t>
      </w:r>
      <w:bookmarkEnd w:id="600"/>
    </w:p>
    <w:p>
      <w:pPr>
        <w:pStyle w:val="Subsection"/>
      </w:pPr>
      <w:r>
        <w:tab/>
      </w:r>
      <w:r>
        <w:tab/>
        <w:t>If, when a licence ceases to have effect, the holder also holds a permit issued under these regulations, the permit ceases to have effect at the same time.</w:t>
      </w:r>
    </w:p>
    <w:p>
      <w:pPr>
        <w:pStyle w:val="Heading5"/>
      </w:pPr>
      <w:bookmarkStart w:id="601" w:name="_Toc246812968"/>
      <w:r>
        <w:rPr>
          <w:rStyle w:val="CharSectno"/>
        </w:rPr>
        <w:t>197</w:t>
      </w:r>
      <w:r>
        <w:t>.</w:t>
      </w:r>
      <w:r>
        <w:tab/>
        <w:t>Prescribed offences and modified penalties (Act s. 56)</w:t>
      </w:r>
      <w:bookmarkEnd w:id="60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602" w:name="_Toc191960724"/>
      <w:bookmarkStart w:id="603" w:name="_Toc191982305"/>
      <w:bookmarkStart w:id="604" w:name="_Toc233693219"/>
      <w:bookmarkStart w:id="605" w:name="_Toc238546570"/>
      <w:bookmarkStart w:id="606" w:name="_Toc238546875"/>
      <w:bookmarkStart w:id="607" w:name="_Toc238548004"/>
      <w:bookmarkStart w:id="608" w:name="_Toc246812969"/>
      <w:r>
        <w:rPr>
          <w:rStyle w:val="CharPartNo"/>
        </w:rPr>
        <w:t>Part 18</w:t>
      </w:r>
      <w:r>
        <w:rPr>
          <w:rStyle w:val="CharDivNo"/>
        </w:rPr>
        <w:t> </w:t>
      </w:r>
      <w:r>
        <w:t>—</w:t>
      </w:r>
      <w:r>
        <w:rPr>
          <w:rStyle w:val="CharDivText"/>
        </w:rPr>
        <w:t> </w:t>
      </w:r>
      <w:r>
        <w:rPr>
          <w:rStyle w:val="CharPartText"/>
        </w:rPr>
        <w:t>Transitional matters</w:t>
      </w:r>
      <w:bookmarkEnd w:id="602"/>
      <w:bookmarkEnd w:id="603"/>
      <w:bookmarkEnd w:id="604"/>
      <w:bookmarkEnd w:id="605"/>
      <w:bookmarkEnd w:id="606"/>
      <w:bookmarkEnd w:id="607"/>
      <w:bookmarkEnd w:id="608"/>
    </w:p>
    <w:p>
      <w:pPr>
        <w:pStyle w:val="Heading5"/>
      </w:pPr>
      <w:bookmarkStart w:id="609" w:name="_Toc246812970"/>
      <w:r>
        <w:rPr>
          <w:rStyle w:val="CharSectno"/>
        </w:rPr>
        <w:t>198</w:t>
      </w:r>
      <w:r>
        <w:t>.</w:t>
      </w:r>
      <w:r>
        <w:tab/>
        <w:t>Term used in this Part</w:t>
      </w:r>
      <w:bookmarkEnd w:id="609"/>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610" w:name="_Toc246812971"/>
      <w:r>
        <w:rPr>
          <w:rStyle w:val="CharSectno"/>
        </w:rPr>
        <w:t>199</w:t>
      </w:r>
      <w:r>
        <w:t>.</w:t>
      </w:r>
      <w:r>
        <w:tab/>
        <w:t>Authorised explosives</w:t>
      </w:r>
      <w:bookmarkEnd w:id="610"/>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611" w:name="_Toc246812972"/>
      <w:r>
        <w:rPr>
          <w:rStyle w:val="CharSectno"/>
        </w:rPr>
        <w:t>200</w:t>
      </w:r>
      <w:r>
        <w:t>.</w:t>
      </w:r>
      <w:r>
        <w:tab/>
        <w:t xml:space="preserve">Licences issued under </w:t>
      </w:r>
      <w:r>
        <w:rPr>
          <w:i/>
        </w:rPr>
        <w:t>Explosives and Dangerous Goods Act 1961</w:t>
      </w:r>
      <w:bookmarkEnd w:id="611"/>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612" w:name="_Toc246812973"/>
      <w:r>
        <w:rPr>
          <w:rStyle w:val="CharSectno"/>
        </w:rPr>
        <w:t>201</w:t>
      </w:r>
      <w:r>
        <w:t>.</w:t>
      </w:r>
      <w:r>
        <w:tab/>
        <w:t xml:space="preserve">Explosive vehicle licences issued under </w:t>
      </w:r>
      <w:r>
        <w:rPr>
          <w:i/>
        </w:rPr>
        <w:t>Dangerous Goods (Transport) Act 1998</w:t>
      </w:r>
      <w:bookmarkEnd w:id="612"/>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613" w:name="_Toc246812974"/>
      <w:r>
        <w:rPr>
          <w:rStyle w:val="CharSectno"/>
        </w:rPr>
        <w:t>202</w:t>
      </w:r>
      <w:r>
        <w:t>.</w:t>
      </w:r>
      <w:r>
        <w:tab/>
        <w:t>Security clearances required within one year after commencement</w:t>
      </w:r>
      <w:bookmarkEnd w:id="613"/>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614" w:name="_Toc246812975"/>
      <w:r>
        <w:rPr>
          <w:rStyle w:val="CharSectno"/>
        </w:rPr>
        <w:t>203</w:t>
      </w:r>
      <w:r>
        <w:t>.</w:t>
      </w:r>
      <w:r>
        <w:tab/>
        <w:t>Explosives management plans required within one year after commencement</w:t>
      </w:r>
      <w:bookmarkEnd w:id="614"/>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615" w:name="_Toc246812976"/>
      <w:r>
        <w:rPr>
          <w:rStyle w:val="CharSectno"/>
        </w:rPr>
        <w:t>204</w:t>
      </w:r>
      <w:r>
        <w:t>.</w:t>
      </w:r>
      <w:r>
        <w:tab/>
        <w:t>Explosives driver licence issued under</w:t>
      </w:r>
      <w:r>
        <w:rPr>
          <w:i/>
        </w:rPr>
        <w:t xml:space="preserve"> Dangerous Goods (Transport) Act 1998</w:t>
      </w:r>
      <w:bookmarkEnd w:id="615"/>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616" w:name="_Toc246812977"/>
      <w:r>
        <w:rPr>
          <w:rStyle w:val="CharSectno"/>
        </w:rPr>
        <w:t>205</w:t>
      </w:r>
      <w:r>
        <w:t>.</w:t>
      </w:r>
      <w:r>
        <w:tab/>
        <w:t>State explosive facilities, when new fees apply</w:t>
      </w:r>
      <w:bookmarkEnd w:id="616"/>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617" w:name="_Toc246812978"/>
      <w:r>
        <w:rPr>
          <w:rStyle w:val="CharSectno"/>
        </w:rPr>
        <w:t>206</w:t>
      </w:r>
      <w:r>
        <w:t>.</w:t>
      </w:r>
      <w:r>
        <w:tab/>
        <w:t>Compliance with AE Code Second Edition a defence until 1 January 2010</w:t>
      </w:r>
      <w:bookmarkEnd w:id="617"/>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8" w:name="_Toc191960733"/>
      <w:bookmarkStart w:id="619" w:name="_Toc191982314"/>
      <w:bookmarkStart w:id="620" w:name="_Toc233693228"/>
      <w:bookmarkStart w:id="621" w:name="_Toc238546579"/>
      <w:bookmarkStart w:id="622" w:name="_Toc238546884"/>
      <w:bookmarkStart w:id="623" w:name="_Toc238548013"/>
      <w:bookmarkStart w:id="624" w:name="_Toc246812979"/>
      <w:bookmarkStart w:id="625" w:name="_Toc113695922"/>
      <w:bookmarkStart w:id="626" w:name="_Toc186857117"/>
      <w:bookmarkStart w:id="627" w:name="_Toc186857186"/>
      <w:bookmarkStart w:id="628" w:name="_Toc186872265"/>
      <w:r>
        <w:rPr>
          <w:rStyle w:val="CharSchNo"/>
        </w:rPr>
        <w:t>Schedule 1</w:t>
      </w:r>
      <w:r>
        <w:rPr>
          <w:rStyle w:val="CharSDivNo"/>
        </w:rPr>
        <w:t> </w:t>
      </w:r>
      <w:r>
        <w:t>—</w:t>
      </w:r>
      <w:r>
        <w:rPr>
          <w:rStyle w:val="CharSDivText"/>
        </w:rPr>
        <w:t> </w:t>
      </w:r>
      <w:r>
        <w:rPr>
          <w:rStyle w:val="CharSchText"/>
        </w:rPr>
        <w:t>Fees</w:t>
      </w:r>
      <w:bookmarkEnd w:id="618"/>
      <w:bookmarkEnd w:id="619"/>
      <w:bookmarkEnd w:id="620"/>
      <w:bookmarkEnd w:id="621"/>
      <w:bookmarkEnd w:id="622"/>
      <w:bookmarkEnd w:id="623"/>
      <w:bookmarkEnd w:id="624"/>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del w:id="629" w:author="Master Repository Process" w:date="2021-08-01T03:16:00Z">
              <w:r>
                <w:delText>156</w:delText>
              </w:r>
            </w:del>
            <w:ins w:id="630" w:author="Master Repository Process" w:date="2021-08-01T03:16:00Z">
              <w:r>
                <w:t>159</w:t>
              </w:r>
            </w:ins>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pPr>
            <w:r>
              <w:t>(a)</w:t>
            </w:r>
            <w:r>
              <w:tab/>
              <w:t>if the event fireworks include ground fireworks</w:t>
            </w:r>
          </w:p>
        </w:tc>
        <w:tc>
          <w:tcPr>
            <w:tcW w:w="992" w:type="dxa"/>
          </w:tcPr>
          <w:p>
            <w:pPr>
              <w:pStyle w:val="yTableNAm"/>
              <w:tabs>
                <w:tab w:val="clear" w:pos="567"/>
              </w:tabs>
              <w:ind w:right="71"/>
              <w:jc w:val="right"/>
            </w:pPr>
            <w:del w:id="631" w:author="Master Repository Process" w:date="2021-08-01T03:16:00Z">
              <w:r>
                <w:delText>50</w:delText>
              </w:r>
            </w:del>
            <w:ins w:id="632" w:author="Master Repository Process" w:date="2021-08-01T03:16:00Z">
              <w:r>
                <w:t>51</w:t>
              </w:r>
            </w:ins>
          </w:p>
        </w:tc>
      </w:tr>
      <w:tr>
        <w:trPr>
          <w:cantSplit/>
        </w:trPr>
        <w:tc>
          <w:tcPr>
            <w:tcW w:w="567" w:type="dxa"/>
          </w:tcPr>
          <w:p>
            <w:pPr>
              <w:pStyle w:val="yTableNAm"/>
              <w:jc w:val="center"/>
            </w:pPr>
          </w:p>
        </w:tc>
        <w:tc>
          <w:tcPr>
            <w:tcW w:w="5529" w:type="dxa"/>
          </w:tcPr>
          <w:p>
            <w:pPr>
              <w:pStyle w:val="yTableNAm"/>
              <w:ind w:left="594" w:hanging="594"/>
            </w:pPr>
            <w:r>
              <w:t>(b)</w:t>
            </w:r>
            <w:r>
              <w:tab/>
              <w:t>if the event fireworks include aerial shells of not more than 125 mm diameter</w:t>
            </w:r>
          </w:p>
        </w:tc>
        <w:tc>
          <w:tcPr>
            <w:tcW w:w="992" w:type="dxa"/>
          </w:tcPr>
          <w:p>
            <w:pPr>
              <w:pStyle w:val="yTableNAm"/>
              <w:tabs>
                <w:tab w:val="clear" w:pos="567"/>
              </w:tabs>
              <w:ind w:right="71"/>
              <w:jc w:val="right"/>
              <w:rPr>
                <w:del w:id="633" w:author="Master Repository Process" w:date="2021-08-01T03:16:00Z"/>
              </w:rPr>
            </w:pPr>
          </w:p>
          <w:p>
            <w:pPr>
              <w:pStyle w:val="yTableNAm"/>
              <w:tabs>
                <w:tab w:val="clear" w:pos="567"/>
              </w:tabs>
              <w:ind w:right="71"/>
              <w:jc w:val="right"/>
            </w:pPr>
            <w:del w:id="634" w:author="Master Repository Process" w:date="2021-08-01T03:16:00Z">
              <w:r>
                <w:delText>100</w:delText>
              </w:r>
            </w:del>
            <w:ins w:id="635" w:author="Master Repository Process" w:date="2021-08-01T03:16:00Z">
              <w:r>
                <w:br/>
                <w:t>102</w:t>
              </w:r>
            </w:ins>
          </w:p>
        </w:tc>
      </w:tr>
      <w:tr>
        <w:trPr>
          <w:cantSplit/>
        </w:trPr>
        <w:tc>
          <w:tcPr>
            <w:tcW w:w="567" w:type="dxa"/>
          </w:tcPr>
          <w:p>
            <w:pPr>
              <w:pStyle w:val="yTableNAm"/>
              <w:jc w:val="center"/>
            </w:pPr>
          </w:p>
        </w:tc>
        <w:tc>
          <w:tcPr>
            <w:tcW w:w="5529" w:type="dxa"/>
          </w:tcPr>
          <w:p>
            <w:pPr>
              <w:pStyle w:val="yTableNAm"/>
              <w:ind w:left="594" w:hanging="594"/>
            </w:pPr>
            <w:r>
              <w:t>(c)</w:t>
            </w:r>
            <w:r>
              <w:tab/>
              <w:t>if the event fireworks include aerial shells of more than 125 mm and not more than 300 mm diameter</w:t>
            </w:r>
          </w:p>
        </w:tc>
        <w:tc>
          <w:tcPr>
            <w:tcW w:w="992" w:type="dxa"/>
          </w:tcPr>
          <w:p>
            <w:pPr>
              <w:pStyle w:val="yTableNAm"/>
              <w:tabs>
                <w:tab w:val="clear" w:pos="567"/>
              </w:tabs>
              <w:ind w:right="71"/>
              <w:jc w:val="right"/>
              <w:rPr>
                <w:del w:id="636" w:author="Master Repository Process" w:date="2021-08-01T03:16:00Z"/>
              </w:rPr>
            </w:pPr>
          </w:p>
          <w:p>
            <w:pPr>
              <w:pStyle w:val="yTableNAm"/>
              <w:tabs>
                <w:tab w:val="clear" w:pos="567"/>
              </w:tabs>
              <w:ind w:right="71"/>
              <w:jc w:val="right"/>
            </w:pPr>
            <w:del w:id="637" w:author="Master Repository Process" w:date="2021-08-01T03:16:00Z">
              <w:r>
                <w:delText>250</w:delText>
              </w:r>
            </w:del>
            <w:ins w:id="638" w:author="Master Repository Process" w:date="2021-08-01T03:16:00Z">
              <w:r>
                <w:br/>
                <w:t>255</w:t>
              </w:r>
            </w:ins>
          </w:p>
        </w:tc>
      </w:tr>
      <w:tr>
        <w:trPr>
          <w:cantSplit/>
        </w:trPr>
        <w:tc>
          <w:tcPr>
            <w:tcW w:w="567" w:type="dxa"/>
          </w:tcPr>
          <w:p>
            <w:pPr>
              <w:pStyle w:val="yTableNAm"/>
              <w:jc w:val="center"/>
            </w:pPr>
          </w:p>
        </w:tc>
        <w:tc>
          <w:tcPr>
            <w:tcW w:w="5529" w:type="dxa"/>
          </w:tcPr>
          <w:p>
            <w:pPr>
              <w:pStyle w:val="yTableNAm"/>
              <w:ind w:left="594" w:hanging="594"/>
            </w:pPr>
            <w:r>
              <w:t>(d)</w:t>
            </w:r>
            <w:r>
              <w:tab/>
              <w:t>if the event fireworks include aerial shells of more than 300 mm diameter</w:t>
            </w:r>
          </w:p>
        </w:tc>
        <w:tc>
          <w:tcPr>
            <w:tcW w:w="992" w:type="dxa"/>
          </w:tcPr>
          <w:p>
            <w:pPr>
              <w:pStyle w:val="yTableNAm"/>
              <w:tabs>
                <w:tab w:val="clear" w:pos="567"/>
              </w:tabs>
              <w:ind w:right="71"/>
              <w:jc w:val="right"/>
              <w:rPr>
                <w:del w:id="639" w:author="Master Repository Process" w:date="2021-08-01T03:16:00Z"/>
              </w:rPr>
            </w:pPr>
          </w:p>
          <w:p>
            <w:pPr>
              <w:pStyle w:val="yTableNAm"/>
              <w:tabs>
                <w:tab w:val="clear" w:pos="567"/>
              </w:tabs>
              <w:ind w:right="71"/>
              <w:jc w:val="right"/>
            </w:pPr>
            <w:del w:id="640" w:author="Master Repository Process" w:date="2021-08-01T03:16:00Z">
              <w:r>
                <w:delText>500</w:delText>
              </w:r>
            </w:del>
            <w:ins w:id="641" w:author="Master Repository Process" w:date="2021-08-01T03:16:00Z">
              <w:r>
                <w:br/>
                <w:t>510</w:t>
              </w:r>
            </w:ins>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pPr>
            <w:r>
              <w:t>(a)</w:t>
            </w:r>
            <w:r>
              <w:tab/>
              <w:t>explosives import/export licence</w:t>
            </w:r>
          </w:p>
        </w:tc>
        <w:tc>
          <w:tcPr>
            <w:tcW w:w="992" w:type="dxa"/>
          </w:tcPr>
          <w:p>
            <w:pPr>
              <w:pStyle w:val="yTableNAm"/>
              <w:tabs>
                <w:tab w:val="clear" w:pos="567"/>
              </w:tabs>
              <w:ind w:right="71"/>
              <w:jc w:val="right"/>
            </w:pPr>
            <w:del w:id="642" w:author="Master Repository Process" w:date="2021-08-01T03:16:00Z">
              <w:r>
                <w:delText>160</w:delText>
              </w:r>
            </w:del>
            <w:ins w:id="643" w:author="Master Repository Process" w:date="2021-08-01T03:16:00Z">
              <w:r>
                <w:t>163</w:t>
              </w:r>
            </w:ins>
          </w:p>
        </w:tc>
      </w:tr>
      <w:tr>
        <w:trPr>
          <w:cantSplit/>
        </w:trPr>
        <w:tc>
          <w:tcPr>
            <w:tcW w:w="567" w:type="dxa"/>
          </w:tcPr>
          <w:p>
            <w:pPr>
              <w:pStyle w:val="yTableNAm"/>
              <w:jc w:val="center"/>
            </w:pPr>
          </w:p>
        </w:tc>
        <w:tc>
          <w:tcPr>
            <w:tcW w:w="5529" w:type="dxa"/>
          </w:tcPr>
          <w:p>
            <w:pPr>
              <w:pStyle w:val="yTableNAm"/>
              <w:ind w:left="594" w:hanging="594"/>
            </w:pPr>
            <w:r>
              <w:t>(b)</w:t>
            </w:r>
            <w:r>
              <w:tab/>
              <w:t>explosives manufacture licence, unless a fee is payable under regulation 184</w:t>
            </w:r>
          </w:p>
        </w:tc>
        <w:tc>
          <w:tcPr>
            <w:tcW w:w="992" w:type="dxa"/>
          </w:tcPr>
          <w:p>
            <w:pPr>
              <w:pStyle w:val="yTableNAm"/>
              <w:tabs>
                <w:tab w:val="clear" w:pos="567"/>
              </w:tabs>
              <w:ind w:right="71"/>
              <w:jc w:val="right"/>
              <w:rPr>
                <w:del w:id="644" w:author="Master Repository Process" w:date="2021-08-01T03:16:00Z"/>
              </w:rPr>
            </w:pPr>
          </w:p>
          <w:p>
            <w:pPr>
              <w:pStyle w:val="yTableNAm"/>
              <w:tabs>
                <w:tab w:val="clear" w:pos="567"/>
              </w:tabs>
              <w:ind w:right="71"/>
              <w:jc w:val="right"/>
            </w:pPr>
            <w:del w:id="645" w:author="Master Repository Process" w:date="2021-08-01T03:16:00Z">
              <w:r>
                <w:delText>340</w:delText>
              </w:r>
            </w:del>
            <w:ins w:id="646" w:author="Master Repository Process" w:date="2021-08-01T03:16:00Z">
              <w:r>
                <w:br/>
                <w:t>347</w:t>
              </w:r>
            </w:ins>
          </w:p>
        </w:tc>
      </w:tr>
      <w:tr>
        <w:trPr>
          <w:cantSplit/>
        </w:trPr>
        <w:tc>
          <w:tcPr>
            <w:tcW w:w="567" w:type="dxa"/>
          </w:tcPr>
          <w:p>
            <w:pPr>
              <w:pStyle w:val="yTableNAm"/>
              <w:jc w:val="center"/>
            </w:pPr>
          </w:p>
        </w:tc>
        <w:tc>
          <w:tcPr>
            <w:tcW w:w="5529" w:type="dxa"/>
          </w:tcPr>
          <w:p>
            <w:pPr>
              <w:pStyle w:val="yTableNAm"/>
              <w:ind w:left="594" w:hanging="594"/>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ind w:left="594" w:hanging="594"/>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tabs>
                <w:tab w:val="left" w:pos="1176"/>
              </w:tabs>
              <w:ind w:left="1176" w:hanging="1176"/>
            </w:pPr>
            <w:ins w:id="647" w:author="Master Repository Process" w:date="2021-08-01T03:16:00Z">
              <w:r>
                <w:tab/>
              </w:r>
            </w:ins>
            <w:r>
              <w:t>(i)</w:t>
            </w:r>
            <w:r>
              <w:tab/>
              <w:t>for less than 1 t of explosives</w:t>
            </w:r>
          </w:p>
        </w:tc>
        <w:tc>
          <w:tcPr>
            <w:tcW w:w="992" w:type="dxa"/>
          </w:tcPr>
          <w:p>
            <w:pPr>
              <w:pStyle w:val="yTableNAm"/>
              <w:tabs>
                <w:tab w:val="clear" w:pos="567"/>
              </w:tabs>
              <w:ind w:right="71"/>
              <w:jc w:val="right"/>
            </w:pPr>
            <w:del w:id="648" w:author="Master Repository Process" w:date="2021-08-01T03:16:00Z">
              <w:r>
                <w:delText>100</w:delText>
              </w:r>
            </w:del>
            <w:ins w:id="649" w:author="Master Repository Process" w:date="2021-08-01T03:16:00Z">
              <w:r>
                <w:t>102</w:t>
              </w:r>
            </w:ins>
          </w:p>
        </w:tc>
      </w:tr>
      <w:tr>
        <w:trPr>
          <w:cantSplit/>
        </w:trPr>
        <w:tc>
          <w:tcPr>
            <w:tcW w:w="567" w:type="dxa"/>
          </w:tcPr>
          <w:p>
            <w:pPr>
              <w:pStyle w:val="yTableNAm"/>
              <w:jc w:val="center"/>
            </w:pPr>
          </w:p>
        </w:tc>
        <w:tc>
          <w:tcPr>
            <w:tcW w:w="5529" w:type="dxa"/>
          </w:tcPr>
          <w:p>
            <w:pPr>
              <w:pStyle w:val="yTableNAm"/>
              <w:tabs>
                <w:tab w:val="left" w:pos="1176"/>
              </w:tabs>
              <w:ind w:left="1176" w:hanging="1176"/>
            </w:pPr>
            <w:ins w:id="650" w:author="Master Repository Process" w:date="2021-08-01T03:16:00Z">
              <w:r>
                <w:tab/>
              </w:r>
            </w:ins>
            <w:r>
              <w:t>(ii)</w:t>
            </w:r>
            <w:r>
              <w:tab/>
              <w:t>for 1 t or more but not more than 5 t of explosives</w:t>
            </w:r>
          </w:p>
        </w:tc>
        <w:tc>
          <w:tcPr>
            <w:tcW w:w="992" w:type="dxa"/>
          </w:tcPr>
          <w:p>
            <w:pPr>
              <w:pStyle w:val="yTableNAm"/>
              <w:tabs>
                <w:tab w:val="clear" w:pos="567"/>
              </w:tabs>
              <w:ind w:right="71"/>
              <w:jc w:val="right"/>
              <w:rPr>
                <w:del w:id="651" w:author="Master Repository Process" w:date="2021-08-01T03:16:00Z"/>
              </w:rPr>
            </w:pPr>
          </w:p>
          <w:p>
            <w:pPr>
              <w:pStyle w:val="yTableNAm"/>
              <w:tabs>
                <w:tab w:val="clear" w:pos="567"/>
              </w:tabs>
              <w:ind w:right="71"/>
              <w:jc w:val="right"/>
            </w:pPr>
            <w:del w:id="652" w:author="Master Repository Process" w:date="2021-08-01T03:16:00Z">
              <w:r>
                <w:delText>120</w:delText>
              </w:r>
            </w:del>
            <w:ins w:id="653" w:author="Master Repository Process" w:date="2021-08-01T03:16:00Z">
              <w:r>
                <w:br/>
                <w:t>123</w:t>
              </w:r>
            </w:ins>
          </w:p>
        </w:tc>
      </w:tr>
      <w:tr>
        <w:trPr>
          <w:cantSplit/>
        </w:trPr>
        <w:tc>
          <w:tcPr>
            <w:tcW w:w="567" w:type="dxa"/>
          </w:tcPr>
          <w:p>
            <w:pPr>
              <w:pStyle w:val="yTableNAm"/>
              <w:jc w:val="center"/>
            </w:pPr>
          </w:p>
        </w:tc>
        <w:tc>
          <w:tcPr>
            <w:tcW w:w="5529" w:type="dxa"/>
          </w:tcPr>
          <w:p>
            <w:pPr>
              <w:pStyle w:val="yTableNAm"/>
              <w:tabs>
                <w:tab w:val="left" w:pos="1176"/>
              </w:tabs>
              <w:ind w:left="1176" w:hanging="1176"/>
            </w:pPr>
            <w:ins w:id="654" w:author="Master Repository Process" w:date="2021-08-01T03:16:00Z">
              <w:r>
                <w:tab/>
              </w:r>
            </w:ins>
            <w:r>
              <w:t>(iii)</w:t>
            </w:r>
            <w:r>
              <w:tab/>
              <w:t>for more than 5 t of explosives</w:t>
            </w:r>
          </w:p>
        </w:tc>
        <w:tc>
          <w:tcPr>
            <w:tcW w:w="992" w:type="dxa"/>
          </w:tcPr>
          <w:p>
            <w:pPr>
              <w:pStyle w:val="yTableNAm"/>
              <w:tabs>
                <w:tab w:val="clear" w:pos="567"/>
              </w:tabs>
              <w:ind w:right="71"/>
              <w:jc w:val="right"/>
            </w:pPr>
            <w:del w:id="655" w:author="Master Repository Process" w:date="2021-08-01T03:16:00Z">
              <w:r>
                <w:delText>320</w:delText>
              </w:r>
            </w:del>
            <w:ins w:id="656" w:author="Master Repository Process" w:date="2021-08-01T03:16:00Z">
              <w:r>
                <w:t>327</w:t>
              </w:r>
            </w:ins>
          </w:p>
        </w:tc>
      </w:tr>
      <w:tr>
        <w:trPr>
          <w:cantSplit/>
        </w:trPr>
        <w:tc>
          <w:tcPr>
            <w:tcW w:w="567" w:type="dxa"/>
          </w:tcPr>
          <w:p>
            <w:pPr>
              <w:pStyle w:val="yTableNAm"/>
              <w:jc w:val="center"/>
            </w:pPr>
          </w:p>
        </w:tc>
        <w:tc>
          <w:tcPr>
            <w:tcW w:w="5529" w:type="dxa"/>
          </w:tcPr>
          <w:p>
            <w:pPr>
              <w:pStyle w:val="yTableNAm"/>
              <w:ind w:left="594" w:hanging="594"/>
            </w:pPr>
            <w:r>
              <w:t>(e)</w:t>
            </w:r>
            <w:r>
              <w:tab/>
              <w:t>explosives transport licence</w:t>
            </w:r>
          </w:p>
        </w:tc>
        <w:tc>
          <w:tcPr>
            <w:tcW w:w="992" w:type="dxa"/>
          </w:tcPr>
          <w:p>
            <w:pPr>
              <w:pStyle w:val="yTableNAm"/>
              <w:tabs>
                <w:tab w:val="clear" w:pos="567"/>
              </w:tabs>
              <w:ind w:right="71"/>
              <w:jc w:val="right"/>
            </w:pPr>
            <w:del w:id="657" w:author="Master Repository Process" w:date="2021-08-01T03:16:00Z">
              <w:r>
                <w:delText>800</w:delText>
              </w:r>
            </w:del>
            <w:ins w:id="658" w:author="Master Repository Process" w:date="2021-08-01T03:16:00Z">
              <w:r>
                <w:t>817</w:t>
              </w:r>
            </w:ins>
          </w:p>
        </w:tc>
      </w:tr>
      <w:tr>
        <w:trPr>
          <w:cantSplit/>
        </w:trPr>
        <w:tc>
          <w:tcPr>
            <w:tcW w:w="567" w:type="dxa"/>
          </w:tcPr>
          <w:p>
            <w:pPr>
              <w:pStyle w:val="yTableNAm"/>
              <w:jc w:val="center"/>
            </w:pPr>
          </w:p>
        </w:tc>
        <w:tc>
          <w:tcPr>
            <w:tcW w:w="5529" w:type="dxa"/>
          </w:tcPr>
          <w:p>
            <w:pPr>
              <w:pStyle w:val="yTableNAm"/>
              <w:ind w:left="594" w:hanging="594"/>
            </w:pPr>
            <w:r>
              <w:t>(f)</w:t>
            </w:r>
            <w:r>
              <w:tab/>
              <w:t>explosives driver licence</w:t>
            </w:r>
          </w:p>
        </w:tc>
        <w:tc>
          <w:tcPr>
            <w:tcW w:w="992" w:type="dxa"/>
          </w:tcPr>
          <w:p>
            <w:pPr>
              <w:pStyle w:val="yTableNAm"/>
              <w:tabs>
                <w:tab w:val="clear" w:pos="567"/>
              </w:tabs>
              <w:ind w:right="71"/>
              <w:jc w:val="right"/>
            </w:pPr>
            <w:r>
              <w:t>20</w:t>
            </w:r>
            <w:ins w:id="659" w:author="Master Repository Process" w:date="2021-08-01T03:16:00Z">
              <w:r>
                <w:t>.40</w:t>
              </w:r>
            </w:ins>
          </w:p>
        </w:tc>
      </w:tr>
      <w:tr>
        <w:trPr>
          <w:cantSplit/>
        </w:trPr>
        <w:tc>
          <w:tcPr>
            <w:tcW w:w="567" w:type="dxa"/>
          </w:tcPr>
          <w:p>
            <w:pPr>
              <w:pStyle w:val="yTableNAm"/>
              <w:jc w:val="center"/>
            </w:pPr>
          </w:p>
        </w:tc>
        <w:tc>
          <w:tcPr>
            <w:tcW w:w="5529" w:type="dxa"/>
          </w:tcPr>
          <w:p>
            <w:pPr>
              <w:pStyle w:val="yTableNAm"/>
              <w:ind w:left="594" w:hanging="594"/>
            </w:pPr>
            <w:r>
              <w:t>(g)</w:t>
            </w:r>
            <w:r>
              <w:tab/>
              <w:t>explosives supply licence</w:t>
            </w:r>
          </w:p>
        </w:tc>
        <w:tc>
          <w:tcPr>
            <w:tcW w:w="992" w:type="dxa"/>
          </w:tcPr>
          <w:p>
            <w:pPr>
              <w:pStyle w:val="yTableNAm"/>
              <w:tabs>
                <w:tab w:val="clear" w:pos="567"/>
              </w:tabs>
              <w:ind w:right="71"/>
              <w:jc w:val="right"/>
            </w:pPr>
            <w:del w:id="660" w:author="Master Repository Process" w:date="2021-08-01T03:16:00Z">
              <w:r>
                <w:delText>55</w:delText>
              </w:r>
            </w:del>
            <w:ins w:id="661" w:author="Master Repository Process" w:date="2021-08-01T03:16:00Z">
              <w:r>
                <w:t>56</w:t>
              </w:r>
            </w:ins>
          </w:p>
        </w:tc>
      </w:tr>
      <w:tr>
        <w:trPr>
          <w:cantSplit/>
        </w:trPr>
        <w:tc>
          <w:tcPr>
            <w:tcW w:w="567" w:type="dxa"/>
          </w:tcPr>
          <w:p>
            <w:pPr>
              <w:pStyle w:val="yTableNAm"/>
              <w:jc w:val="center"/>
            </w:pPr>
          </w:p>
        </w:tc>
        <w:tc>
          <w:tcPr>
            <w:tcW w:w="5529" w:type="dxa"/>
          </w:tcPr>
          <w:p>
            <w:pPr>
              <w:pStyle w:val="yTableNAm"/>
              <w:ind w:left="594" w:hanging="594"/>
            </w:pPr>
            <w:r>
              <w:t>(h)</w:t>
            </w:r>
            <w:r>
              <w:tab/>
              <w:t>shotfiring licence</w:t>
            </w:r>
          </w:p>
        </w:tc>
        <w:tc>
          <w:tcPr>
            <w:tcW w:w="992" w:type="dxa"/>
          </w:tcPr>
          <w:p>
            <w:pPr>
              <w:pStyle w:val="yTableNAm"/>
              <w:tabs>
                <w:tab w:val="clear" w:pos="567"/>
              </w:tabs>
              <w:ind w:right="71"/>
              <w:jc w:val="right"/>
            </w:pPr>
            <w:r>
              <w:t>20</w:t>
            </w:r>
            <w:ins w:id="662" w:author="Master Repository Process" w:date="2021-08-01T03:16:00Z">
              <w:r>
                <w:t>.40</w:t>
              </w:r>
            </w:ins>
          </w:p>
        </w:tc>
      </w:tr>
      <w:tr>
        <w:trPr>
          <w:cantSplit/>
        </w:trPr>
        <w:tc>
          <w:tcPr>
            <w:tcW w:w="567" w:type="dxa"/>
          </w:tcPr>
          <w:p>
            <w:pPr>
              <w:pStyle w:val="yTableNAm"/>
              <w:jc w:val="center"/>
            </w:pPr>
          </w:p>
        </w:tc>
        <w:tc>
          <w:tcPr>
            <w:tcW w:w="5529" w:type="dxa"/>
          </w:tcPr>
          <w:p>
            <w:pPr>
              <w:pStyle w:val="yTableNAm"/>
              <w:ind w:left="594" w:hanging="594"/>
            </w:pPr>
            <w:r>
              <w:t>(i)</w:t>
            </w:r>
            <w:r>
              <w:tab/>
              <w:t>fireworks contractor licence</w:t>
            </w:r>
          </w:p>
        </w:tc>
        <w:tc>
          <w:tcPr>
            <w:tcW w:w="992" w:type="dxa"/>
          </w:tcPr>
          <w:p>
            <w:pPr>
              <w:pStyle w:val="yTableNAm"/>
              <w:tabs>
                <w:tab w:val="clear" w:pos="567"/>
              </w:tabs>
              <w:ind w:right="71"/>
              <w:jc w:val="right"/>
            </w:pPr>
            <w:del w:id="663" w:author="Master Repository Process" w:date="2021-08-01T03:16:00Z">
              <w:r>
                <w:delText>80</w:delText>
              </w:r>
            </w:del>
            <w:ins w:id="664" w:author="Master Repository Process" w:date="2021-08-01T03:16:00Z">
              <w:r>
                <w:t>81.50</w:t>
              </w:r>
            </w:ins>
          </w:p>
        </w:tc>
      </w:tr>
      <w:tr>
        <w:trPr>
          <w:cantSplit/>
        </w:trPr>
        <w:tc>
          <w:tcPr>
            <w:tcW w:w="567" w:type="dxa"/>
          </w:tcPr>
          <w:p>
            <w:pPr>
              <w:pStyle w:val="yTableNAm"/>
              <w:jc w:val="center"/>
            </w:pPr>
          </w:p>
        </w:tc>
        <w:tc>
          <w:tcPr>
            <w:tcW w:w="5529" w:type="dxa"/>
          </w:tcPr>
          <w:p>
            <w:pPr>
              <w:pStyle w:val="yTableNAm"/>
              <w:ind w:left="594" w:hanging="594"/>
            </w:pPr>
            <w:r>
              <w:t>(j)</w:t>
            </w:r>
            <w:r>
              <w:tab/>
              <w:t>fireworks operator licence</w:t>
            </w:r>
          </w:p>
        </w:tc>
        <w:tc>
          <w:tcPr>
            <w:tcW w:w="992" w:type="dxa"/>
          </w:tcPr>
          <w:p>
            <w:pPr>
              <w:pStyle w:val="yTableNAm"/>
              <w:tabs>
                <w:tab w:val="clear" w:pos="567"/>
              </w:tabs>
              <w:ind w:right="71"/>
              <w:jc w:val="right"/>
            </w:pPr>
            <w:r>
              <w:t>20</w:t>
            </w:r>
            <w:ins w:id="665" w:author="Master Repository Process" w:date="2021-08-01T03:16:00Z">
              <w:r>
                <w:t>.40</w:t>
              </w:r>
            </w:ins>
          </w:p>
        </w:tc>
      </w:tr>
      <w:tr>
        <w:trPr>
          <w:cantSplit/>
        </w:trPr>
        <w:tc>
          <w:tcPr>
            <w:tcW w:w="567" w:type="dxa"/>
          </w:tcPr>
          <w:p>
            <w:pPr>
              <w:pStyle w:val="yTableNAm"/>
              <w:jc w:val="center"/>
            </w:pPr>
          </w:p>
        </w:tc>
        <w:tc>
          <w:tcPr>
            <w:tcW w:w="5529" w:type="dxa"/>
          </w:tcPr>
          <w:p>
            <w:pPr>
              <w:pStyle w:val="yTableNAm"/>
              <w:ind w:left="594" w:hanging="594"/>
            </w:pPr>
            <w:r>
              <w:t>(k)</w:t>
            </w:r>
            <w:r>
              <w:tab/>
              <w:t>pyrotechnics (special use) licence</w:t>
            </w:r>
          </w:p>
        </w:tc>
        <w:tc>
          <w:tcPr>
            <w:tcW w:w="992" w:type="dxa"/>
          </w:tcPr>
          <w:p>
            <w:pPr>
              <w:pStyle w:val="yTableNAm"/>
              <w:tabs>
                <w:tab w:val="clear" w:pos="567"/>
              </w:tabs>
              <w:ind w:right="71"/>
              <w:jc w:val="right"/>
            </w:pPr>
            <w:r>
              <w:t>20</w:t>
            </w:r>
            <w:ins w:id="666" w:author="Master Repository Process" w:date="2021-08-01T03:16:00Z">
              <w:r>
                <w:t>.40</w:t>
              </w:r>
            </w:ins>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w:t>
      </w:r>
      <w:ins w:id="667" w:author="Master Repository Process" w:date="2021-08-01T03:16:00Z">
        <w:r>
          <w:t>; 25 Jun 2010 p. 2876-7</w:t>
        </w:r>
      </w:ins>
      <w:r>
        <w:t>.]</w:t>
      </w:r>
    </w:p>
    <w:p>
      <w:pPr>
        <w:pStyle w:val="yScheduleHeading"/>
      </w:pPr>
      <w:bookmarkStart w:id="668" w:name="_Toc191960734"/>
      <w:bookmarkStart w:id="669" w:name="_Toc191982315"/>
      <w:bookmarkStart w:id="670" w:name="_Toc233693229"/>
      <w:bookmarkStart w:id="671" w:name="_Toc238546580"/>
      <w:bookmarkStart w:id="672" w:name="_Toc238546885"/>
      <w:bookmarkStart w:id="673" w:name="_Toc238548014"/>
      <w:bookmarkStart w:id="674" w:name="_Toc246812980"/>
      <w:r>
        <w:rPr>
          <w:rStyle w:val="CharSchNo"/>
        </w:rPr>
        <w:t>Schedule 2</w:t>
      </w:r>
      <w:r>
        <w:rPr>
          <w:rStyle w:val="CharSDivNo"/>
        </w:rPr>
        <w:t> </w:t>
      </w:r>
      <w:r>
        <w:t>—</w:t>
      </w:r>
      <w:r>
        <w:rPr>
          <w:rStyle w:val="CharSDivText"/>
        </w:rPr>
        <w:t> </w:t>
      </w:r>
      <w:r>
        <w:rPr>
          <w:rStyle w:val="CharSchText"/>
        </w:rPr>
        <w:t>Prohibited explosives</w:t>
      </w:r>
      <w:bookmarkEnd w:id="668"/>
      <w:bookmarkEnd w:id="669"/>
      <w:bookmarkEnd w:id="670"/>
      <w:bookmarkEnd w:id="671"/>
      <w:bookmarkEnd w:id="672"/>
      <w:bookmarkEnd w:id="673"/>
      <w:bookmarkEnd w:id="674"/>
    </w:p>
    <w:p>
      <w:pPr>
        <w:pStyle w:val="yShoulderClause"/>
      </w:pPr>
      <w:r>
        <w:t>[r. 3]</w:t>
      </w:r>
    </w:p>
    <w:p>
      <w:pPr>
        <w:pStyle w:val="yHeading5"/>
      </w:pPr>
      <w:bookmarkStart w:id="675" w:name="_Toc246812981"/>
      <w:r>
        <w:rPr>
          <w:rStyle w:val="CharSClsNo"/>
        </w:rPr>
        <w:t>1</w:t>
      </w:r>
      <w:r>
        <w:t>.</w:t>
      </w:r>
      <w:r>
        <w:tab/>
        <w:t>Explosive containing chlorate etc.</w:t>
      </w:r>
      <w:bookmarkEnd w:id="675"/>
    </w:p>
    <w:p>
      <w:pPr>
        <w:pStyle w:val="ySubsection"/>
      </w:pPr>
      <w:r>
        <w:tab/>
      </w:r>
      <w:r>
        <w:tab/>
        <w:t>An explosive that contains a chlorate mixed with an ammonium salt is a prohibited explosive.</w:t>
      </w:r>
    </w:p>
    <w:p>
      <w:pPr>
        <w:pStyle w:val="yHeading5"/>
      </w:pPr>
      <w:bookmarkStart w:id="676" w:name="_Toc246812982"/>
      <w:r>
        <w:rPr>
          <w:rStyle w:val="CharSClsNo"/>
        </w:rPr>
        <w:t>2</w:t>
      </w:r>
      <w:r>
        <w:t>.</w:t>
      </w:r>
      <w:r>
        <w:tab/>
        <w:t>Fireworks, various types of</w:t>
      </w:r>
      <w:bookmarkEnd w:id="676"/>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677" w:name="_Toc191960737"/>
      <w:bookmarkStart w:id="678" w:name="_Toc191982318"/>
      <w:bookmarkStart w:id="679" w:name="_Toc233693232"/>
      <w:bookmarkStart w:id="680" w:name="_Toc238546583"/>
      <w:bookmarkStart w:id="681" w:name="_Toc238546888"/>
      <w:bookmarkStart w:id="682" w:name="_Toc238548017"/>
      <w:bookmarkStart w:id="683" w:name="_Toc246812983"/>
      <w:r>
        <w:rPr>
          <w:rStyle w:val="CharSchNo"/>
        </w:rPr>
        <w:t>Schedule 3</w:t>
      </w:r>
      <w:r>
        <w:rPr>
          <w:rStyle w:val="CharSDivNo"/>
        </w:rPr>
        <w:t> </w:t>
      </w:r>
      <w:r>
        <w:t>—</w:t>
      </w:r>
      <w:r>
        <w:rPr>
          <w:rStyle w:val="CharSDivText"/>
        </w:rPr>
        <w:t> </w:t>
      </w:r>
      <w:r>
        <w:rPr>
          <w:rStyle w:val="CharSchText"/>
        </w:rPr>
        <w:t>Unrestricted fireworks</w:t>
      </w:r>
      <w:bookmarkEnd w:id="677"/>
      <w:bookmarkEnd w:id="678"/>
      <w:bookmarkEnd w:id="679"/>
      <w:bookmarkEnd w:id="680"/>
      <w:bookmarkEnd w:id="681"/>
      <w:bookmarkEnd w:id="682"/>
      <w:bookmarkEnd w:id="683"/>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684" w:name="_Toc191960738"/>
      <w:bookmarkStart w:id="685" w:name="_Toc191982319"/>
      <w:bookmarkStart w:id="686" w:name="_Toc233693233"/>
      <w:bookmarkStart w:id="687" w:name="_Toc238546584"/>
      <w:bookmarkStart w:id="688" w:name="_Toc238546889"/>
      <w:bookmarkStart w:id="689" w:name="_Toc238548018"/>
      <w:bookmarkStart w:id="690" w:name="_Toc246812984"/>
      <w:r>
        <w:rPr>
          <w:rStyle w:val="CharSchNo"/>
        </w:rPr>
        <w:t>Schedule 4</w:t>
      </w:r>
      <w:r>
        <w:rPr>
          <w:rStyle w:val="CharSDivNo"/>
        </w:rPr>
        <w:t> </w:t>
      </w:r>
      <w:r>
        <w:t>—</w:t>
      </w:r>
      <w:r>
        <w:rPr>
          <w:rStyle w:val="CharSDivText"/>
        </w:rPr>
        <w:t> </w:t>
      </w:r>
      <w:r>
        <w:rPr>
          <w:rStyle w:val="CharSchText"/>
        </w:rPr>
        <w:t>Explosives that may be possessed without a licence</w:t>
      </w:r>
      <w:bookmarkEnd w:id="684"/>
      <w:bookmarkEnd w:id="685"/>
      <w:bookmarkEnd w:id="686"/>
      <w:bookmarkEnd w:id="687"/>
      <w:bookmarkEnd w:id="688"/>
      <w:bookmarkEnd w:id="689"/>
      <w:bookmarkEnd w:id="690"/>
    </w:p>
    <w:p>
      <w:pPr>
        <w:pStyle w:val="yShoulderClause"/>
      </w:pPr>
      <w:r>
        <w:t>[r. 46]</w:t>
      </w:r>
    </w:p>
    <w:p>
      <w:pPr>
        <w:pStyle w:val="yHeading5"/>
      </w:pPr>
      <w:bookmarkStart w:id="691" w:name="_Toc246812985"/>
      <w:r>
        <w:rPr>
          <w:rStyle w:val="CharSClsNo"/>
        </w:rPr>
        <w:t>1</w:t>
      </w:r>
      <w:r>
        <w:t>.</w:t>
      </w:r>
      <w:r>
        <w:tab/>
        <w:t>Sparklers</w:t>
      </w:r>
      <w:bookmarkEnd w:id="691"/>
    </w:p>
    <w:p>
      <w:pPr>
        <w:pStyle w:val="ySubsection"/>
      </w:pPr>
      <w:r>
        <w:tab/>
      </w:r>
      <w:r>
        <w:tab/>
        <w:t>A person may possess a sparkler if the combustible part of it is not more than 300 mm long.</w:t>
      </w:r>
    </w:p>
    <w:p>
      <w:pPr>
        <w:pStyle w:val="yHeading5"/>
      </w:pPr>
      <w:bookmarkStart w:id="692" w:name="_Toc246812986"/>
      <w:r>
        <w:rPr>
          <w:rStyle w:val="CharSClsNo"/>
        </w:rPr>
        <w:t>2</w:t>
      </w:r>
      <w:r>
        <w:t>.</w:t>
      </w:r>
      <w:r>
        <w:tab/>
        <w:t>Cartridges for safety devices etc.</w:t>
      </w:r>
      <w:bookmarkEnd w:id="692"/>
    </w:p>
    <w:p>
      <w:pPr>
        <w:pStyle w:val="ySubsection"/>
      </w:pPr>
      <w:r>
        <w:tab/>
      </w:r>
      <w:r>
        <w:tab/>
        <w:t>A person may possess a power device cartridge if in the circumstances the person has a reasonable reason to possess it.</w:t>
      </w:r>
    </w:p>
    <w:p>
      <w:pPr>
        <w:pStyle w:val="yHeading5"/>
      </w:pPr>
      <w:bookmarkStart w:id="693" w:name="_Toc246812987"/>
      <w:r>
        <w:rPr>
          <w:rStyle w:val="CharSClsNo"/>
        </w:rPr>
        <w:t>3</w:t>
      </w:r>
      <w:r>
        <w:t>.</w:t>
      </w:r>
      <w:r>
        <w:tab/>
        <w:t>Cartridges for nail guns etc.</w:t>
      </w:r>
      <w:bookmarkEnd w:id="693"/>
    </w:p>
    <w:p>
      <w:pPr>
        <w:pStyle w:val="ySubsection"/>
      </w:pPr>
      <w:r>
        <w:tab/>
      </w:r>
      <w:r>
        <w:tab/>
        <w:t>A person may possess a power tool cartridge if in the circumstances the person has a reasonable reason to possess it.</w:t>
      </w:r>
    </w:p>
    <w:p>
      <w:pPr>
        <w:pStyle w:val="yHeading5"/>
      </w:pPr>
      <w:bookmarkStart w:id="694" w:name="_Toc246812988"/>
      <w:r>
        <w:rPr>
          <w:rStyle w:val="CharSClsNo"/>
        </w:rPr>
        <w:t>4</w:t>
      </w:r>
      <w:r>
        <w:t>.</w:t>
      </w:r>
      <w:r>
        <w:tab/>
        <w:t>Emergency devices</w:t>
      </w:r>
      <w:bookmarkEnd w:id="694"/>
    </w:p>
    <w:p>
      <w:pPr>
        <w:pStyle w:val="ySubsection"/>
      </w:pPr>
      <w:r>
        <w:tab/>
      </w:r>
      <w:r>
        <w:tab/>
        <w:t>A person may possess an emergency device if —</w:t>
      </w:r>
    </w:p>
    <w:p>
      <w:pPr>
        <w:pStyle w:val="yIndenta"/>
      </w:pPr>
      <w:r>
        <w:tab/>
        <w:t>(a)</w:t>
      </w:r>
      <w:r>
        <w:tab/>
        <w:t>in the circumstances the person has a reasonable reason to possess it; and</w:t>
      </w:r>
    </w:p>
    <w:p>
      <w:pPr>
        <w:pStyle w:val="yIndenta"/>
      </w:pPr>
      <w:r>
        <w:tab/>
        <w:t>(b)</w:t>
      </w:r>
      <w:r>
        <w:tab/>
        <w:t>the person possesses not more than 25 emergency devices.</w:t>
      </w:r>
    </w:p>
    <w:p>
      <w:pPr>
        <w:pStyle w:val="yHeading5"/>
      </w:pPr>
      <w:bookmarkStart w:id="695" w:name="_Toc246812989"/>
      <w:r>
        <w:rPr>
          <w:rStyle w:val="CharSClsNo"/>
        </w:rPr>
        <w:t>5</w:t>
      </w:r>
      <w:r>
        <w:t>.</w:t>
      </w:r>
      <w:r>
        <w:tab/>
        <w:t>Ammunition, ammunition propellant and black powder</w:t>
      </w:r>
      <w:bookmarkEnd w:id="695"/>
    </w:p>
    <w:p>
      <w:pPr>
        <w:pStyle w:val="ySubsection"/>
      </w:pPr>
      <w:r>
        <w:tab/>
        <w:t>(1)</w:t>
      </w:r>
      <w:r>
        <w:tab/>
        <w:t xml:space="preserve">A person may possess ammunition if authorised under the </w:t>
      </w:r>
      <w:r>
        <w:rPr>
          <w:i/>
          <w:iCs/>
        </w:rPr>
        <w:t xml:space="preserve">Firearms Act 1973 </w:t>
      </w:r>
      <w:r>
        <w:t>to do so.</w:t>
      </w:r>
    </w:p>
    <w:p>
      <w:pPr>
        <w:pStyle w:val="ySubsection"/>
      </w:pPr>
      <w:r>
        <w:tab/>
        <w:t>(2)</w:t>
      </w:r>
      <w:r>
        <w:tab/>
        <w:t>A person may possess ammunition propellant if —</w:t>
      </w:r>
    </w:p>
    <w:p>
      <w:pPr>
        <w:pStyle w:val="yIndenta"/>
      </w:pPr>
      <w:r>
        <w:tab/>
        <w:t>(a)</w:t>
      </w:r>
      <w:r>
        <w:tab/>
        <w:t xml:space="preserve">the person holds a licence under the </w:t>
      </w:r>
      <w:r>
        <w:rPr>
          <w:i/>
          <w:iCs/>
        </w:rPr>
        <w:t xml:space="preserve">Firearms Act 1973 </w:t>
      </w:r>
      <w:r>
        <w:t>that authorises the person to possess ammunition; and</w:t>
      </w:r>
    </w:p>
    <w:p>
      <w:pPr>
        <w:pStyle w:val="yIndenta"/>
      </w:pPr>
      <w:r>
        <w:tab/>
        <w:t>(b)</w:t>
      </w:r>
      <w:r>
        <w:tab/>
        <w:t>the propellant is a constituent of that ammunition.</w:t>
      </w:r>
    </w:p>
    <w:p>
      <w:pPr>
        <w:pStyle w:val="ySubsection"/>
      </w:pPr>
      <w:r>
        <w:tab/>
        <w:t>(3)</w:t>
      </w:r>
      <w:r>
        <w:tab/>
        <w:t xml:space="preserve">A person may possess black powder if the person holds a licence under the </w:t>
      </w:r>
      <w:r>
        <w:rPr>
          <w:i/>
          <w:iCs/>
        </w:rPr>
        <w:t xml:space="preserve">Firearms Act 1973 </w:t>
      </w:r>
      <w:r>
        <w:t>that authorises the person to possess a firearm that uses black powder.</w:t>
      </w:r>
    </w:p>
    <w:p>
      <w:pPr>
        <w:pStyle w:val="yScheduleHeading"/>
      </w:pPr>
      <w:bookmarkStart w:id="696" w:name="_Toc191960744"/>
      <w:bookmarkStart w:id="697" w:name="_Toc191982325"/>
      <w:bookmarkStart w:id="698" w:name="_Toc233693239"/>
      <w:bookmarkStart w:id="699" w:name="_Toc238546590"/>
      <w:bookmarkStart w:id="700" w:name="_Toc238546895"/>
      <w:bookmarkStart w:id="701" w:name="_Toc238548024"/>
      <w:bookmarkStart w:id="702" w:name="_Toc246812990"/>
      <w:r>
        <w:rPr>
          <w:rStyle w:val="CharSchNo"/>
        </w:rPr>
        <w:t>Schedule 5</w:t>
      </w:r>
      <w:r>
        <w:rPr>
          <w:rStyle w:val="CharSDivNo"/>
        </w:rPr>
        <w:t> </w:t>
      </w:r>
      <w:r>
        <w:t>—</w:t>
      </w:r>
      <w:r>
        <w:rPr>
          <w:rStyle w:val="CharSDivText"/>
        </w:rPr>
        <w:t> </w:t>
      </w:r>
      <w:r>
        <w:rPr>
          <w:rStyle w:val="CharSchText"/>
        </w:rPr>
        <w:t>Explosives that may be manufactured without a licence</w:t>
      </w:r>
      <w:bookmarkEnd w:id="696"/>
      <w:bookmarkEnd w:id="697"/>
      <w:bookmarkEnd w:id="698"/>
      <w:bookmarkEnd w:id="699"/>
      <w:bookmarkEnd w:id="700"/>
      <w:bookmarkEnd w:id="701"/>
      <w:bookmarkEnd w:id="702"/>
    </w:p>
    <w:p>
      <w:pPr>
        <w:pStyle w:val="yShoulderClause"/>
      </w:pPr>
      <w:r>
        <w:t>[r. 64]</w:t>
      </w:r>
    </w:p>
    <w:p>
      <w:pPr>
        <w:pStyle w:val="yHeading5"/>
      </w:pPr>
      <w:bookmarkStart w:id="703" w:name="_Toc246812991"/>
      <w:r>
        <w:rPr>
          <w:rStyle w:val="CharSClsNo"/>
        </w:rPr>
        <w:t>1</w:t>
      </w:r>
      <w:r>
        <w:t>.</w:t>
      </w:r>
      <w:r>
        <w:tab/>
        <w:t>Ammunition for private use</w:t>
      </w:r>
      <w:bookmarkEnd w:id="70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704" w:name="_Toc191960746"/>
      <w:bookmarkStart w:id="705" w:name="_Toc191982327"/>
      <w:bookmarkStart w:id="706" w:name="_Toc233693241"/>
      <w:bookmarkStart w:id="707" w:name="_Toc238546592"/>
      <w:bookmarkStart w:id="708" w:name="_Toc238546897"/>
      <w:bookmarkStart w:id="709" w:name="_Toc238548026"/>
      <w:bookmarkStart w:id="710" w:name="_Toc246812992"/>
      <w:r>
        <w:rPr>
          <w:rStyle w:val="CharSchNo"/>
        </w:rPr>
        <w:t>Schedule 6</w:t>
      </w:r>
      <w:r>
        <w:rPr>
          <w:rStyle w:val="CharSDivNo"/>
        </w:rPr>
        <w:t> </w:t>
      </w:r>
      <w:r>
        <w:t>—</w:t>
      </w:r>
      <w:r>
        <w:rPr>
          <w:rStyle w:val="CharSDivText"/>
        </w:rPr>
        <w:t> </w:t>
      </w:r>
      <w:r>
        <w:rPr>
          <w:rStyle w:val="CharSchText"/>
        </w:rPr>
        <w:t>Explosives that may be stored without a licence</w:t>
      </w:r>
      <w:bookmarkEnd w:id="704"/>
      <w:bookmarkEnd w:id="705"/>
      <w:bookmarkEnd w:id="706"/>
      <w:bookmarkEnd w:id="707"/>
      <w:bookmarkEnd w:id="708"/>
      <w:bookmarkEnd w:id="709"/>
      <w:bookmarkEnd w:id="710"/>
    </w:p>
    <w:p>
      <w:pPr>
        <w:pStyle w:val="yShoulderClause"/>
      </w:pPr>
      <w:r>
        <w:t>[r. 76]</w:t>
      </w:r>
    </w:p>
    <w:p>
      <w:pPr>
        <w:pStyle w:val="yHeading5"/>
      </w:pPr>
      <w:bookmarkStart w:id="711" w:name="_Toc246812993"/>
      <w:r>
        <w:rPr>
          <w:rStyle w:val="CharSClsNo"/>
        </w:rPr>
        <w:t>1</w:t>
      </w:r>
      <w:r>
        <w:t>.</w:t>
      </w:r>
      <w:r>
        <w:tab/>
        <w:t>Sparklers</w:t>
      </w:r>
      <w:bookmarkEnd w:id="711"/>
    </w:p>
    <w:p>
      <w:pPr>
        <w:pStyle w:val="ySubsection"/>
      </w:pPr>
      <w:r>
        <w:tab/>
      </w:r>
      <w:r>
        <w:tab/>
        <w:t>A person may store a sparkler at any place if there is not more than 1 000 kg of sparklers at the place.</w:t>
      </w:r>
    </w:p>
    <w:p>
      <w:pPr>
        <w:pStyle w:val="yHeading5"/>
      </w:pPr>
      <w:bookmarkStart w:id="712" w:name="_Toc246812994"/>
      <w:r>
        <w:rPr>
          <w:rStyle w:val="CharSClsNo"/>
        </w:rPr>
        <w:t>2</w:t>
      </w:r>
      <w:r>
        <w:t>.</w:t>
      </w:r>
      <w:r>
        <w:tab/>
        <w:t>Cartridges for safety devices etc.</w:t>
      </w:r>
      <w:bookmarkEnd w:id="712"/>
    </w:p>
    <w:p>
      <w:pPr>
        <w:pStyle w:val="ySubsection"/>
      </w:pPr>
      <w:r>
        <w:tab/>
      </w:r>
      <w:r>
        <w:tab/>
        <w:t>A person may store a power device cartridge at any place.</w:t>
      </w:r>
    </w:p>
    <w:p>
      <w:pPr>
        <w:pStyle w:val="yHeading5"/>
      </w:pPr>
      <w:bookmarkStart w:id="713" w:name="_Toc246812995"/>
      <w:r>
        <w:rPr>
          <w:rStyle w:val="CharSClsNo"/>
        </w:rPr>
        <w:t>3</w:t>
      </w:r>
      <w:r>
        <w:t>.</w:t>
      </w:r>
      <w:r>
        <w:tab/>
        <w:t>Cartridges for nail guns etc.</w:t>
      </w:r>
      <w:bookmarkEnd w:id="713"/>
    </w:p>
    <w:p>
      <w:pPr>
        <w:pStyle w:val="ySubsection"/>
      </w:pPr>
      <w:r>
        <w:tab/>
      </w:r>
      <w:r>
        <w:tab/>
        <w:t>A person may store a power tool cartridge at any place.</w:t>
      </w:r>
    </w:p>
    <w:p>
      <w:pPr>
        <w:pStyle w:val="yHeading5"/>
      </w:pPr>
      <w:bookmarkStart w:id="714" w:name="_Toc246812996"/>
      <w:r>
        <w:rPr>
          <w:rStyle w:val="CharSClsNo"/>
        </w:rPr>
        <w:t>4</w:t>
      </w:r>
      <w:r>
        <w:t>.</w:t>
      </w:r>
      <w:r>
        <w:tab/>
        <w:t>Emergency devices</w:t>
      </w:r>
      <w:bookmarkEnd w:id="714"/>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715" w:name="_Toc246812997"/>
      <w:r>
        <w:rPr>
          <w:rStyle w:val="CharSClsNo"/>
        </w:rPr>
        <w:t>5</w:t>
      </w:r>
      <w:r>
        <w:t>.</w:t>
      </w:r>
      <w:r>
        <w:tab/>
        <w:t>Ammunition, ammunition propellant and black powder</w:t>
      </w:r>
      <w:bookmarkEnd w:id="71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ScheduleHeading"/>
      </w:pPr>
      <w:bookmarkStart w:id="716" w:name="_Toc191960752"/>
      <w:bookmarkStart w:id="717" w:name="_Toc191982333"/>
      <w:bookmarkStart w:id="718" w:name="_Toc233693247"/>
      <w:bookmarkStart w:id="719" w:name="_Toc238546598"/>
      <w:bookmarkStart w:id="720" w:name="_Toc238546903"/>
      <w:bookmarkStart w:id="721" w:name="_Toc238548032"/>
      <w:bookmarkStart w:id="722" w:name="_Toc246812998"/>
      <w:r>
        <w:rPr>
          <w:rStyle w:val="CharSchNo"/>
        </w:rPr>
        <w:t>Schedule 7</w:t>
      </w:r>
      <w:r>
        <w:rPr>
          <w:rStyle w:val="CharSDivNo"/>
        </w:rPr>
        <w:t> </w:t>
      </w:r>
      <w:r>
        <w:t>—</w:t>
      </w:r>
      <w:r>
        <w:rPr>
          <w:rStyle w:val="CharSDivText"/>
        </w:rPr>
        <w:t> </w:t>
      </w:r>
      <w:r>
        <w:rPr>
          <w:rStyle w:val="CharSchText"/>
        </w:rPr>
        <w:t>Explosives that may be transported without a licence</w:t>
      </w:r>
      <w:bookmarkEnd w:id="716"/>
      <w:bookmarkEnd w:id="717"/>
      <w:bookmarkEnd w:id="718"/>
      <w:bookmarkEnd w:id="719"/>
      <w:bookmarkEnd w:id="720"/>
      <w:bookmarkEnd w:id="721"/>
      <w:bookmarkEnd w:id="722"/>
    </w:p>
    <w:p>
      <w:pPr>
        <w:pStyle w:val="yShoulderClause"/>
      </w:pPr>
      <w:r>
        <w:t>[r. 97]</w:t>
      </w:r>
    </w:p>
    <w:p>
      <w:pPr>
        <w:pStyle w:val="yHeading5"/>
      </w:pPr>
      <w:bookmarkStart w:id="723" w:name="_Toc246812999"/>
      <w:r>
        <w:rPr>
          <w:rStyle w:val="CharSClsNo"/>
        </w:rPr>
        <w:t>1</w:t>
      </w:r>
      <w:r>
        <w:t>.</w:t>
      </w:r>
      <w:r>
        <w:tab/>
        <w:t>Sparklers</w:t>
      </w:r>
      <w:bookmarkEnd w:id="723"/>
    </w:p>
    <w:p>
      <w:pPr>
        <w:pStyle w:val="ySubsection"/>
      </w:pPr>
      <w:r>
        <w:tab/>
      </w:r>
      <w:r>
        <w:tab/>
        <w:t>A person may transport any quantity of sparklers that have a classification code of 1.4G or 1.4S.</w:t>
      </w:r>
    </w:p>
    <w:p>
      <w:pPr>
        <w:pStyle w:val="yHeading5"/>
      </w:pPr>
      <w:bookmarkStart w:id="724" w:name="_Toc246813000"/>
      <w:r>
        <w:rPr>
          <w:rStyle w:val="CharSClsNo"/>
        </w:rPr>
        <w:t>2</w:t>
      </w:r>
      <w:r>
        <w:t>.</w:t>
      </w:r>
      <w:r>
        <w:tab/>
        <w:t>Cartridges for safety devices</w:t>
      </w:r>
      <w:bookmarkEnd w:id="724"/>
    </w:p>
    <w:p>
      <w:pPr>
        <w:pStyle w:val="ySubsection"/>
      </w:pPr>
      <w:r>
        <w:tab/>
      </w:r>
      <w:r>
        <w:tab/>
        <w:t>A person may transport any quantity of power device cartridges.</w:t>
      </w:r>
    </w:p>
    <w:p>
      <w:pPr>
        <w:pStyle w:val="yHeading5"/>
      </w:pPr>
      <w:bookmarkStart w:id="725" w:name="_Toc246813001"/>
      <w:r>
        <w:rPr>
          <w:rStyle w:val="CharSClsNo"/>
        </w:rPr>
        <w:t>3</w:t>
      </w:r>
      <w:r>
        <w:t>.</w:t>
      </w:r>
      <w:r>
        <w:tab/>
        <w:t>Cartridges for nail guns etc.</w:t>
      </w:r>
      <w:bookmarkEnd w:id="725"/>
    </w:p>
    <w:p>
      <w:pPr>
        <w:pStyle w:val="ySubsection"/>
      </w:pPr>
      <w:r>
        <w:tab/>
      </w:r>
      <w:r>
        <w:tab/>
        <w:t>A person may transport any quantity of power tool cartridges.</w:t>
      </w:r>
    </w:p>
    <w:p>
      <w:pPr>
        <w:pStyle w:val="yHeading5"/>
      </w:pPr>
      <w:bookmarkStart w:id="726" w:name="_Toc246813002"/>
      <w:r>
        <w:rPr>
          <w:rStyle w:val="CharSClsNo"/>
        </w:rPr>
        <w:t>4</w:t>
      </w:r>
      <w:r>
        <w:t>.</w:t>
      </w:r>
      <w:r>
        <w:tab/>
        <w:t>Emergency devices</w:t>
      </w:r>
      <w:bookmarkEnd w:id="726"/>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1.4G in the vehicle.</w:t>
      </w:r>
    </w:p>
    <w:p>
      <w:pPr>
        <w:pStyle w:val="yHeading5"/>
      </w:pPr>
      <w:bookmarkStart w:id="727" w:name="_Toc246813003"/>
      <w:r>
        <w:rPr>
          <w:rStyle w:val="CharSClsNo"/>
        </w:rPr>
        <w:t>5</w:t>
      </w:r>
      <w:r>
        <w:t>.</w:t>
      </w:r>
      <w:r>
        <w:tab/>
        <w:t>Ammunition, ammunition propellant and black powder</w:t>
      </w:r>
      <w:bookmarkEnd w:id="727"/>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15 kg; and</w:t>
      </w:r>
    </w:p>
    <w:p>
      <w:pPr>
        <w:pStyle w:val="yIndenta"/>
      </w:pPr>
      <w:r>
        <w:tab/>
        <w:t>(b)</w:t>
      </w:r>
      <w:r>
        <w:tab/>
        <w:t>there is not more than 4 kg of black powder in the vehicle.</w:t>
      </w:r>
    </w:p>
    <w:p>
      <w:pPr>
        <w:pStyle w:val="yScheduleHeading"/>
      </w:pPr>
      <w:bookmarkStart w:id="728" w:name="_Toc191960758"/>
      <w:bookmarkStart w:id="729" w:name="_Toc191982339"/>
      <w:bookmarkStart w:id="730" w:name="_Toc233693253"/>
      <w:bookmarkStart w:id="731" w:name="_Toc238546604"/>
      <w:bookmarkStart w:id="732" w:name="_Toc238546909"/>
      <w:bookmarkStart w:id="733" w:name="_Toc238548038"/>
      <w:bookmarkStart w:id="734" w:name="_Toc246813004"/>
      <w:r>
        <w:rPr>
          <w:rStyle w:val="CharSchNo"/>
        </w:rPr>
        <w:t>Schedule 8</w:t>
      </w:r>
      <w:r>
        <w:rPr>
          <w:rStyle w:val="CharSDivNo"/>
        </w:rPr>
        <w:t> </w:t>
      </w:r>
      <w:r>
        <w:t>—</w:t>
      </w:r>
      <w:r>
        <w:rPr>
          <w:rStyle w:val="CharSDivText"/>
        </w:rPr>
        <w:t> </w:t>
      </w:r>
      <w:r>
        <w:rPr>
          <w:rStyle w:val="CharSchText"/>
        </w:rPr>
        <w:t>Explosives that may supplied without a licence</w:t>
      </w:r>
      <w:bookmarkEnd w:id="728"/>
      <w:bookmarkEnd w:id="729"/>
      <w:bookmarkEnd w:id="730"/>
      <w:bookmarkEnd w:id="731"/>
      <w:bookmarkEnd w:id="732"/>
      <w:bookmarkEnd w:id="733"/>
      <w:bookmarkEnd w:id="734"/>
    </w:p>
    <w:p>
      <w:pPr>
        <w:pStyle w:val="yShoulderClause"/>
      </w:pPr>
      <w:r>
        <w:t>[r. 112]</w:t>
      </w:r>
    </w:p>
    <w:p>
      <w:pPr>
        <w:pStyle w:val="yHeading5"/>
      </w:pPr>
      <w:bookmarkStart w:id="735" w:name="_Toc246813005"/>
      <w:r>
        <w:rPr>
          <w:rStyle w:val="CharSClsNo"/>
        </w:rPr>
        <w:t>1</w:t>
      </w:r>
      <w:r>
        <w:t>.</w:t>
      </w:r>
      <w:r>
        <w:tab/>
        <w:t>Sparklers</w:t>
      </w:r>
      <w:bookmarkEnd w:id="735"/>
    </w:p>
    <w:p>
      <w:pPr>
        <w:pStyle w:val="ySubsection"/>
      </w:pPr>
      <w:r>
        <w:tab/>
      </w:r>
      <w:r>
        <w:tab/>
        <w:t>A person may supply a sparkler.</w:t>
      </w:r>
    </w:p>
    <w:p>
      <w:pPr>
        <w:pStyle w:val="yHeading5"/>
      </w:pPr>
      <w:bookmarkStart w:id="736" w:name="_Toc246813006"/>
      <w:r>
        <w:rPr>
          <w:rStyle w:val="CharSClsNo"/>
        </w:rPr>
        <w:t>2</w:t>
      </w:r>
      <w:r>
        <w:t>.</w:t>
      </w:r>
      <w:r>
        <w:tab/>
        <w:t>Cartridges for safety devices etc.</w:t>
      </w:r>
      <w:bookmarkEnd w:id="736"/>
    </w:p>
    <w:p>
      <w:pPr>
        <w:pStyle w:val="ySubsection"/>
      </w:pPr>
      <w:r>
        <w:tab/>
      </w:r>
      <w:r>
        <w:tab/>
        <w:t>A person may supply a power device cartridge.</w:t>
      </w:r>
    </w:p>
    <w:p>
      <w:pPr>
        <w:pStyle w:val="yHeading5"/>
      </w:pPr>
      <w:bookmarkStart w:id="737" w:name="_Toc246813007"/>
      <w:r>
        <w:rPr>
          <w:rStyle w:val="CharSClsNo"/>
        </w:rPr>
        <w:t>3</w:t>
      </w:r>
      <w:r>
        <w:t>.</w:t>
      </w:r>
      <w:r>
        <w:tab/>
        <w:t>Cartridges for nail guns etc.</w:t>
      </w:r>
      <w:bookmarkEnd w:id="737"/>
    </w:p>
    <w:p>
      <w:pPr>
        <w:pStyle w:val="ySubsection"/>
      </w:pPr>
      <w:r>
        <w:tab/>
      </w:r>
      <w:r>
        <w:tab/>
        <w:t>A person may supply a power tool cartridge.</w:t>
      </w:r>
    </w:p>
    <w:p>
      <w:pPr>
        <w:pStyle w:val="yHeading5"/>
      </w:pPr>
      <w:bookmarkStart w:id="738" w:name="_Toc246813008"/>
      <w:r>
        <w:rPr>
          <w:rStyle w:val="CharSClsNo"/>
        </w:rPr>
        <w:t>4</w:t>
      </w:r>
      <w:r>
        <w:t>.</w:t>
      </w:r>
      <w:r>
        <w:tab/>
        <w:t>Emergency devices</w:t>
      </w:r>
      <w:bookmarkEnd w:id="738"/>
    </w:p>
    <w:p>
      <w:pPr>
        <w:pStyle w:val="ySubsection"/>
      </w:pPr>
      <w:r>
        <w:tab/>
      </w:r>
      <w:r>
        <w:tab/>
        <w:t>A person may supply an emergency device.</w:t>
      </w:r>
    </w:p>
    <w:p>
      <w:pPr>
        <w:pStyle w:val="yHeading5"/>
      </w:pPr>
      <w:bookmarkStart w:id="739" w:name="_Toc246813009"/>
      <w:r>
        <w:rPr>
          <w:rStyle w:val="CharSClsNo"/>
        </w:rPr>
        <w:t>5</w:t>
      </w:r>
      <w:r>
        <w:t>.</w:t>
      </w:r>
      <w:r>
        <w:tab/>
        <w:t>Ammunition</w:t>
      </w:r>
      <w:bookmarkEnd w:id="739"/>
    </w:p>
    <w:p>
      <w:pPr>
        <w:pStyle w:val="ySubsection"/>
      </w:pPr>
      <w:r>
        <w:tab/>
      </w:r>
      <w:r>
        <w:tab/>
        <w:t xml:space="preserve">A person may supply ammunition if authorised under the </w:t>
      </w:r>
      <w:r>
        <w:rPr>
          <w:i/>
          <w:iCs/>
        </w:rPr>
        <w:t xml:space="preserve">Firearms Act 1973 </w:t>
      </w:r>
      <w:r>
        <w:t>to do so.</w:t>
      </w:r>
    </w:p>
    <w:p>
      <w:pPr>
        <w:pStyle w:val="yScheduleHeading"/>
      </w:pPr>
      <w:bookmarkStart w:id="740" w:name="_Toc191960764"/>
      <w:bookmarkStart w:id="741" w:name="_Toc191982345"/>
      <w:bookmarkStart w:id="742" w:name="_Toc233693259"/>
      <w:bookmarkStart w:id="743" w:name="_Toc238546610"/>
      <w:bookmarkStart w:id="744" w:name="_Toc238546915"/>
      <w:bookmarkStart w:id="745" w:name="_Toc238548044"/>
      <w:bookmarkStart w:id="746" w:name="_Toc246813010"/>
      <w:r>
        <w:rPr>
          <w:rStyle w:val="CharSchNo"/>
        </w:rPr>
        <w:t>Schedule 9</w:t>
      </w:r>
      <w:r>
        <w:rPr>
          <w:rStyle w:val="CharSDivNo"/>
        </w:rPr>
        <w:t> </w:t>
      </w:r>
      <w:r>
        <w:t>—</w:t>
      </w:r>
      <w:r>
        <w:rPr>
          <w:rStyle w:val="CharSDivText"/>
        </w:rPr>
        <w:t> </w:t>
      </w:r>
      <w:r>
        <w:rPr>
          <w:rStyle w:val="CharSchText"/>
        </w:rPr>
        <w:t>Explosives that may be used without a licence</w:t>
      </w:r>
      <w:bookmarkEnd w:id="740"/>
      <w:bookmarkEnd w:id="741"/>
      <w:bookmarkEnd w:id="742"/>
      <w:bookmarkEnd w:id="743"/>
      <w:bookmarkEnd w:id="744"/>
      <w:bookmarkEnd w:id="745"/>
      <w:bookmarkEnd w:id="746"/>
    </w:p>
    <w:p>
      <w:pPr>
        <w:pStyle w:val="yShoulderClause"/>
      </w:pPr>
      <w:r>
        <w:t>[r. 125(1)]</w:t>
      </w:r>
    </w:p>
    <w:p>
      <w:pPr>
        <w:pStyle w:val="yHeading5"/>
      </w:pPr>
      <w:bookmarkStart w:id="747" w:name="_Toc246813011"/>
      <w:r>
        <w:rPr>
          <w:rStyle w:val="CharSClsNo"/>
        </w:rPr>
        <w:t>1</w:t>
      </w:r>
      <w:r>
        <w:t>.</w:t>
      </w:r>
      <w:r>
        <w:tab/>
        <w:t>Sparklers</w:t>
      </w:r>
      <w:bookmarkEnd w:id="747"/>
    </w:p>
    <w:p>
      <w:pPr>
        <w:pStyle w:val="ySubsection"/>
      </w:pPr>
      <w:r>
        <w:tab/>
      </w:r>
      <w:r>
        <w:tab/>
        <w:t>A person may use a sparkler.</w:t>
      </w:r>
    </w:p>
    <w:p>
      <w:pPr>
        <w:pStyle w:val="yHeading5"/>
      </w:pPr>
      <w:bookmarkStart w:id="748" w:name="_Toc246813012"/>
      <w:r>
        <w:rPr>
          <w:rStyle w:val="CharSClsNo"/>
        </w:rPr>
        <w:t>2</w:t>
      </w:r>
      <w:r>
        <w:t>.</w:t>
      </w:r>
      <w:r>
        <w:tab/>
        <w:t>Cartridges for safety devices etc.</w:t>
      </w:r>
      <w:bookmarkEnd w:id="74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749" w:name="_Toc246813013"/>
      <w:r>
        <w:rPr>
          <w:rStyle w:val="CharSClsNo"/>
        </w:rPr>
        <w:t>3</w:t>
      </w:r>
      <w:r>
        <w:t>.</w:t>
      </w:r>
      <w:r>
        <w:tab/>
        <w:t>Cartridges for nail guns etc.</w:t>
      </w:r>
      <w:bookmarkEnd w:id="749"/>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750" w:name="_Toc246813014"/>
      <w:r>
        <w:rPr>
          <w:rStyle w:val="CharSClsNo"/>
        </w:rPr>
        <w:t>4</w:t>
      </w:r>
      <w:r>
        <w:t>.</w:t>
      </w:r>
      <w:r>
        <w:tab/>
        <w:t>Emergency devices</w:t>
      </w:r>
      <w:bookmarkEnd w:id="750"/>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w:t>
      </w:r>
    </w:p>
    <w:p>
      <w:pPr>
        <w:pStyle w:val="yHeading5"/>
      </w:pPr>
      <w:bookmarkStart w:id="751" w:name="_Toc246813015"/>
      <w:r>
        <w:rPr>
          <w:rStyle w:val="CharSClsNo"/>
        </w:rPr>
        <w:t>5</w:t>
      </w:r>
      <w:r>
        <w:t>.</w:t>
      </w:r>
      <w:r>
        <w:tab/>
        <w:t>Ammunition</w:t>
      </w:r>
      <w:bookmarkEnd w:id="751"/>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ScheduleHeading"/>
      </w:pPr>
      <w:bookmarkStart w:id="752" w:name="_Toc191960770"/>
      <w:bookmarkStart w:id="753" w:name="_Toc191982351"/>
      <w:bookmarkStart w:id="754" w:name="_Toc233693265"/>
      <w:bookmarkStart w:id="755" w:name="_Toc238546616"/>
      <w:bookmarkStart w:id="756" w:name="_Toc238546921"/>
      <w:bookmarkStart w:id="757" w:name="_Toc238548050"/>
      <w:bookmarkStart w:id="758" w:name="_Toc246813016"/>
      <w:r>
        <w:rPr>
          <w:rStyle w:val="CharSchNo"/>
        </w:rPr>
        <w:t>Schedule 10</w:t>
      </w:r>
      <w:r>
        <w:t> — </w:t>
      </w:r>
      <w:r>
        <w:rPr>
          <w:rStyle w:val="CharSchText"/>
        </w:rPr>
        <w:t>Provisions for required plans</w:t>
      </w:r>
      <w:bookmarkEnd w:id="752"/>
      <w:bookmarkEnd w:id="753"/>
      <w:bookmarkEnd w:id="754"/>
      <w:bookmarkEnd w:id="755"/>
      <w:bookmarkEnd w:id="756"/>
      <w:bookmarkEnd w:id="757"/>
      <w:bookmarkEnd w:id="758"/>
    </w:p>
    <w:p>
      <w:pPr>
        <w:pStyle w:val="yShoulderClause"/>
      </w:pPr>
      <w:r>
        <w:t>[r. 161]</w:t>
      </w:r>
    </w:p>
    <w:p>
      <w:pPr>
        <w:pStyle w:val="yHeading5"/>
      </w:pPr>
      <w:bookmarkStart w:id="759" w:name="_Toc246813017"/>
      <w:r>
        <w:rPr>
          <w:rStyle w:val="CharSClsNo"/>
        </w:rPr>
        <w:t>1</w:t>
      </w:r>
      <w:r>
        <w:t>.</w:t>
      </w:r>
      <w:r>
        <w:tab/>
        <w:t>Terms used in this Schedule</w:t>
      </w:r>
      <w:bookmarkEnd w:id="759"/>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760" w:name="_Toc246813018"/>
      <w:r>
        <w:rPr>
          <w:rStyle w:val="CharSClsNo"/>
        </w:rPr>
        <w:t>2</w:t>
      </w:r>
      <w:r>
        <w:t>.</w:t>
      </w:r>
      <w:r>
        <w:tab/>
        <w:t>General matters</w:t>
      </w:r>
      <w:bookmarkEnd w:id="760"/>
    </w:p>
    <w:p>
      <w:pPr>
        <w:pStyle w:val="ySubsection"/>
      </w:pPr>
      <w:r>
        <w:tab/>
      </w:r>
      <w:r>
        <w:tab/>
        <w:t xml:space="preserve">If a required plan is required to contain the matters in this clause it must contain the following — </w:t>
      </w:r>
    </w:p>
    <w:p>
      <w:pPr>
        <w:pStyle w:val="yIndenta"/>
      </w:pPr>
      <w:r>
        <w:tab/>
        <w:t>(a)</w:t>
      </w:r>
      <w:r>
        <w:tab/>
        <w:t>an emergency management plan to deal with any dangerous goods incident, or any dangerous situation, involving an explosive that might occur that includes these matters —</w:t>
      </w:r>
    </w:p>
    <w:p>
      <w:pPr>
        <w:pStyle w:val="yIndenti0"/>
      </w:pPr>
      <w:r>
        <w:tab/>
        <w:t>(i)</w:t>
      </w:r>
      <w:r>
        <w:tab/>
        <w:t>the equipment and facilities that will be available;</w:t>
      </w:r>
    </w:p>
    <w:p>
      <w:pPr>
        <w:pStyle w:val="yIndenti0"/>
      </w:pPr>
      <w:r>
        <w:tab/>
        <w:t>(ii)</w:t>
      </w:r>
      <w:r>
        <w:tab/>
        <w:t>the procedures that will be followed and the measures that will be taken, including matters such as sounding alarms and evacuating people;</w:t>
      </w:r>
    </w:p>
    <w:p>
      <w:pPr>
        <w:pStyle w:val="yIndenti0"/>
      </w:pPr>
      <w:r>
        <w:tab/>
        <w:t>(iii)</w:t>
      </w:r>
      <w:r>
        <w:tab/>
        <w:t>the measures that will be taken to investigate why the incident or situation occurred;</w:t>
      </w:r>
    </w:p>
    <w:p>
      <w:pPr>
        <w:pStyle w:val="yIndenti0"/>
      </w:pPr>
      <w:r>
        <w:tab/>
        <w:t>(iv)</w:t>
      </w:r>
      <w:r>
        <w:tab/>
        <w:t>the individuals who will be responsible for implementing the emergency management plan;</w:t>
      </w:r>
    </w:p>
    <w:p>
      <w:pPr>
        <w:pStyle w:val="yIndenti0"/>
      </w:pPr>
      <w:r>
        <w:tab/>
        <w:t>(v)</w:t>
      </w:r>
      <w:r>
        <w:tab/>
        <w:t>the measures that will be taken to train people to execute the emergency management plan;</w:t>
      </w:r>
    </w:p>
    <w:p>
      <w:pPr>
        <w:pStyle w:val="yIndenti0"/>
      </w:pPr>
      <w:r>
        <w:tab/>
        <w:t>(vi)</w:t>
      </w:r>
      <w:r>
        <w:tab/>
        <w:t>which emergency services and other people will be given a copy of the emergency management plan;</w:t>
      </w:r>
    </w:p>
    <w:p>
      <w:pPr>
        <w:pStyle w:val="yIndenta"/>
      </w:pPr>
      <w:r>
        <w:tab/>
        <w:t>(b)</w:t>
      </w:r>
      <w:r>
        <w:tab/>
        <w:t>the measures that will be taken to ensure any dangerous goods incident involving an explosive is reported to the Chief Officer as soon as practicable;</w:t>
      </w:r>
    </w:p>
    <w:p>
      <w:pPr>
        <w:pStyle w:val="yIndenta"/>
      </w:pPr>
      <w:r>
        <w:tab/>
        <w:t>(c)</w:t>
      </w:r>
      <w:r>
        <w:tab/>
        <w:t>the measures that will be taken to ensure that people who may have access to an explosive are instructed about and comply with these regulations;</w:t>
      </w:r>
    </w:p>
    <w:p>
      <w:pPr>
        <w:pStyle w:val="yIndenta"/>
      </w:pPr>
      <w:r>
        <w:tab/>
        <w:t>(d)</w:t>
      </w:r>
      <w:r>
        <w:tab/>
        <w:t>the measures that will be taken to ensure that people who may have access to an explosive are instructed about and comply with the plan;</w:t>
      </w:r>
    </w:p>
    <w:p>
      <w:pPr>
        <w:pStyle w:val="yIndenta"/>
      </w:pPr>
      <w:r>
        <w:tab/>
        <w:t>(e)</w:t>
      </w:r>
      <w:r>
        <w:tab/>
        <w:t>the measures that will be taken to monitor and ensure compliance, with the plan;</w:t>
      </w:r>
    </w:p>
    <w:p>
      <w:pPr>
        <w:pStyle w:val="yIndenta"/>
      </w:pPr>
      <w:r>
        <w:tab/>
        <w:t>(f)</w:t>
      </w:r>
      <w:r>
        <w:tab/>
        <w:t>the measures that will be taken to ensure the plan and its effectiveness are reviewed regularly and that the plan is revised if necessary;</w:t>
      </w:r>
    </w:p>
    <w:p>
      <w:pPr>
        <w:pStyle w:val="yIndenta"/>
      </w:pPr>
      <w:r>
        <w:tab/>
        <w:t>(g)</w:t>
      </w:r>
      <w:r>
        <w:tab/>
        <w:t>the measures that will be taken to ensure a record is kept of measures taken under the plan.</w:t>
      </w:r>
    </w:p>
    <w:p>
      <w:pPr>
        <w:pStyle w:val="yHeading5"/>
      </w:pPr>
      <w:bookmarkStart w:id="761" w:name="_Toc246813019"/>
      <w:r>
        <w:rPr>
          <w:rStyle w:val="CharSClsNo"/>
        </w:rPr>
        <w:t>3</w:t>
      </w:r>
      <w:r>
        <w:t>.</w:t>
      </w:r>
      <w:r>
        <w:tab/>
        <w:t>Safety matters</w:t>
      </w:r>
      <w:bookmarkEnd w:id="76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762" w:name="_Toc246813020"/>
      <w:r>
        <w:rPr>
          <w:rStyle w:val="CharSClsNo"/>
        </w:rPr>
        <w:t>4</w:t>
      </w:r>
      <w:r>
        <w:t>.</w:t>
      </w:r>
      <w:r>
        <w:tab/>
        <w:t>Security matters</w:t>
      </w:r>
      <w:bookmarkEnd w:id="76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763" w:name="_Toc191960775"/>
      <w:bookmarkStart w:id="764" w:name="_Toc191982356"/>
      <w:bookmarkStart w:id="765" w:name="_Toc233693270"/>
      <w:bookmarkStart w:id="766" w:name="_Toc238546621"/>
      <w:bookmarkStart w:id="767" w:name="_Toc238546926"/>
      <w:bookmarkStart w:id="768" w:name="_Toc238548055"/>
      <w:bookmarkStart w:id="769" w:name="_Toc246813021"/>
      <w:r>
        <w:rPr>
          <w:rStyle w:val="CharSchNo"/>
        </w:rPr>
        <w:t>Schedule 11</w:t>
      </w:r>
      <w:r>
        <w:rPr>
          <w:rStyle w:val="CharSDivNo"/>
        </w:rPr>
        <w:t> </w:t>
      </w:r>
      <w:r>
        <w:t>—</w:t>
      </w:r>
      <w:r>
        <w:rPr>
          <w:rStyle w:val="CharSDivText"/>
        </w:rPr>
        <w:t> </w:t>
      </w:r>
      <w:r>
        <w:rPr>
          <w:rStyle w:val="CharSchText"/>
        </w:rPr>
        <w:t>Central business districts</w:t>
      </w:r>
      <w:bookmarkEnd w:id="763"/>
      <w:bookmarkEnd w:id="764"/>
      <w:bookmarkEnd w:id="765"/>
      <w:bookmarkEnd w:id="766"/>
      <w:bookmarkEnd w:id="767"/>
      <w:bookmarkEnd w:id="768"/>
      <w:bookmarkEnd w:id="769"/>
    </w:p>
    <w:p>
      <w:pPr>
        <w:pStyle w:val="yShoulderClause"/>
      </w:pPr>
      <w:r>
        <w:t>[r. 107]</w:t>
      </w:r>
    </w:p>
    <w:p>
      <w:pPr>
        <w:pStyle w:val="yHeading5"/>
      </w:pPr>
      <w:bookmarkStart w:id="770" w:name="_Toc246813022"/>
      <w:r>
        <w:rPr>
          <w:rStyle w:val="CharSClsNo"/>
        </w:rPr>
        <w:t>1</w:t>
      </w:r>
      <w:r>
        <w:t>.</w:t>
      </w:r>
      <w:r>
        <w:tab/>
        <w:t>Fremantle central business district</w:t>
      </w:r>
      <w:bookmarkEnd w:id="770"/>
    </w:p>
    <w:p>
      <w:pPr>
        <w:pStyle w:val="ySubsection"/>
      </w:pPr>
      <w:r>
        <w:tab/>
      </w:r>
      <w:r>
        <w:tab/>
        <w:t>The Fremantle central business district is the land bounded by a line that goes —</w:t>
      </w:r>
    </w:p>
    <w:p>
      <w:pPr>
        <w:pStyle w:val="ySubsection"/>
        <w:spacing w:before="0"/>
      </w:pPr>
      <w:r>
        <w:tab/>
      </w:r>
      <w:r>
        <w:tab/>
        <w:t>from the western end of the South Mole, westerly and north westerly along Fleet Street, Phillimore Street, Elder Place and Beach Street to James Street;</w:t>
      </w:r>
    </w:p>
    <w:p>
      <w:pPr>
        <w:pStyle w:val="ySubsection"/>
        <w:spacing w:before="0"/>
      </w:pPr>
      <w:r>
        <w:tab/>
      </w:r>
      <w:r>
        <w:tab/>
        <w:t>then southerly along James Street, Ord Street and Hampton Road to the intersection of Hampton Road and Douro Road;</w:t>
      </w:r>
    </w:p>
    <w:p>
      <w:pPr>
        <w:pStyle w:val="ySubsection"/>
        <w:spacing w:before="0"/>
      </w:pPr>
      <w:r>
        <w:tab/>
      </w:r>
      <w:r>
        <w:tab/>
        <w:t>then westerly along Douro Road;</w:t>
      </w:r>
    </w:p>
    <w:p>
      <w:pPr>
        <w:pStyle w:val="ySubsection"/>
        <w:spacing w:before="0"/>
      </w:pPr>
      <w:r>
        <w:tab/>
      </w:r>
      <w:r>
        <w:tab/>
        <w:t xml:space="preserve">then west from the end of Douro Road to the sea; </w:t>
      </w:r>
    </w:p>
    <w:p>
      <w:pPr>
        <w:pStyle w:val="ySubsection"/>
        <w:spacing w:before="0"/>
      </w:pPr>
      <w:r>
        <w:tab/>
      </w:r>
      <w:r>
        <w:tab/>
        <w:t>but does not include James Street, Ord Street or Hampton Road.</w:t>
      </w:r>
    </w:p>
    <w:p>
      <w:pPr>
        <w:pStyle w:val="yHeading5"/>
      </w:pPr>
      <w:bookmarkStart w:id="771" w:name="_Toc246813023"/>
      <w:r>
        <w:rPr>
          <w:rStyle w:val="CharSClsNo"/>
        </w:rPr>
        <w:t>2</w:t>
      </w:r>
      <w:r>
        <w:t>.</w:t>
      </w:r>
      <w:r>
        <w:tab/>
        <w:t>Perth central business district</w:t>
      </w:r>
      <w:bookmarkEnd w:id="771"/>
    </w:p>
    <w:p>
      <w:pPr>
        <w:pStyle w:val="ySubsection"/>
      </w:pPr>
      <w:r>
        <w:tab/>
      </w:r>
      <w:r>
        <w:tab/>
        <w:t>The Perth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then south easterly along Newcastle Street;</w:t>
      </w:r>
    </w:p>
    <w:p>
      <w:pPr>
        <w:pStyle w:val="ySubsection"/>
        <w:spacing w:before="0"/>
      </w:pPr>
      <w:r>
        <w:tab/>
      </w:r>
      <w:r>
        <w:tab/>
        <w:t>then southerly along Lord Street to the Perth-Midland railway reserve;</w:t>
      </w:r>
    </w:p>
    <w:p>
      <w:pPr>
        <w:pStyle w:val="ySubsection"/>
        <w:spacing w:before="0"/>
      </w:pPr>
      <w:r>
        <w:tab/>
      </w:r>
      <w:r>
        <w:tab/>
        <w:t>then north easterly and easterly along the Perth-Midland and Perth</w:t>
      </w:r>
      <w:r>
        <w:noBreakHyphen/>
        <w:t>Armadale railway reserves to the western foreshore of the Swan River;</w:t>
      </w:r>
    </w:p>
    <w:p>
      <w:pPr>
        <w:pStyle w:val="ySubsection"/>
        <w:spacing w:before="0"/>
      </w:pPr>
      <w:r>
        <w:tab/>
      </w:r>
      <w:r>
        <w:tab/>
        <w:t>then southerly and south westerly along the western foreshore of the Swan River to the Causeway;</w:t>
      </w:r>
    </w:p>
    <w:p>
      <w:pPr>
        <w:pStyle w:val="ySubsection"/>
        <w:spacing w:before="0"/>
      </w:pPr>
      <w:r>
        <w:tab/>
      </w:r>
      <w:r>
        <w:tab/>
        <w:t>then westerly along the Causeway and Riverside Drive to Barrack Street;</w:t>
      </w:r>
    </w:p>
    <w:p>
      <w:pPr>
        <w:pStyle w:val="ySubsection"/>
        <w:spacing w:before="0"/>
      </w:pPr>
      <w:r>
        <w:tab/>
      </w:r>
      <w:r>
        <w:tab/>
        <w:t>then northerly along Barrack Street;</w:t>
      </w:r>
    </w:p>
    <w:p>
      <w:pPr>
        <w:pStyle w:val="ySubsection"/>
        <w:spacing w:before="0"/>
      </w:pPr>
      <w:r>
        <w:tab/>
      </w:r>
      <w:r>
        <w:tab/>
        <w:t>then westerly along the Esplanade and Mounts Bay Road to Spring Street;</w:t>
      </w:r>
    </w:p>
    <w:p>
      <w:pPr>
        <w:pStyle w:val="ySubsection"/>
        <w:spacing w:before="0"/>
      </w:pPr>
      <w:r>
        <w:tab/>
      </w:r>
      <w:r>
        <w:tab/>
        <w:t>then north westerly along Spring Street to Mount Street;</w:t>
      </w:r>
    </w:p>
    <w:p>
      <w:pPr>
        <w:pStyle w:val="ySubsection"/>
        <w:spacing w:before="0"/>
      </w:pPr>
      <w:r>
        <w:tab/>
      </w:r>
      <w:r>
        <w:tab/>
        <w:t>then south westerly along Mount Street to Cliff Street;</w:t>
      </w:r>
    </w:p>
    <w:p>
      <w:pPr>
        <w:pStyle w:val="ySubsection"/>
        <w:spacing w:before="0"/>
      </w:pPr>
      <w:r>
        <w:tab/>
      </w:r>
      <w:r>
        <w:tab/>
        <w:t>then north westerly along Cliff Street to Malcolm Street;</w:t>
      </w:r>
    </w:p>
    <w:p>
      <w:pPr>
        <w:pStyle w:val="ySubsection"/>
        <w:spacing w:before="0"/>
      </w:pPr>
      <w:r>
        <w:tab/>
      </w:r>
      <w:r>
        <w:tab/>
        <w:t>then south westerly along Malcolm Street to Kings Park Road;</w:t>
      </w:r>
    </w:p>
    <w:p>
      <w:pPr>
        <w:pStyle w:val="ySubsection"/>
        <w:spacing w:before="0"/>
      </w:pPr>
      <w:r>
        <w:tab/>
      </w:r>
      <w:r>
        <w:tab/>
        <w:t>then westerly along Kings Park Road to the start;</w:t>
      </w:r>
    </w:p>
    <w:p>
      <w:pPr>
        <w:pStyle w:val="ySubsection"/>
        <w:spacing w:before="0"/>
      </w:pPr>
      <w:r>
        <w:tab/>
      </w:r>
      <w:r>
        <w:tab/>
        <w:t>but does not include Thomas Street, Loftus Street, Newcastle Street, the Kwinana Freeway, the Mitchell Freeway, the Causeway or Riverside Drive.</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772" w:name="_Toc191960778"/>
      <w:bookmarkStart w:id="773" w:name="_Toc191982359"/>
      <w:bookmarkStart w:id="774" w:name="_Toc233693273"/>
      <w:bookmarkStart w:id="775" w:name="_Toc238546624"/>
      <w:bookmarkStart w:id="776" w:name="_Toc238546929"/>
      <w:bookmarkStart w:id="777" w:name="_Toc238548058"/>
      <w:bookmarkStart w:id="778" w:name="_Toc246813024"/>
      <w:r>
        <w:t>Notes</w:t>
      </w:r>
      <w:bookmarkEnd w:id="625"/>
      <w:bookmarkEnd w:id="626"/>
      <w:bookmarkEnd w:id="627"/>
      <w:bookmarkEnd w:id="628"/>
      <w:bookmarkEnd w:id="772"/>
      <w:bookmarkEnd w:id="773"/>
      <w:bookmarkEnd w:id="774"/>
      <w:bookmarkEnd w:id="775"/>
      <w:bookmarkEnd w:id="776"/>
      <w:bookmarkEnd w:id="777"/>
      <w:bookmarkEnd w:id="778"/>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  </w:t>
      </w:r>
    </w:p>
    <w:p>
      <w:pPr>
        <w:pStyle w:val="nHeading3"/>
      </w:pPr>
      <w:bookmarkStart w:id="779" w:name="_Toc70311430"/>
      <w:bookmarkStart w:id="780" w:name="_Toc113695923"/>
      <w:bookmarkStart w:id="781" w:name="_Toc246813025"/>
      <w:r>
        <w:t>Compilation table</w:t>
      </w:r>
      <w:bookmarkEnd w:id="779"/>
      <w:bookmarkEnd w:id="780"/>
      <w:bookmarkEnd w:id="7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iCs/>
                <w:sz w:val="19"/>
              </w:rPr>
            </w:pPr>
            <w:r>
              <w:rPr>
                <w:i/>
                <w:sz w:val="19"/>
              </w:rPr>
              <w:t>Dangerous Goods Safety (Explosives) Regulations 2007</w:t>
            </w:r>
          </w:p>
        </w:tc>
        <w:tc>
          <w:tcPr>
            <w:tcW w:w="1276" w:type="dxa"/>
            <w:tcBorders>
              <w:top w:val="nil"/>
              <w:bottom w:val="nil"/>
            </w:tcBorders>
          </w:tcPr>
          <w:p>
            <w:pPr>
              <w:pStyle w:val="nTable"/>
              <w:spacing w:after="40"/>
              <w:rPr>
                <w:sz w:val="19"/>
              </w:rPr>
            </w:pPr>
            <w:r>
              <w:rPr>
                <w:sz w:val="19"/>
              </w:rPr>
              <w:t>31 Dec 2007 p. 6541-717</w:t>
            </w:r>
          </w:p>
        </w:tc>
        <w:tc>
          <w:tcPr>
            <w:tcW w:w="2693" w:type="dxa"/>
            <w:tcBorders>
              <w:top w:val="nil"/>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rPr>
          <w:ins w:id="782" w:author="Master Repository Process" w:date="2021-08-01T03:16:00Z"/>
        </w:trPr>
        <w:tc>
          <w:tcPr>
            <w:tcW w:w="3118" w:type="dxa"/>
            <w:tcBorders>
              <w:top w:val="nil"/>
            </w:tcBorders>
          </w:tcPr>
          <w:p>
            <w:pPr>
              <w:pStyle w:val="nTable"/>
              <w:spacing w:after="40"/>
              <w:rPr>
                <w:ins w:id="783" w:author="Master Repository Process" w:date="2021-08-01T03:16:00Z"/>
                <w:i/>
                <w:sz w:val="19"/>
              </w:rPr>
            </w:pPr>
            <w:ins w:id="784" w:author="Master Repository Process" w:date="2021-08-01T03:16:00Z">
              <w:r>
                <w:rPr>
                  <w:i/>
                  <w:sz w:val="19"/>
                </w:rPr>
                <w:t>Dangerous Goods Safety (Explosives) Amendment Regulations (No. </w:t>
              </w:r>
              <w:r>
                <w:rPr>
                  <w:i/>
                </w:rPr>
                <w:t xml:space="preserve">2) </w:t>
              </w:r>
              <w:r>
                <w:rPr>
                  <w:i/>
                  <w:sz w:val="19"/>
                </w:rPr>
                <w:t>2010</w:t>
              </w:r>
            </w:ins>
          </w:p>
        </w:tc>
        <w:tc>
          <w:tcPr>
            <w:tcW w:w="1276" w:type="dxa"/>
            <w:tcBorders>
              <w:top w:val="nil"/>
            </w:tcBorders>
          </w:tcPr>
          <w:p>
            <w:pPr>
              <w:pStyle w:val="nTable"/>
              <w:spacing w:after="40"/>
              <w:rPr>
                <w:ins w:id="785" w:author="Master Repository Process" w:date="2021-08-01T03:16:00Z"/>
                <w:sz w:val="19"/>
              </w:rPr>
            </w:pPr>
            <w:ins w:id="786" w:author="Master Repository Process" w:date="2021-08-01T03:16:00Z">
              <w:r>
                <w:rPr>
                  <w:sz w:val="19"/>
                </w:rPr>
                <w:t>25 Jun 2010 p. 2875-7</w:t>
              </w:r>
            </w:ins>
          </w:p>
        </w:tc>
        <w:tc>
          <w:tcPr>
            <w:tcW w:w="2693" w:type="dxa"/>
            <w:tcBorders>
              <w:top w:val="nil"/>
            </w:tcBorders>
          </w:tcPr>
          <w:p>
            <w:pPr>
              <w:pStyle w:val="nTable"/>
              <w:spacing w:after="40"/>
              <w:rPr>
                <w:ins w:id="787" w:author="Master Repository Process" w:date="2021-08-01T03:16:00Z"/>
                <w:snapToGrid w:val="0"/>
                <w:spacing w:val="-2"/>
                <w:sz w:val="19"/>
                <w:lang w:val="en-US"/>
              </w:rPr>
            </w:pPr>
            <w:ins w:id="788" w:author="Master Repository Process" w:date="2021-08-01T03:16:00Z">
              <w:r>
                <w:rPr>
                  <w:snapToGrid w:val="0"/>
                  <w:spacing w:val="-2"/>
                  <w:sz w:val="19"/>
                  <w:lang w:val="en-US"/>
                </w:rPr>
                <w:t>r. 1 and 2: 25 Jun 2010 (see r. 2(a));</w:t>
              </w:r>
              <w:r>
                <w:rPr>
                  <w:snapToGrid w:val="0"/>
                  <w:spacing w:val="-2"/>
                  <w:sz w:val="19"/>
                  <w:lang w:val="en-US"/>
                </w:rPr>
                <w:br/>
                <w:t>Regulations other than r. 1 and 2: 1 Jul 2010 (see r. 2(b))</w:t>
              </w:r>
            </w:ins>
          </w:p>
        </w:tc>
      </w:tr>
    </w:tbl>
    <w:p>
      <w:bookmarkStart w:id="789" w:name="UpToHere"/>
      <w:bookmarkEnd w:id="789"/>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790" w:name="AutoSch"/>
      <w:bookmarkEnd w:id="790"/>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02052"/>
    <w:docVar w:name="WAFER_20151210102052" w:val="RemoveTrackChanges"/>
    <w:docVar w:name="WAFER_20151210102052_GUID" w:val="5bcd634e-a01b-41eb-b7b2-4d58028460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D4F2D-0151-4854-9233-EFE4D1D8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36731</Words>
  <Characters>175575</Characters>
  <Application>Microsoft Office Word</Application>
  <DocSecurity>0</DocSecurity>
  <Lines>4745</Lines>
  <Paragraphs>2948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00-f0-02 - 00-g0-02</dc:title>
  <dc:subject/>
  <dc:creator/>
  <cp:keywords/>
  <dc:description/>
  <cp:lastModifiedBy>Master Repository Process</cp:lastModifiedBy>
  <cp:revision>2</cp:revision>
  <cp:lastPrinted>2009-08-20T07:44:00Z</cp:lastPrinted>
  <dcterms:created xsi:type="dcterms:W3CDTF">2021-07-31T19:16:00Z</dcterms:created>
  <dcterms:modified xsi:type="dcterms:W3CDTF">2021-07-31T19:16:00Z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37310</vt:i4>
  </property>
  <property fmtid="{D5CDD505-2E9C-101B-9397-08002B2CF9AE}" pid="6" name="FromSuffix">
    <vt:lpwstr>00-f0-02</vt:lpwstr>
  </property>
  <property fmtid="{D5CDD505-2E9C-101B-9397-08002B2CF9AE}" pid="7" name="FromAsAtDate">
    <vt:lpwstr>25 Nov 2009</vt:lpwstr>
  </property>
  <property fmtid="{D5CDD505-2E9C-101B-9397-08002B2CF9AE}" pid="8" name="ToSuffix">
    <vt:lpwstr>00-g0-02</vt:lpwstr>
  </property>
  <property fmtid="{D5CDD505-2E9C-101B-9397-08002B2CF9AE}" pid="9" name="ToAsAtDate">
    <vt:lpwstr>01 Jul 2010</vt:lpwstr>
  </property>
</Properties>
</file>