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Australian Trustees Limited (Merger)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1:58:00Z"/>
        </w:trPr>
        <w:tc>
          <w:tcPr>
            <w:tcW w:w="2434" w:type="dxa"/>
            <w:vMerge w:val="restart"/>
          </w:tcPr>
          <w:p>
            <w:pPr>
              <w:rPr>
                <w:del w:id="1" w:author="svcMRProcess" w:date="2015-11-12T21:58:00Z"/>
              </w:rPr>
            </w:pPr>
          </w:p>
        </w:tc>
        <w:tc>
          <w:tcPr>
            <w:tcW w:w="2434" w:type="dxa"/>
            <w:vMerge w:val="restart"/>
          </w:tcPr>
          <w:p>
            <w:pPr>
              <w:jc w:val="center"/>
              <w:rPr>
                <w:del w:id="2" w:author="svcMRProcess" w:date="2015-11-12T21:58:00Z"/>
              </w:rPr>
            </w:pPr>
            <w:del w:id="3" w:author="svcMRProcess" w:date="2015-11-12T21: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1:58:00Z"/>
              </w:rPr>
            </w:pPr>
          </w:p>
        </w:tc>
      </w:tr>
      <w:tr>
        <w:trPr>
          <w:cantSplit/>
          <w:del w:id="5" w:author="svcMRProcess" w:date="2015-11-12T21:58:00Z"/>
        </w:trPr>
        <w:tc>
          <w:tcPr>
            <w:tcW w:w="2434" w:type="dxa"/>
            <w:vMerge/>
          </w:tcPr>
          <w:p>
            <w:pPr>
              <w:rPr>
                <w:del w:id="6" w:author="svcMRProcess" w:date="2015-11-12T21:58:00Z"/>
              </w:rPr>
            </w:pPr>
          </w:p>
        </w:tc>
        <w:tc>
          <w:tcPr>
            <w:tcW w:w="2434" w:type="dxa"/>
            <w:vMerge/>
          </w:tcPr>
          <w:p>
            <w:pPr>
              <w:jc w:val="center"/>
              <w:rPr>
                <w:del w:id="7" w:author="svcMRProcess" w:date="2015-11-12T21:58:00Z"/>
              </w:rPr>
            </w:pPr>
          </w:p>
        </w:tc>
        <w:tc>
          <w:tcPr>
            <w:tcW w:w="2434" w:type="dxa"/>
          </w:tcPr>
          <w:p>
            <w:pPr>
              <w:keepNext/>
              <w:rPr>
                <w:del w:id="8" w:author="svcMRProcess" w:date="2015-11-12T21:58:00Z"/>
                <w:b/>
                <w:sz w:val="22"/>
              </w:rPr>
            </w:pPr>
            <w:del w:id="9" w:author="svcMRProcess" w:date="2015-11-12T21:58:00Z">
              <w:r>
                <w:rPr>
                  <w:b/>
                  <w:sz w:val="22"/>
                </w:rPr>
                <w:delText xml:space="preserve">Reprinted under the </w:delText>
              </w:r>
              <w:r>
                <w:rPr>
                  <w:b/>
                  <w:i/>
                  <w:sz w:val="22"/>
                </w:rPr>
                <w:delText>Reprints Act 1984</w:delText>
              </w:r>
              <w:r>
                <w:rPr>
                  <w:b/>
                  <w:sz w:val="22"/>
                </w:rPr>
                <w:delText xml:space="preserve"> as </w:delText>
              </w:r>
              <w:r>
                <w:rPr>
                  <w:b/>
                  <w:sz w:val="22"/>
                </w:rPr>
                <w:br/>
                <w:delText>at 16</w:delText>
              </w:r>
              <w:r>
                <w:rPr>
                  <w:b/>
                  <w:snapToGrid w:val="0"/>
                  <w:sz w:val="22"/>
                </w:rPr>
                <w:delText xml:space="preserve"> November 2007</w:delText>
              </w:r>
            </w:del>
          </w:p>
        </w:tc>
      </w:tr>
    </w:tbl>
    <w:p>
      <w:pPr>
        <w:pStyle w:val="WA"/>
        <w:spacing w:before="120"/>
      </w:pPr>
      <w:r>
        <w:t>Western Australia</w:t>
      </w:r>
    </w:p>
    <w:p>
      <w:pPr>
        <w:pStyle w:val="NameofActReg"/>
      </w:pPr>
      <w:r>
        <w:t xml:space="preserve">West Australian Trustees Limited (Merger) Act 1989 </w:t>
      </w:r>
    </w:p>
    <w:p>
      <w:pPr>
        <w:pStyle w:val="LongTitle"/>
        <w:rPr>
          <w:snapToGrid w:val="0"/>
        </w:rPr>
      </w:pPr>
      <w:r>
        <w:rPr>
          <w:snapToGrid w:val="0"/>
        </w:rPr>
        <w:t>A</w:t>
      </w:r>
      <w:bookmarkStart w:id="10" w:name="_GoBack"/>
      <w:bookmarkEnd w:id="10"/>
      <w:r>
        <w:rPr>
          <w:snapToGrid w:val="0"/>
        </w:rPr>
        <w:t xml:space="preserve">n Act to provide for the transfer to Perpetual Trustees WA Limited of the undertaking of West Australian Trustees Limited, to amend the </w:t>
      </w:r>
      <w:r>
        <w:rPr>
          <w:i/>
          <w:snapToGrid w:val="0"/>
        </w:rPr>
        <w:t>Trustee Companies Act 1987</w:t>
      </w:r>
      <w:r>
        <w:rPr>
          <w:b w:val="0"/>
          <w:snapToGrid w:val="0"/>
          <w:vertAlign w:val="superscript"/>
        </w:rPr>
        <w:t> 2</w:t>
      </w:r>
      <w:r>
        <w:rPr>
          <w:snapToGrid w:val="0"/>
        </w:rPr>
        <w:t xml:space="preserve">, and for connected purposes. </w:t>
      </w:r>
    </w:p>
    <w:p>
      <w:pPr>
        <w:pStyle w:val="Preamble1"/>
        <w:spacing w:before="240"/>
        <w:rPr>
          <w:snapToGrid w:val="0"/>
        </w:rPr>
      </w:pPr>
      <w:r>
        <w:rPr>
          <w:snapToGrid w:val="0"/>
        </w:rPr>
        <w:t>Reasons for enactment</w:t>
      </w:r>
    </w:p>
    <w:p>
      <w:pPr>
        <w:pStyle w:val="Preamble2"/>
        <w:rPr>
          <w:snapToGrid w:val="0"/>
        </w:rPr>
      </w:pPr>
      <w:r>
        <w:rPr>
          <w:snapToGrid w:val="0"/>
        </w:rPr>
        <w:t xml:space="preserve">Because West Australian Trustees 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pPr>
        <w:pStyle w:val="Preamble2"/>
        <w:rPr>
          <w:snapToGrid w:val="0"/>
        </w:rPr>
      </w:pPr>
      <w:r>
        <w:rPr>
          <w:snapToGrid w:val="0"/>
        </w:rPr>
        <w:t>And because it is expedient in the interest of business efficiency that the business conducted by and undertaking of West Australian Trustees Limited should be transferred to Perpetual Trustees WA Limited, another wholly owned subsidiary of Perpetual Trustees Australia Limited, and that all property held by West Australian Trustees Limited as trustee should be vested in Perpetual Trustees WA Limited:</w:t>
      </w:r>
    </w:p>
    <w:p>
      <w:pPr>
        <w:pStyle w:val="Preamble2"/>
        <w:rPr>
          <w:snapToGrid w:val="0"/>
        </w:rPr>
      </w:pPr>
      <w:r>
        <w:rPr>
          <w:snapToGrid w:val="0"/>
        </w:rPr>
        <w:t>And because it is expedient that the transfer and vesting be effected by Act of the Parliament:</w:t>
      </w:r>
    </w:p>
    <w:p>
      <w:pPr>
        <w:pStyle w:val="Enactment"/>
        <w:rPr>
          <w:snapToGrid w:val="0"/>
        </w:rPr>
      </w:pPr>
      <w:r>
        <w:rPr>
          <w:snapToGrid w:val="0"/>
        </w:rPr>
        <w:t xml:space="preserve">The Parliament of Western Australia enacts as follows: </w:t>
      </w:r>
    </w:p>
    <w:p>
      <w:pPr>
        <w:pStyle w:val="Heading5"/>
        <w:rPr>
          <w:snapToGrid w:val="0"/>
        </w:rPr>
      </w:pPr>
      <w:bookmarkStart w:id="11" w:name="_Toc411909387"/>
      <w:bookmarkStart w:id="12" w:name="_Toc267926240"/>
      <w:bookmarkStart w:id="13" w:name="_Toc182639270"/>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r>
        <w:rPr>
          <w:snapToGrid w:val="0"/>
          <w:vertAlign w:val="superscript"/>
        </w:rPr>
        <w:t> 1</w:t>
      </w:r>
      <w:r>
        <w:rPr>
          <w:snapToGrid w:val="0"/>
        </w:rPr>
        <w:t>.</w:t>
      </w:r>
    </w:p>
    <w:p>
      <w:pPr>
        <w:pStyle w:val="Heading5"/>
        <w:rPr>
          <w:snapToGrid w:val="0"/>
        </w:rPr>
      </w:pPr>
      <w:bookmarkStart w:id="14" w:name="_Toc411909388"/>
      <w:bookmarkStart w:id="15" w:name="_Toc267926241"/>
      <w:bookmarkStart w:id="16" w:name="_Toc182639271"/>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t>(1)</w:t>
      </w:r>
      <w:r>
        <w:rPr>
          <w:snapToGrid w:val="0"/>
        </w:rPr>
        <w:tab/>
        <w:t>Subject to subsection (2), this Act shall come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Section 16(2) shall come into operation on the day on which this Act receives the Royal Assent.</w:t>
      </w:r>
    </w:p>
    <w:p>
      <w:pPr>
        <w:pStyle w:val="Heading5"/>
        <w:rPr>
          <w:snapToGrid w:val="0"/>
        </w:rPr>
      </w:pPr>
      <w:bookmarkStart w:id="17" w:name="_Toc411909389"/>
      <w:bookmarkStart w:id="18" w:name="_Toc267926242"/>
      <w:bookmarkStart w:id="19" w:name="_Toc182639272"/>
      <w:r>
        <w:rPr>
          <w:rStyle w:val="CharSectno"/>
        </w:rPr>
        <w:t>3</w:t>
      </w:r>
      <w:r>
        <w:rPr>
          <w:snapToGrid w:val="0"/>
        </w:rPr>
        <w:t>.</w:t>
      </w:r>
      <w:r>
        <w:rPr>
          <w:snapToGrid w:val="0"/>
        </w:rPr>
        <w:tab/>
      </w:r>
      <w:bookmarkEnd w:id="17"/>
      <w:r>
        <w:rPr>
          <w:snapToGrid w:val="0"/>
        </w:rPr>
        <w:t>Terms used in this Act</w:t>
      </w:r>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appointment</w:t>
      </w:r>
      <w:r>
        <w:t xml:space="preserve"> means the appointment of WA Trustees as executor, manager, trustee, agent or attorney made — </w:t>
      </w:r>
    </w:p>
    <w:p>
      <w:pPr>
        <w:pStyle w:val="Defpara"/>
      </w:pPr>
      <w:r>
        <w:tab/>
        <w:t>(a)</w:t>
      </w:r>
      <w:r>
        <w:tab/>
        <w:t>by will, codicil, deed, agreement, declaration, nomination or other instrument;</w:t>
      </w:r>
    </w:p>
    <w:p>
      <w:pPr>
        <w:pStyle w:val="Defpara"/>
      </w:pPr>
      <w:r>
        <w:tab/>
        <w:t>(b)</w:t>
      </w:r>
      <w:r>
        <w:tab/>
        <w:t>by the Supreme Court; or</w:t>
      </w:r>
    </w:p>
    <w:p>
      <w:pPr>
        <w:pStyle w:val="Defpara"/>
      </w:pPr>
      <w:r>
        <w:tab/>
        <w:t>(c)</w:t>
      </w:r>
      <w:r>
        <w:tab/>
        <w:t>under any written law,</w:t>
      </w:r>
    </w:p>
    <w:p>
      <w:pPr>
        <w:pStyle w:val="Defstart"/>
      </w:pPr>
      <w:r>
        <w:tab/>
        <w:t>and includes the appointment of WA Trustees as one of 2 or more executors, managers, trustees, agents or attorneys;</w:t>
      </w:r>
    </w:p>
    <w:p>
      <w:pPr>
        <w:pStyle w:val="Defstart"/>
      </w:pPr>
      <w:r>
        <w:rPr>
          <w:b/>
        </w:rPr>
        <w:tab/>
      </w:r>
      <w:r>
        <w:rPr>
          <w:rStyle w:val="CharDefText"/>
        </w:rPr>
        <w:t>corporation</w:t>
      </w:r>
      <w:r>
        <w:t xml:space="preserve"> includes any body, corporate or unincorporate;</w:t>
      </w:r>
    </w:p>
    <w:p>
      <w:pPr>
        <w:pStyle w:val="Defstart"/>
      </w:pPr>
      <w:r>
        <w:rPr>
          <w:b/>
        </w:rPr>
        <w:tab/>
      </w:r>
      <w:r>
        <w:rPr>
          <w:rStyle w:val="CharDefText"/>
        </w:rPr>
        <w:t>excluded assets</w:t>
      </w:r>
      <w:r>
        <w:t xml:space="preserve"> means — </w:t>
      </w:r>
    </w:p>
    <w:p>
      <w:pPr>
        <w:pStyle w:val="Defpara"/>
      </w:pPr>
      <w:r>
        <w:tab/>
        <w:t>(a)</w:t>
      </w:r>
      <w:r>
        <w:tab/>
        <w:t>documents required by law to be kept by WA Trustees; and</w:t>
      </w:r>
    </w:p>
    <w:p>
      <w:pPr>
        <w:pStyle w:val="Defpara"/>
      </w:pPr>
      <w:r>
        <w:tab/>
        <w:t>(b)</w:t>
      </w:r>
      <w:r>
        <w:tab/>
        <w:t>land referred to in Schedule 1 and buildings or structures on that land;</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Perpetual Trustees</w:t>
      </w:r>
      <w:r>
        <w:t xml:space="preserve"> means Perpetual Trustees W.A. Ltd;</w:t>
      </w:r>
    </w:p>
    <w:p>
      <w:pPr>
        <w:pStyle w:val="Defstart"/>
      </w:pPr>
      <w:r>
        <w:rPr>
          <w:b/>
        </w:rPr>
        <w:tab/>
      </w:r>
      <w:r>
        <w:rPr>
          <w:rStyle w:val="CharDefText"/>
        </w:rPr>
        <w:t>prescribed securities</w:t>
      </w:r>
      <w:r>
        <w:t xml:space="preserve"> means securities within the meaning of the </w:t>
      </w:r>
      <w:r>
        <w:rPr>
          <w:i/>
        </w:rPr>
        <w:t>Securities Industry (Western Australia) Code</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pPr>
        <w:pStyle w:val="Defstart"/>
      </w:pPr>
      <w:r>
        <w:rPr>
          <w:b/>
        </w:rPr>
        <w:tab/>
      </w:r>
      <w:r>
        <w:rPr>
          <w:rStyle w:val="CharDefText"/>
        </w:rPr>
        <w:t>subsidiary</w:t>
      </w:r>
      <w:r>
        <w:t xml:space="preserve"> has the same meaning as in the </w:t>
      </w:r>
      <w:r>
        <w:rPr>
          <w:i/>
        </w:rPr>
        <w:t>Companies (Western Australia) Code</w:t>
      </w:r>
      <w:r>
        <w:t>;</w:t>
      </w:r>
    </w:p>
    <w:p>
      <w:pPr>
        <w:pStyle w:val="Defstart"/>
      </w:pPr>
      <w:r>
        <w:rPr>
          <w:b/>
        </w:rPr>
        <w:tab/>
      </w:r>
      <w:r>
        <w:rPr>
          <w:rStyle w:val="CharDefText"/>
        </w:rPr>
        <w:t>the appointed day</w:t>
      </w:r>
      <w:r>
        <w:t xml:space="preserve"> means the day of coming into operation of section 5;</w:t>
      </w:r>
    </w:p>
    <w:p>
      <w:pPr>
        <w:pStyle w:val="Defstart"/>
      </w:pPr>
      <w:r>
        <w:rPr>
          <w:b/>
        </w:rPr>
        <w:tab/>
      </w:r>
      <w:r>
        <w:rPr>
          <w:rStyle w:val="CharDefText"/>
        </w:rPr>
        <w:t>transferred employee</w:t>
      </w:r>
      <w:r>
        <w:t xml:space="preserve"> means an employee of WA Trustees who becomes an employee of Perpetual Trustees by virtue of this Act;</w:t>
      </w:r>
    </w:p>
    <w:p>
      <w:pPr>
        <w:pStyle w:val="Defstart"/>
      </w:pPr>
      <w:r>
        <w:rPr>
          <w:b/>
        </w:rPr>
        <w:tab/>
      </w:r>
      <w:r>
        <w:rPr>
          <w:rStyle w:val="CharDefText"/>
        </w:rPr>
        <w:t>undertaking</w:t>
      </w:r>
      <w:r>
        <w:t xml:space="preserve"> in relation to WA Trustees means — </w:t>
      </w:r>
    </w:p>
    <w:p>
      <w:pPr>
        <w:pStyle w:val="Defpara"/>
      </w:pPr>
      <w:r>
        <w:tab/>
        <w:t>(a)</w:t>
      </w:r>
      <w:r>
        <w:tab/>
        <w:t>all property of WA Trustees (apart from excluded assets);</w:t>
      </w:r>
    </w:p>
    <w:p>
      <w:pPr>
        <w:pStyle w:val="Defpara"/>
      </w:pPr>
      <w:r>
        <w:tab/>
        <w:t>(b)</w:t>
      </w:r>
      <w:r>
        <w:tab/>
        <w:t>all rights and liabilities of WA Trustees (apart from rights and liabilities relating to excluded assets); and</w:t>
      </w:r>
    </w:p>
    <w:p>
      <w:pPr>
        <w:pStyle w:val="Defpara"/>
      </w:pPr>
      <w:r>
        <w:tab/>
        <w:t>(c)</w:t>
      </w:r>
      <w:r>
        <w:tab/>
        <w:t>all appointments;</w:t>
      </w:r>
    </w:p>
    <w:p>
      <w:pPr>
        <w:pStyle w:val="Defstart"/>
      </w:pPr>
      <w:r>
        <w:rPr>
          <w:b/>
        </w:rPr>
        <w:tab/>
      </w:r>
      <w:r>
        <w:rPr>
          <w:rStyle w:val="CharDefText"/>
        </w:rPr>
        <w:t>WA Trustees</w:t>
      </w:r>
      <w:r>
        <w:t xml:space="preserve"> means West Australian Trustees Limited.</w:t>
      </w:r>
    </w:p>
    <w:p>
      <w:pPr>
        <w:pStyle w:val="Heading5"/>
        <w:rPr>
          <w:snapToGrid w:val="0"/>
        </w:rPr>
      </w:pPr>
      <w:bookmarkStart w:id="20" w:name="_Toc411909390"/>
      <w:bookmarkStart w:id="21" w:name="_Toc267926243"/>
      <w:bookmarkStart w:id="22" w:name="_Toc182639273"/>
      <w:r>
        <w:rPr>
          <w:rStyle w:val="CharSectno"/>
        </w:rPr>
        <w:t>4</w:t>
      </w:r>
      <w:r>
        <w:rPr>
          <w:snapToGrid w:val="0"/>
        </w:rPr>
        <w:t>.</w:t>
      </w:r>
      <w:r>
        <w:rPr>
          <w:snapToGrid w:val="0"/>
        </w:rPr>
        <w:tab/>
        <w:t>Act binds Crown</w:t>
      </w:r>
      <w:bookmarkEnd w:id="20"/>
      <w:bookmarkEnd w:id="21"/>
      <w:bookmarkEnd w:id="2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3" w:name="_Toc411909391"/>
      <w:bookmarkStart w:id="24" w:name="_Toc267926244"/>
      <w:bookmarkStart w:id="25" w:name="_Toc182639274"/>
      <w:r>
        <w:rPr>
          <w:rStyle w:val="CharSectno"/>
        </w:rPr>
        <w:t>5</w:t>
      </w:r>
      <w:r>
        <w:rPr>
          <w:snapToGrid w:val="0"/>
        </w:rPr>
        <w:t>.</w:t>
      </w:r>
      <w:r>
        <w:rPr>
          <w:snapToGrid w:val="0"/>
        </w:rPr>
        <w:tab/>
        <w:t>Undertaking vested in Perpetual Trustees</w:t>
      </w:r>
      <w:bookmarkEnd w:id="23"/>
      <w:bookmarkEnd w:id="24"/>
      <w:bookmarkEnd w:id="25"/>
      <w:r>
        <w:rPr>
          <w:snapToGrid w:val="0"/>
        </w:rPr>
        <w:t xml:space="preserve"> </w:t>
      </w:r>
    </w:p>
    <w:p>
      <w:pPr>
        <w:pStyle w:val="Subsection"/>
        <w:rPr>
          <w:snapToGrid w:val="0"/>
        </w:rPr>
      </w:pPr>
      <w:r>
        <w:rPr>
          <w:snapToGrid w:val="0"/>
        </w:rPr>
        <w:tab/>
        <w:t>(1)</w:t>
      </w:r>
      <w:r>
        <w:rPr>
          <w:snapToGrid w:val="0"/>
        </w:rPr>
        <w:tab/>
        <w:t>On the appointed day the undertaking of WA Trustees is vested in Perpetual Trustees.</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pPr>
        <w:pStyle w:val="Heading5"/>
        <w:rPr>
          <w:snapToGrid w:val="0"/>
        </w:rPr>
      </w:pPr>
      <w:bookmarkStart w:id="26" w:name="_Toc411909392"/>
      <w:bookmarkStart w:id="27" w:name="_Toc267926245"/>
      <w:bookmarkStart w:id="28" w:name="_Toc182639275"/>
      <w:r>
        <w:rPr>
          <w:rStyle w:val="CharSectno"/>
        </w:rPr>
        <w:t>6</w:t>
      </w:r>
      <w:r>
        <w:rPr>
          <w:snapToGrid w:val="0"/>
        </w:rPr>
        <w:t>.</w:t>
      </w:r>
      <w:r>
        <w:rPr>
          <w:snapToGrid w:val="0"/>
        </w:rPr>
        <w:tab/>
        <w:t>Supplementary provisions as to vesting of undertaking</w:t>
      </w:r>
      <w:bookmarkEnd w:id="26"/>
      <w:bookmarkEnd w:id="27"/>
      <w:bookmarkEnd w:id="28"/>
      <w:r>
        <w:rPr>
          <w:snapToGrid w:val="0"/>
        </w:rPr>
        <w:t xml:space="preserve"> </w:t>
      </w:r>
    </w:p>
    <w:p>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 Trustees, or payable at a place of business of WA 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5(3));</w:t>
      </w:r>
    </w:p>
    <w:p>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a"/>
        <w:keepNext/>
        <w:rPr>
          <w:snapToGrid w:val="0"/>
        </w:rPr>
      </w:pPr>
      <w:r>
        <w:rPr>
          <w:snapToGrid w:val="0"/>
        </w:rPr>
        <w:tab/>
      </w:r>
      <w:r>
        <w:rPr>
          <w:snapToGrid w:val="0"/>
        </w:rPr>
        <w:tab/>
        <w:t>and</w:t>
      </w:r>
    </w:p>
    <w:p>
      <w:pPr>
        <w:pStyle w:val="Indenta"/>
        <w:keepNext/>
        <w:rPr>
          <w:snapToGrid w:val="0"/>
        </w:rPr>
      </w:pPr>
      <w:r>
        <w:rPr>
          <w:snapToGrid w:val="0"/>
        </w:rPr>
        <w:tab/>
        <w:t>(k)</w:t>
      </w:r>
      <w:r>
        <w:rPr>
          <w:snapToGrid w:val="0"/>
        </w:rPr>
        <w:tab/>
        <w:t>nothing done or suffered by WA Trustees or Perpetual Trustees under this Act — </w:t>
      </w:r>
    </w:p>
    <w:p>
      <w:pPr>
        <w:pStyle w:val="Indenti"/>
        <w:rPr>
          <w:snapToGrid w:val="0"/>
        </w:rPr>
      </w:pPr>
      <w:r>
        <w:rPr>
          <w:snapToGrid w:val="0"/>
        </w:rPr>
        <w:tab/>
        <w:t>(i)</w:t>
      </w:r>
      <w:r>
        <w:rPr>
          <w:snapToGrid w:val="0"/>
        </w:rPr>
        <w:tab/>
        <w:t>shall be regarded as a breach of trust, contract or confidence or otherwise as a civil wrong;</w:t>
      </w:r>
    </w:p>
    <w:p>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WA Trustees if this Act had not been enacted.</w:t>
      </w:r>
    </w:p>
    <w:p>
      <w:pPr>
        <w:pStyle w:val="Heading5"/>
        <w:rPr>
          <w:snapToGrid w:val="0"/>
        </w:rPr>
      </w:pPr>
      <w:bookmarkStart w:id="29" w:name="_Toc411909393"/>
      <w:bookmarkStart w:id="30" w:name="_Toc267926246"/>
      <w:bookmarkStart w:id="31" w:name="_Toc182639276"/>
      <w:r>
        <w:rPr>
          <w:rStyle w:val="CharSectno"/>
        </w:rPr>
        <w:t>7</w:t>
      </w:r>
      <w:r>
        <w:rPr>
          <w:snapToGrid w:val="0"/>
        </w:rPr>
        <w:t>.</w:t>
      </w:r>
      <w:r>
        <w:rPr>
          <w:snapToGrid w:val="0"/>
        </w:rPr>
        <w:tab/>
        <w:t>Rights in respect of land that is an excluded asset</w:t>
      </w:r>
      <w:bookmarkEnd w:id="29"/>
      <w:bookmarkEnd w:id="30"/>
      <w:bookmarkEnd w:id="31"/>
      <w:r>
        <w:rPr>
          <w:snapToGrid w:val="0"/>
        </w:rPr>
        <w:t xml:space="preserve"> </w:t>
      </w:r>
    </w:p>
    <w:p>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pPr>
        <w:pStyle w:val="Heading5"/>
        <w:rPr>
          <w:snapToGrid w:val="0"/>
        </w:rPr>
      </w:pPr>
      <w:bookmarkStart w:id="32" w:name="_Toc411909394"/>
      <w:bookmarkStart w:id="33" w:name="_Toc267926247"/>
      <w:bookmarkStart w:id="34" w:name="_Toc182639277"/>
      <w:r>
        <w:rPr>
          <w:rStyle w:val="CharSectno"/>
        </w:rPr>
        <w:t>8</w:t>
      </w:r>
      <w:r>
        <w:rPr>
          <w:snapToGrid w:val="0"/>
        </w:rPr>
        <w:t>.</w:t>
      </w:r>
      <w:r>
        <w:rPr>
          <w:snapToGrid w:val="0"/>
        </w:rPr>
        <w:tab/>
        <w:t>Proceedings</w:t>
      </w:r>
      <w:bookmarkEnd w:id="32"/>
      <w:bookmarkEnd w:id="33"/>
      <w:bookmarkEnd w:id="34"/>
      <w:r>
        <w:rPr>
          <w:snapToGrid w:val="0"/>
        </w:rPr>
        <w:t xml:space="preserve"> </w:t>
      </w:r>
    </w:p>
    <w:p>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pPr>
        <w:pStyle w:val="Heading5"/>
        <w:rPr>
          <w:snapToGrid w:val="0"/>
        </w:rPr>
      </w:pPr>
      <w:bookmarkStart w:id="35" w:name="_Toc411909395"/>
      <w:bookmarkStart w:id="36" w:name="_Toc267926248"/>
      <w:bookmarkStart w:id="37" w:name="_Toc182639278"/>
      <w:r>
        <w:rPr>
          <w:rStyle w:val="CharSectno"/>
        </w:rPr>
        <w:t>9</w:t>
      </w:r>
      <w:r>
        <w:rPr>
          <w:snapToGrid w:val="0"/>
        </w:rPr>
        <w:t>.</w:t>
      </w:r>
      <w:r>
        <w:rPr>
          <w:snapToGrid w:val="0"/>
        </w:rPr>
        <w:tab/>
        <w:t>Evidence</w:t>
      </w:r>
      <w:bookmarkEnd w:id="35"/>
      <w:bookmarkEnd w:id="36"/>
      <w:bookmarkEnd w:id="37"/>
      <w:r>
        <w:rPr>
          <w:snapToGrid w:val="0"/>
        </w:rPr>
        <w:t xml:space="preserve"> </w:t>
      </w:r>
    </w:p>
    <w:p>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pPr>
        <w:pStyle w:val="Heading5"/>
        <w:rPr>
          <w:snapToGrid w:val="0"/>
        </w:rPr>
      </w:pPr>
      <w:bookmarkStart w:id="38" w:name="_Toc411909396"/>
      <w:bookmarkStart w:id="39" w:name="_Toc267926249"/>
      <w:bookmarkStart w:id="40" w:name="_Toc182639279"/>
      <w:r>
        <w:rPr>
          <w:rStyle w:val="CharSectno"/>
        </w:rPr>
        <w:t>10</w:t>
      </w:r>
      <w:r>
        <w:rPr>
          <w:snapToGrid w:val="0"/>
        </w:rPr>
        <w:t>.</w:t>
      </w:r>
      <w:r>
        <w:rPr>
          <w:snapToGrid w:val="0"/>
        </w:rPr>
        <w:tab/>
        <w:t>Transfer of employees</w:t>
      </w:r>
      <w:bookmarkEnd w:id="38"/>
      <w:bookmarkEnd w:id="39"/>
      <w:bookmarkEnd w:id="40"/>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WA Trustees shall cease to be an employee of WA Trustees and shall become an employee of Perpetual Trustees but, for the purposes of every written and other law, award, determination, contract and agreement relating to the employment of each such employee, the employee’s contract of employment shall be deemed to be unbroken and the period of the employee’s service with WA Trustees shall be deemed to have been a period of service with Perpetual Trustees;</w:t>
      </w:r>
    </w:p>
    <w:p>
      <w:pPr>
        <w:pStyle w:val="Indenta"/>
        <w:rPr>
          <w:snapToGrid w:val="0"/>
        </w:rPr>
      </w:pPr>
      <w:r>
        <w:rPr>
          <w:snapToGrid w:val="0"/>
        </w:rPr>
        <w:tab/>
        <w:t>(b)</w:t>
      </w:r>
      <w:r>
        <w:rPr>
          <w:snapToGrid w:val="0"/>
        </w:rPr>
        <w:tab/>
        <w:t>the terms and conditions of the employment of each transferred employee with Perpetual Trustees shall — </w:t>
      </w:r>
    </w:p>
    <w:p>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pPr>
        <w:pStyle w:val="Heading5"/>
        <w:rPr>
          <w:snapToGrid w:val="0"/>
        </w:rPr>
      </w:pPr>
      <w:bookmarkStart w:id="41" w:name="_Toc411909397"/>
      <w:bookmarkStart w:id="42" w:name="_Toc267926250"/>
      <w:bookmarkStart w:id="43" w:name="_Toc182639280"/>
      <w:r>
        <w:rPr>
          <w:rStyle w:val="CharSectno"/>
        </w:rPr>
        <w:t>11</w:t>
      </w:r>
      <w:r>
        <w:rPr>
          <w:snapToGrid w:val="0"/>
        </w:rPr>
        <w:t>.</w:t>
      </w:r>
      <w:r>
        <w:rPr>
          <w:snapToGrid w:val="0"/>
        </w:rPr>
        <w:tab/>
        <w:t>Appointment of new trustee</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Except 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 </w:t>
      </w:r>
      <w:r>
        <w:rPr>
          <w:snapToGrid w:val="0"/>
        </w:rPr>
        <w:t>— </w:t>
      </w:r>
    </w:p>
    <w:p>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pPr>
        <w:pStyle w:val="Heading5"/>
        <w:rPr>
          <w:snapToGrid w:val="0"/>
        </w:rPr>
      </w:pPr>
      <w:bookmarkStart w:id="44" w:name="_Toc411909398"/>
      <w:bookmarkStart w:id="45" w:name="_Toc267926251"/>
      <w:bookmarkStart w:id="46" w:name="_Toc182639281"/>
      <w:r>
        <w:rPr>
          <w:rStyle w:val="CharSectno"/>
        </w:rPr>
        <w:t>12</w:t>
      </w:r>
      <w:r>
        <w:rPr>
          <w:snapToGrid w:val="0"/>
        </w:rPr>
        <w:t>.</w:t>
      </w:r>
      <w:r>
        <w:rPr>
          <w:snapToGrid w:val="0"/>
        </w:rPr>
        <w:tab/>
        <w:t>Prescribed securities</w:t>
      </w:r>
      <w:bookmarkEnd w:id="44"/>
      <w:bookmarkEnd w:id="45"/>
      <w:bookmarkEnd w:id="46"/>
      <w:r>
        <w:rPr>
          <w:snapToGrid w:val="0"/>
        </w:rPr>
        <w:t xml:space="preserve"> </w:t>
      </w:r>
    </w:p>
    <w:p>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Perpetual Trustees, will be held by way of security; or</w:t>
      </w:r>
    </w:p>
    <w:p>
      <w:pPr>
        <w:pStyle w:val="Indenta"/>
        <w:rPr>
          <w:snapToGrid w:val="0"/>
        </w:rPr>
      </w:pPr>
      <w:r>
        <w:rPr>
          <w:snapToGrid w:val="0"/>
        </w:rPr>
        <w:tab/>
        <w:t>(b)</w:t>
      </w:r>
      <w:r>
        <w:rPr>
          <w:snapToGrid w:val="0"/>
        </w:rPr>
        <w:tab/>
        <w:t>which are vested in a subsidiary of Perpetual Trustees by the operation of section 11.</w:t>
      </w:r>
    </w:p>
    <w:p>
      <w:pPr>
        <w:pStyle w:val="Heading5"/>
        <w:rPr>
          <w:snapToGrid w:val="0"/>
        </w:rPr>
      </w:pPr>
      <w:bookmarkStart w:id="47" w:name="_Toc411909399"/>
      <w:bookmarkStart w:id="48" w:name="_Toc267926252"/>
      <w:bookmarkStart w:id="49" w:name="_Toc182639282"/>
      <w:r>
        <w:rPr>
          <w:rStyle w:val="CharSectno"/>
        </w:rPr>
        <w:t>13</w:t>
      </w:r>
      <w:r>
        <w:rPr>
          <w:snapToGrid w:val="0"/>
        </w:rPr>
        <w:t>.</w:t>
      </w:r>
      <w:r>
        <w:rPr>
          <w:snapToGrid w:val="0"/>
        </w:rPr>
        <w:tab/>
        <w:t>Officers to register documents</w:t>
      </w:r>
      <w:bookmarkEnd w:id="47"/>
      <w:bookmarkEnd w:id="48"/>
      <w:bookmarkEnd w:id="49"/>
      <w:r>
        <w:rPr>
          <w:snapToGrid w:val="0"/>
        </w:rPr>
        <w:t xml:space="preserve"> </w:t>
      </w:r>
    </w:p>
    <w:p>
      <w:pPr>
        <w:pStyle w:val="Subsection"/>
        <w:rPr>
          <w:snapToGrid w:val="0"/>
        </w:rPr>
      </w:pPr>
      <w:r>
        <w:rPr>
          <w:snapToGrid w:val="0"/>
        </w:rPr>
        <w:tab/>
      </w:r>
      <w:r>
        <w:rPr>
          <w:snapToGrid w:val="0"/>
        </w:rPr>
        <w:tab/>
        <w:t>The Registrar of Titles, the Registrar of Deeds and Transfers, the Commissioner for Corporate Affairs, a mining registrar and any other person authorised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50" w:name="_Toc411909400"/>
      <w:bookmarkStart w:id="51" w:name="_Toc267926253"/>
      <w:bookmarkStart w:id="52" w:name="_Toc182639283"/>
      <w:r>
        <w:rPr>
          <w:rStyle w:val="CharSectno"/>
        </w:rPr>
        <w:t>14</w:t>
      </w:r>
      <w:r>
        <w:rPr>
          <w:snapToGrid w:val="0"/>
        </w:rPr>
        <w:t>.</w:t>
      </w:r>
      <w:r>
        <w:rPr>
          <w:snapToGrid w:val="0"/>
        </w:rPr>
        <w:tab/>
        <w:t>Protection of persons dealing with Perpetual Trustees or WA Trustees</w:t>
      </w:r>
      <w:bookmarkEnd w:id="50"/>
      <w:bookmarkEnd w:id="51"/>
      <w:bookmarkEnd w:id="52"/>
      <w:r>
        <w:rPr>
          <w:snapToGrid w:val="0"/>
        </w:rPr>
        <w:t xml:space="preserve"> </w:t>
      </w:r>
    </w:p>
    <w:p>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pPr>
        <w:pStyle w:val="Heading5"/>
        <w:rPr>
          <w:snapToGrid w:val="0"/>
        </w:rPr>
      </w:pPr>
      <w:bookmarkStart w:id="53" w:name="_Toc411909401"/>
      <w:bookmarkStart w:id="54" w:name="_Toc267926254"/>
      <w:bookmarkStart w:id="55" w:name="_Toc182639284"/>
      <w:r>
        <w:rPr>
          <w:rStyle w:val="CharSectno"/>
        </w:rPr>
        <w:t>15</w:t>
      </w:r>
      <w:r>
        <w:rPr>
          <w:snapToGrid w:val="0"/>
        </w:rPr>
        <w:t>.</w:t>
      </w:r>
      <w:r>
        <w:rPr>
          <w:snapToGrid w:val="0"/>
        </w:rPr>
        <w:tab/>
        <w:t>Transfer of WA Trustees Common Fund to common trust funds of Perpetual Trustees</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r>
        <w:rPr>
          <w:snapToGrid w:val="0"/>
          <w:vertAlign w:val="superscript"/>
        </w:rPr>
        <w:t> 3</w:t>
      </w:r>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pPr>
        <w:pStyle w:val="Ednotesection"/>
      </w:pPr>
      <w:r>
        <w:t>[</w:t>
      </w:r>
      <w:r>
        <w:rPr>
          <w:rStyle w:val="CharSectno"/>
          <w:b/>
          <w:bCs/>
        </w:rPr>
        <w:t>16</w:t>
      </w:r>
      <w:r>
        <w:rPr>
          <w:b/>
          <w:bCs/>
        </w:rPr>
        <w:t>.</w:t>
      </w:r>
      <w:r>
        <w:tab/>
        <w:t>Omitted under the Reprints Act 1984 s. 7(4)(e).]</w:t>
      </w:r>
    </w:p>
    <w:p>
      <w:pPr>
        <w:pStyle w:val="MiscClose"/>
        <w:rPr>
          <w:snapToGrid w:val="0"/>
        </w:rPr>
      </w:pPr>
    </w:p>
    <w:p>
      <w:pPr>
        <w:pStyle w:val="Footnotesection"/>
        <w:keepLines w:val="0"/>
        <w:widowControl w:val="0"/>
        <w:spacing w:before="0"/>
        <w:ind w:left="890" w:hanging="890"/>
      </w:pPr>
      <w:r>
        <w:tab/>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6" w:name="_Toc164571182"/>
      <w:bookmarkStart w:id="57" w:name="_Toc165343646"/>
      <w:bookmarkStart w:id="58" w:name="_Toc165348441"/>
      <w:bookmarkStart w:id="59" w:name="_Toc182028862"/>
      <w:bookmarkStart w:id="60" w:name="_Toc182029897"/>
      <w:bookmarkStart w:id="61" w:name="_Toc182639285"/>
      <w:bookmarkStart w:id="62" w:name="_Toc267926255"/>
      <w:r>
        <w:rPr>
          <w:rStyle w:val="CharSchNo"/>
        </w:rPr>
        <w:t>Schedule 1</w:t>
      </w:r>
      <w:bookmarkEnd w:id="56"/>
      <w:bookmarkEnd w:id="57"/>
      <w:bookmarkEnd w:id="58"/>
      <w:bookmarkEnd w:id="59"/>
      <w:bookmarkEnd w:id="60"/>
      <w:bookmarkEnd w:id="61"/>
      <w:bookmarkEnd w:id="62"/>
    </w:p>
    <w:p>
      <w:pPr>
        <w:pStyle w:val="yShoulderClause"/>
        <w:rPr>
          <w:snapToGrid w:val="0"/>
        </w:rPr>
      </w:pPr>
      <w:r>
        <w:rPr>
          <w:snapToGrid w:val="0"/>
        </w:rPr>
        <w:t>[section 3]</w:t>
      </w:r>
    </w:p>
    <w:p>
      <w:pPr>
        <w:pStyle w:val="yNumberedItem"/>
        <w:rPr>
          <w:snapToGrid w:val="0"/>
        </w:rPr>
      </w:pPr>
      <w:r>
        <w:rPr>
          <w:snapToGrid w:val="0"/>
        </w:rPr>
        <w:tab/>
        <w:t>Portion of Perth Town Lot G10 being Lot 101 on Diagram 58700 being the whole of the land in Certificate of Title Volume 1827 Folio 510.</w:t>
      </w:r>
    </w:p>
    <w:p>
      <w:pPr>
        <w:pStyle w:val="yNumberedItem"/>
        <w:rPr>
          <w:snapToGrid w:val="0"/>
        </w:rPr>
      </w:pPr>
      <w:r>
        <w:rPr>
          <w:snapToGrid w:val="0"/>
        </w:rPr>
        <w:tab/>
        <w:t>Leschanault Location 26 and being Lot 341 on Plan 12361 and being the whole of the land in Certificate of Title Volume 1497 Folio 685.</w:t>
      </w:r>
    </w:p>
    <w:p>
      <w:pPr>
        <w:pStyle w:val="yNumberedItem"/>
        <w:rPr>
          <w:snapToGrid w:val="0"/>
        </w:rPr>
      </w:pPr>
      <w:r>
        <w:rPr>
          <w:snapToGrid w:val="0"/>
        </w:rPr>
        <w:tab/>
        <w:t>Leschanault Location 26 and being Lot 30 on Diagram 52788 and being the whole of the land in Certificate of Title Volume 1488 Folio 75.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3" w:name="_Toc164571183"/>
      <w:bookmarkStart w:id="64" w:name="_Toc165343647"/>
      <w:bookmarkStart w:id="65" w:name="_Toc165348442"/>
      <w:bookmarkStart w:id="66" w:name="_Toc182028863"/>
      <w:bookmarkStart w:id="67" w:name="_Toc182029898"/>
      <w:bookmarkStart w:id="68" w:name="_Toc182639286"/>
      <w:bookmarkStart w:id="69" w:name="_Toc267926256"/>
      <w:r>
        <w:t>Notes</w:t>
      </w:r>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w:t>
      </w:r>
      <w:del w:id="70" w:author="svcMRProcess" w:date="2015-11-12T21:58:00Z">
        <w:r>
          <w:rPr>
            <w:snapToGrid w:val="0"/>
          </w:rPr>
          <w:delText>reprint as at 16 November 2007</w:delText>
        </w:r>
      </w:del>
      <w:ins w:id="71" w:author="svcMRProcess" w:date="2015-11-12T21:58:00Z">
        <w:r>
          <w:rPr>
            <w:snapToGrid w:val="0"/>
          </w:rPr>
          <w:t>compilation</w:t>
        </w:r>
      </w:ins>
      <w:r>
        <w:rPr>
          <w:snapToGrid w:val="0"/>
        </w:rPr>
        <w:t xml:space="preserve"> of the </w:t>
      </w:r>
      <w:r>
        <w:rPr>
          <w:i/>
          <w:noProof/>
          <w:snapToGrid w:val="0"/>
        </w:rPr>
        <w:t>West Australian Trustees Limited (Merger) Act 1989</w:t>
      </w:r>
      <w:r>
        <w:rPr>
          <w:snapToGrid w:val="0"/>
        </w:rPr>
        <w:t>.  The following table contains information about this Act and any reprint</w:t>
      </w:r>
      <w:ins w:id="72" w:author="svcMRProcess" w:date="2015-11-12T21:58:00Z">
        <w:r>
          <w:rPr>
            <w:snapToGrid w:val="0"/>
          </w:rPr>
          <w:t xml:space="preserve"> </w:t>
        </w:r>
        <w:r>
          <w:rPr>
            <w:snapToGrid w:val="0"/>
            <w:vertAlign w:val="superscript"/>
          </w:rPr>
          <w:t>1a</w:t>
        </w:r>
      </w:ins>
      <w:r>
        <w:rPr>
          <w:snapToGrid w:val="0"/>
        </w:rPr>
        <w:t xml:space="preserve">. </w:t>
      </w:r>
    </w:p>
    <w:p>
      <w:pPr>
        <w:pStyle w:val="nHeading3"/>
        <w:rPr>
          <w:snapToGrid w:val="0"/>
        </w:rPr>
      </w:pPr>
      <w:bookmarkStart w:id="73" w:name="_Toc267926257"/>
      <w:bookmarkStart w:id="74" w:name="_Toc182639287"/>
      <w:r>
        <w:rPr>
          <w:snapToGrid w:val="0"/>
        </w:rPr>
        <w:t>Compilation table</w:t>
      </w:r>
      <w:bookmarkEnd w:id="73"/>
      <w:bookmarkEnd w:id="7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West Australian Trustees Limited (Merger) Act 1989</w:t>
            </w:r>
          </w:p>
        </w:tc>
        <w:tc>
          <w:tcPr>
            <w:tcW w:w="1134" w:type="dxa"/>
            <w:tcBorders>
              <w:top w:val="single" w:sz="8" w:space="0" w:color="auto"/>
              <w:bottom w:val="nil"/>
            </w:tcBorders>
          </w:tcPr>
          <w:p>
            <w:pPr>
              <w:pStyle w:val="nTable"/>
              <w:spacing w:after="40"/>
              <w:rPr>
                <w:sz w:val="19"/>
              </w:rPr>
            </w:pPr>
            <w:r>
              <w:rPr>
                <w:sz w:val="19"/>
              </w:rPr>
              <w:t>38 of 1989</w:t>
            </w:r>
          </w:p>
        </w:tc>
        <w:tc>
          <w:tcPr>
            <w:tcW w:w="1134" w:type="dxa"/>
            <w:tcBorders>
              <w:top w:val="single" w:sz="8" w:space="0" w:color="auto"/>
              <w:bottom w:val="nil"/>
            </w:tcBorders>
          </w:tcPr>
          <w:p>
            <w:pPr>
              <w:pStyle w:val="nTable"/>
              <w:spacing w:after="40"/>
              <w:rPr>
                <w:sz w:val="19"/>
              </w:rPr>
            </w:pPr>
            <w:r>
              <w:rPr>
                <w:sz w:val="19"/>
              </w:rPr>
              <w:t>22 Dec 1989</w:t>
            </w:r>
          </w:p>
        </w:tc>
        <w:tc>
          <w:tcPr>
            <w:tcW w:w="2551" w:type="dxa"/>
            <w:tcBorders>
              <w:top w:val="single" w:sz="8" w:space="0" w:color="auto"/>
              <w:bottom w:val="nil"/>
            </w:tcBorders>
          </w:tcPr>
          <w:p>
            <w:pPr>
              <w:pStyle w:val="nTable"/>
              <w:spacing w:after="40"/>
              <w:rPr>
                <w:sz w:val="19"/>
              </w:rPr>
            </w:pPr>
            <w:r>
              <w:rPr>
                <w:sz w:val="19"/>
              </w:rPr>
              <w:t xml:space="preserve">s. 1 and 2: 22 Dec 1989; s. 16(2): 22 Dec 1989 (see s. 2(2)); </w:t>
            </w:r>
            <w:r>
              <w:rPr>
                <w:sz w:val="19"/>
              </w:rPr>
              <w:br/>
              <w:t xml:space="preserve">balance: 31 Jan 1990 (see s. 2(1) and </w:t>
            </w:r>
            <w:r>
              <w:rPr>
                <w:i/>
                <w:sz w:val="19"/>
              </w:rPr>
              <w:t>Gazette</w:t>
            </w:r>
            <w:r>
              <w:rPr>
                <w:sz w:val="19"/>
              </w:rPr>
              <w:t xml:space="preserve"> 19 Jan 1990 p. 203)</w:t>
            </w:r>
          </w:p>
        </w:tc>
      </w:tr>
      <w:tr>
        <w:trPr>
          <w:cantSplit/>
        </w:trPr>
        <w:tc>
          <w:tcPr>
            <w:tcW w:w="7087" w:type="dxa"/>
            <w:gridSpan w:val="4"/>
            <w:tcBorders>
              <w:top w:val="nil"/>
              <w:bottom w:val="single" w:sz="8" w:space="0" w:color="auto"/>
            </w:tcBorders>
          </w:tcPr>
          <w:p>
            <w:pPr>
              <w:pStyle w:val="nTable"/>
              <w:spacing w:after="40"/>
              <w:rPr>
                <w:sz w:val="19"/>
              </w:rPr>
            </w:pPr>
            <w:r>
              <w:rPr>
                <w:b/>
                <w:bCs/>
                <w:sz w:val="19"/>
              </w:rPr>
              <w:t xml:space="preserve">Reprint 1: The </w:t>
            </w:r>
            <w:r>
              <w:rPr>
                <w:b/>
                <w:bCs/>
                <w:i/>
                <w:sz w:val="19"/>
              </w:rPr>
              <w:t>West Australian Trustees Limited (Merger) Act 1989</w:t>
            </w:r>
            <w:r>
              <w:rPr>
                <w:b/>
                <w:bCs/>
                <w:sz w:val="19"/>
              </w:rPr>
              <w:t xml:space="preserve"> as at 16 Nov 2007</w:t>
            </w:r>
          </w:p>
        </w:tc>
      </w:tr>
    </w:tbl>
    <w:p>
      <w:pPr>
        <w:pStyle w:val="nSubsection"/>
        <w:tabs>
          <w:tab w:val="clear" w:pos="454"/>
          <w:tab w:val="left" w:pos="567"/>
        </w:tabs>
        <w:spacing w:before="120"/>
        <w:ind w:left="567" w:hanging="567"/>
        <w:rPr>
          <w:ins w:id="75" w:author="svcMRProcess" w:date="2015-11-12T21:58:00Z"/>
          <w:snapToGrid w:val="0"/>
        </w:rPr>
      </w:pPr>
      <w:ins w:id="76" w:author="svcMRProcess" w:date="2015-11-12T21: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 w:author="svcMRProcess" w:date="2015-11-12T21:58:00Z"/>
        </w:rPr>
      </w:pPr>
      <w:bookmarkStart w:id="78" w:name="_Toc7405065"/>
      <w:ins w:id="79" w:author="svcMRProcess" w:date="2015-11-12T21:58:00Z">
        <w:r>
          <w:t>Provisions that have not come into operation</w:t>
        </w:r>
        <w:bookmarkEnd w:id="7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0" w:author="svcMRProcess" w:date="2015-11-12T21:58:00Z"/>
        </w:trPr>
        <w:tc>
          <w:tcPr>
            <w:tcW w:w="2266" w:type="dxa"/>
          </w:tcPr>
          <w:p>
            <w:pPr>
              <w:pStyle w:val="nTable"/>
              <w:spacing w:after="40"/>
              <w:rPr>
                <w:ins w:id="81" w:author="svcMRProcess" w:date="2015-11-12T21:58:00Z"/>
                <w:b/>
                <w:snapToGrid w:val="0"/>
                <w:sz w:val="19"/>
                <w:lang w:val="en-US"/>
              </w:rPr>
            </w:pPr>
            <w:ins w:id="82" w:author="svcMRProcess" w:date="2015-11-12T21:58:00Z">
              <w:r>
                <w:rPr>
                  <w:b/>
                  <w:snapToGrid w:val="0"/>
                  <w:sz w:val="19"/>
                  <w:lang w:val="en-US"/>
                </w:rPr>
                <w:t>Short title</w:t>
              </w:r>
            </w:ins>
          </w:p>
        </w:tc>
        <w:tc>
          <w:tcPr>
            <w:tcW w:w="1120" w:type="dxa"/>
          </w:tcPr>
          <w:p>
            <w:pPr>
              <w:pStyle w:val="nTable"/>
              <w:spacing w:after="40"/>
              <w:rPr>
                <w:ins w:id="83" w:author="svcMRProcess" w:date="2015-11-12T21:58:00Z"/>
                <w:b/>
                <w:snapToGrid w:val="0"/>
                <w:sz w:val="19"/>
                <w:lang w:val="en-US"/>
              </w:rPr>
            </w:pPr>
            <w:ins w:id="84" w:author="svcMRProcess" w:date="2015-11-12T21:58:00Z">
              <w:r>
                <w:rPr>
                  <w:b/>
                  <w:snapToGrid w:val="0"/>
                  <w:sz w:val="19"/>
                  <w:lang w:val="en-US"/>
                </w:rPr>
                <w:t>Number and year</w:t>
              </w:r>
            </w:ins>
          </w:p>
        </w:tc>
        <w:tc>
          <w:tcPr>
            <w:tcW w:w="1135" w:type="dxa"/>
          </w:tcPr>
          <w:p>
            <w:pPr>
              <w:pStyle w:val="nTable"/>
              <w:spacing w:after="40"/>
              <w:rPr>
                <w:ins w:id="85" w:author="svcMRProcess" w:date="2015-11-12T21:58:00Z"/>
                <w:b/>
                <w:snapToGrid w:val="0"/>
                <w:sz w:val="19"/>
                <w:lang w:val="en-US"/>
              </w:rPr>
            </w:pPr>
            <w:ins w:id="86" w:author="svcMRProcess" w:date="2015-11-12T21:58:00Z">
              <w:r>
                <w:rPr>
                  <w:b/>
                  <w:snapToGrid w:val="0"/>
                  <w:sz w:val="19"/>
                  <w:lang w:val="en-US"/>
                </w:rPr>
                <w:t>Assent</w:t>
              </w:r>
            </w:ins>
          </w:p>
        </w:tc>
        <w:tc>
          <w:tcPr>
            <w:tcW w:w="2534" w:type="dxa"/>
          </w:tcPr>
          <w:p>
            <w:pPr>
              <w:pStyle w:val="nTable"/>
              <w:spacing w:after="40"/>
              <w:rPr>
                <w:ins w:id="87" w:author="svcMRProcess" w:date="2015-11-12T21:58:00Z"/>
                <w:b/>
                <w:snapToGrid w:val="0"/>
                <w:sz w:val="19"/>
                <w:lang w:val="en-US"/>
              </w:rPr>
            </w:pPr>
            <w:ins w:id="88" w:author="svcMRProcess" w:date="2015-11-12T21:58:00Z">
              <w:r>
                <w:rPr>
                  <w:b/>
                  <w:snapToGrid w:val="0"/>
                  <w:sz w:val="19"/>
                  <w:lang w:val="en-US"/>
                </w:rPr>
                <w:t>Commencement</w:t>
              </w:r>
            </w:ins>
          </w:p>
        </w:tc>
      </w:tr>
      <w:tr>
        <w:tblPrEx>
          <w:tblCellMar>
            <w:left w:w="56" w:type="dxa"/>
            <w:right w:w="56" w:type="dxa"/>
          </w:tblCellMar>
        </w:tblPrEx>
        <w:trPr>
          <w:cantSplit/>
          <w:ins w:id="89" w:author="svcMRProcess" w:date="2015-11-12T21:58:00Z"/>
        </w:trPr>
        <w:tc>
          <w:tcPr>
            <w:tcW w:w="2266" w:type="dxa"/>
          </w:tcPr>
          <w:p>
            <w:pPr>
              <w:pStyle w:val="nTable"/>
              <w:spacing w:after="40"/>
              <w:ind w:right="113"/>
              <w:rPr>
                <w:ins w:id="90" w:author="svcMRProcess" w:date="2015-11-12T21:58:00Z"/>
                <w:iCs/>
                <w:snapToGrid w:val="0"/>
                <w:sz w:val="19"/>
                <w:lang w:val="en-US"/>
              </w:rPr>
            </w:pPr>
            <w:ins w:id="91" w:author="svcMRProcess" w:date="2015-11-12T21:58: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4</w:t>
              </w:r>
            </w:ins>
          </w:p>
        </w:tc>
        <w:tc>
          <w:tcPr>
            <w:tcW w:w="1120" w:type="dxa"/>
          </w:tcPr>
          <w:p>
            <w:pPr>
              <w:pStyle w:val="nTable"/>
              <w:spacing w:after="40"/>
              <w:rPr>
                <w:ins w:id="92" w:author="svcMRProcess" w:date="2015-11-12T21:58:00Z"/>
                <w:snapToGrid w:val="0"/>
                <w:sz w:val="19"/>
                <w:lang w:val="en-US"/>
              </w:rPr>
            </w:pPr>
            <w:ins w:id="93" w:author="svcMRProcess" w:date="2015-11-12T21:58:00Z">
              <w:r>
                <w:rPr>
                  <w:snapToGrid w:val="0"/>
                  <w:sz w:val="19"/>
                  <w:lang w:val="en-US"/>
                </w:rPr>
                <w:t>19 of 2010</w:t>
              </w:r>
            </w:ins>
          </w:p>
        </w:tc>
        <w:tc>
          <w:tcPr>
            <w:tcW w:w="1135" w:type="dxa"/>
          </w:tcPr>
          <w:p>
            <w:pPr>
              <w:pStyle w:val="nTable"/>
              <w:spacing w:after="40"/>
              <w:rPr>
                <w:ins w:id="94" w:author="svcMRProcess" w:date="2015-11-12T21:58:00Z"/>
                <w:snapToGrid w:val="0"/>
                <w:sz w:val="19"/>
                <w:lang w:val="en-US"/>
              </w:rPr>
            </w:pPr>
            <w:ins w:id="95" w:author="svcMRProcess" w:date="2015-11-12T21:58:00Z">
              <w:r>
                <w:rPr>
                  <w:snapToGrid w:val="0"/>
                  <w:sz w:val="19"/>
                  <w:lang w:val="en-US"/>
                </w:rPr>
                <w:t>28 Jun 2010</w:t>
              </w:r>
            </w:ins>
          </w:p>
        </w:tc>
        <w:tc>
          <w:tcPr>
            <w:tcW w:w="2534" w:type="dxa"/>
          </w:tcPr>
          <w:p>
            <w:pPr>
              <w:pStyle w:val="nTable"/>
              <w:spacing w:after="40"/>
              <w:rPr>
                <w:ins w:id="96" w:author="svcMRProcess" w:date="2015-11-12T21:58:00Z"/>
                <w:snapToGrid w:val="0"/>
                <w:sz w:val="19"/>
                <w:lang w:val="en-US"/>
              </w:rPr>
            </w:pPr>
            <w:ins w:id="97" w:author="svcMRProcess" w:date="2015-11-12T21:58:00Z">
              <w:r>
                <w:rPr>
                  <w:snapToGrid w:val="0"/>
                  <w:sz w:val="19"/>
                  <w:lang w:val="en-US"/>
                </w:rPr>
                <w:t>To be proclaimed (see s. 2(b))</w:t>
              </w:r>
            </w:ins>
          </w:p>
        </w:tc>
      </w:tr>
    </w:tbl>
    <w:p>
      <w:pPr>
        <w:pStyle w:val="nSubsection"/>
        <w:spacing w:before="160"/>
        <w:ind w:left="425" w:hanging="425"/>
        <w:rPr>
          <w:i/>
          <w:iCs/>
          <w:lang w:val="en-US"/>
        </w:rPr>
      </w:pPr>
      <w:r>
        <w:rPr>
          <w:vertAlign w:val="superscript"/>
          <w:lang w:val="en-US"/>
        </w:rPr>
        <w:t>2</w:t>
      </w:r>
      <w:r>
        <w:rPr>
          <w:i/>
          <w:iCs/>
          <w:lang w:val="en-US"/>
        </w:rPr>
        <w:tab/>
      </w:r>
      <w:r>
        <w:rPr>
          <w:lang w:val="en-US"/>
        </w:rPr>
        <w:t>The provision of this Act amending that Act has been omitted under the</w:t>
      </w:r>
      <w:r>
        <w:rPr>
          <w:i/>
          <w:iCs/>
          <w:lang w:val="en-US"/>
        </w:rPr>
        <w:t xml:space="preserve"> Reprints Act 1984 </w:t>
      </w:r>
      <w:r>
        <w:rPr>
          <w:lang w:val="en-US"/>
        </w:rPr>
        <w:t>s. 7(4)(e).</w:t>
      </w:r>
    </w:p>
    <w:p>
      <w:pPr>
        <w:pStyle w:val="nSubsection"/>
        <w:ind w:left="426" w:hanging="426"/>
        <w:rPr>
          <w:i/>
          <w:snapToGrid w:val="0"/>
        </w:rPr>
      </w:pPr>
      <w:r>
        <w:rPr>
          <w:vertAlign w:val="superscript"/>
          <w:lang w:val="en-US"/>
        </w:rPr>
        <w:t>3</w:t>
      </w:r>
      <w:r>
        <w:rPr>
          <w:i/>
          <w:iCs/>
          <w:lang w:val="en-US"/>
        </w:rPr>
        <w:tab/>
      </w:r>
      <w:r>
        <w:rPr>
          <w:lang w:val="en-US"/>
        </w:rPr>
        <w:t xml:space="preserve">Repealed by the </w:t>
      </w:r>
      <w:r>
        <w:rPr>
          <w:i/>
          <w:iCs/>
          <w:lang w:val="en-US"/>
        </w:rPr>
        <w:t>Trustee Companies Act 1987</w:t>
      </w:r>
      <w:r>
        <w:rPr>
          <w:lang w:val="en-US"/>
        </w:rPr>
        <w:t xml:space="preserve"> s. 46(1).</w:t>
      </w:r>
    </w:p>
    <w:p>
      <w:pPr>
        <w:pStyle w:val="nSubsection"/>
        <w:keepNext/>
        <w:keepLines/>
        <w:rPr>
          <w:ins w:id="98" w:author="svcMRProcess" w:date="2015-11-12T21:58:00Z"/>
          <w:snapToGrid w:val="0"/>
        </w:rPr>
      </w:pPr>
      <w:ins w:id="99" w:author="svcMRProcess" w:date="2015-11-12T21:5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00" w:author="svcMRProcess" w:date="2015-11-12T21:58:00Z"/>
          <w:snapToGrid w:val="0"/>
        </w:rPr>
      </w:pPr>
    </w:p>
    <w:p>
      <w:pPr>
        <w:pStyle w:val="nzHeading5"/>
        <w:rPr>
          <w:ins w:id="101" w:author="svcMRProcess" w:date="2015-11-12T21:58:00Z"/>
          <w:rFonts w:eastAsia="MS Mincho"/>
        </w:rPr>
      </w:pPr>
      <w:bookmarkStart w:id="102" w:name="_Toc233107675"/>
      <w:bookmarkStart w:id="103" w:name="_Toc255473698"/>
      <w:bookmarkStart w:id="104" w:name="_Toc265583753"/>
      <w:bookmarkStart w:id="105" w:name="_Toc267907333"/>
      <w:ins w:id="106" w:author="svcMRProcess" w:date="2015-11-12T21:58:00Z">
        <w:r>
          <w:rPr>
            <w:rStyle w:val="CharSectno"/>
            <w:rFonts w:eastAsia="MS Mincho"/>
          </w:rPr>
          <w:t>4</w:t>
        </w:r>
        <w:r>
          <w:rPr>
            <w:rFonts w:eastAsia="MS Mincho"/>
          </w:rPr>
          <w:t>.</w:t>
        </w:r>
        <w:r>
          <w:rPr>
            <w:rFonts w:eastAsia="MS Mincho"/>
          </w:rPr>
          <w:tab/>
          <w:t>Schedule headings reformatted</w:t>
        </w:r>
        <w:bookmarkEnd w:id="102"/>
        <w:bookmarkEnd w:id="103"/>
        <w:bookmarkEnd w:id="104"/>
        <w:bookmarkEnd w:id="105"/>
      </w:ins>
    </w:p>
    <w:p>
      <w:pPr>
        <w:pStyle w:val="nzSubsection"/>
        <w:rPr>
          <w:ins w:id="107" w:author="svcMRProcess" w:date="2015-11-12T21:58:00Z"/>
          <w:rFonts w:eastAsia="MS Mincho"/>
        </w:rPr>
      </w:pPr>
      <w:ins w:id="108" w:author="svcMRProcess" w:date="2015-11-12T21:58:00Z">
        <w:r>
          <w:rPr>
            <w:rFonts w:eastAsia="MS Mincho"/>
          </w:rPr>
          <w:tab/>
          <w:t>(1)</w:t>
        </w:r>
        <w:r>
          <w:rPr>
            <w:rFonts w:eastAsia="MS Mincho"/>
          </w:rPr>
          <w:tab/>
          <w:t>This section amends the Acts listed in the Table.</w:t>
        </w:r>
      </w:ins>
    </w:p>
    <w:p>
      <w:pPr>
        <w:pStyle w:val="nzSubsection"/>
        <w:rPr>
          <w:ins w:id="109" w:author="svcMRProcess" w:date="2015-11-12T21:58:00Z"/>
        </w:rPr>
      </w:pPr>
      <w:ins w:id="110" w:author="svcMRProcess" w:date="2015-11-12T21:58:00Z">
        <w:r>
          <w:rPr>
            <w:rFonts w:eastAsia="MS Mincho"/>
          </w:rPr>
          <w:tab/>
          <w:t>(2)</w:t>
        </w:r>
        <w:r>
          <w:rPr>
            <w:rFonts w:eastAsia="MS Mincho"/>
          </w:rPr>
          <w:tab/>
          <w:t>In each Schedule listed in the Table:</w:t>
        </w:r>
      </w:ins>
    </w:p>
    <w:p>
      <w:pPr>
        <w:pStyle w:val="nzIndenta"/>
        <w:rPr>
          <w:ins w:id="111" w:author="svcMRProcess" w:date="2015-11-12T21:58:00Z"/>
        </w:rPr>
      </w:pPr>
      <w:ins w:id="112" w:author="svcMRProcess" w:date="2015-11-12T21:58:00Z">
        <w:r>
          <w:tab/>
          <w:t>(a)</w:t>
        </w:r>
        <w:r>
          <w:tab/>
          <w:t>if there is a title set out in the Table for the Schedule — after the identifier for the Schedule insert that title;</w:t>
        </w:r>
      </w:ins>
    </w:p>
    <w:p>
      <w:pPr>
        <w:pStyle w:val="nzIndenta"/>
        <w:rPr>
          <w:ins w:id="113" w:author="svcMRProcess" w:date="2015-11-12T21:58:00Z"/>
        </w:rPr>
      </w:pPr>
      <w:ins w:id="114" w:author="svcMRProcess" w:date="2015-11-12T21:58:00Z">
        <w:r>
          <w:tab/>
          <w:t>(b)</w:t>
        </w:r>
        <w:r>
          <w:tab/>
          <w:t>if there is a shoulder note set out in the Table for the Schedule — at the end of the heading to the Schedule insert that shoulder note;</w:t>
        </w:r>
      </w:ins>
    </w:p>
    <w:p>
      <w:pPr>
        <w:pStyle w:val="nzIndenta"/>
        <w:rPr>
          <w:ins w:id="115" w:author="svcMRProcess" w:date="2015-11-12T21:58:00Z"/>
        </w:rPr>
      </w:pPr>
      <w:ins w:id="116" w:author="svcMRProcess" w:date="2015-11-12T21:58:00Z">
        <w:r>
          <w:tab/>
          <w:t>(c)</w:t>
        </w:r>
        <w:r>
          <w:tab/>
          <w:t>reformat the heading to the Schedule, as amended by paragraphs (a) and (b) if applicable, so that it is in the current format.</w:t>
        </w:r>
      </w:ins>
    </w:p>
    <w:p>
      <w:pPr>
        <w:pStyle w:val="nzMiscellaneousHeading"/>
        <w:rPr>
          <w:ins w:id="117" w:author="svcMRProcess" w:date="2015-11-12T21:58:00Z"/>
        </w:rPr>
      </w:pPr>
      <w:ins w:id="118" w:author="svcMRProcess" w:date="2015-11-12T21:58: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9" w:author="svcMRProcess" w:date="2015-11-12T21: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0" w:author="svcMRProcess" w:date="2015-11-12T21:58:00Z"/>
                <w:rFonts w:eastAsia="MS Mincho"/>
                <w:b/>
                <w:bCs/>
                <w:sz w:val="18"/>
              </w:rPr>
            </w:pPr>
            <w:ins w:id="121" w:author="svcMRProcess" w:date="2015-11-12T21:5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2" w:author="svcMRProcess" w:date="2015-11-12T21:58:00Z"/>
                <w:b/>
                <w:bCs/>
                <w:sz w:val="18"/>
              </w:rPr>
            </w:pPr>
            <w:ins w:id="123" w:author="svcMRProcess" w:date="2015-11-12T21:5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4" w:author="svcMRProcess" w:date="2015-11-12T21:58:00Z"/>
                <w:b/>
                <w:bCs/>
                <w:sz w:val="18"/>
              </w:rPr>
            </w:pPr>
            <w:ins w:id="125" w:author="svcMRProcess" w:date="2015-11-12T21:5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6" w:author="svcMRProcess" w:date="2015-11-12T21:58:00Z"/>
                <w:b/>
                <w:bCs/>
                <w:sz w:val="18"/>
              </w:rPr>
            </w:pPr>
            <w:ins w:id="127" w:author="svcMRProcess" w:date="2015-11-12T21:58:00Z">
              <w:r>
                <w:rPr>
                  <w:b/>
                  <w:bCs/>
                  <w:sz w:val="18"/>
                </w:rPr>
                <w:t>Shoulder note</w:t>
              </w:r>
            </w:ins>
          </w:p>
        </w:tc>
      </w:tr>
      <w:tr>
        <w:trPr>
          <w:ins w:id="128" w:author="svcMRProcess" w:date="2015-11-12T21: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29" w:author="svcMRProcess" w:date="2015-11-12T21:58:00Z"/>
                <w:i/>
                <w:iCs/>
                <w:sz w:val="18"/>
              </w:rPr>
            </w:pPr>
            <w:ins w:id="130" w:author="svcMRProcess" w:date="2015-11-12T21:58:00Z">
              <w:r>
                <w:rPr>
                  <w:rFonts w:eastAsia="MS Mincho"/>
                  <w:i/>
                  <w:iCs/>
                  <w:sz w:val="18"/>
                </w:rPr>
                <w:t>West Australian Trustees Limited (Merger) Act 1989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1" w:author="svcMRProcess" w:date="2015-11-12T21:58:00Z"/>
                <w:sz w:val="18"/>
              </w:rPr>
            </w:pPr>
            <w:ins w:id="132" w:author="svcMRProcess" w:date="2015-11-12T21:58: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3" w:author="svcMRProcess" w:date="2015-11-12T21:58:00Z"/>
                <w:sz w:val="18"/>
              </w:rPr>
            </w:pPr>
            <w:ins w:id="134" w:author="svcMRProcess" w:date="2015-11-12T21:58:00Z">
              <w:r>
                <w:rPr>
                  <w:rFonts w:eastAsia="MS Mincho"/>
                  <w:sz w:val="18"/>
                </w:rPr>
                <w:t>Excluded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5" w:author="svcMRProcess" w:date="2015-11-12T21:58:00Z"/>
                <w:sz w:val="18"/>
              </w:rPr>
            </w:pPr>
          </w:p>
        </w:tc>
      </w:tr>
    </w:tbl>
    <w:p>
      <w:pPr>
        <w:pStyle w:val="BlankClose"/>
        <w:rPr>
          <w:ins w:id="136" w:author="svcMRProcess" w:date="2015-11-12T21:58: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 Australian Trustees Limited (Merger) Act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 Australian Trustees Limited (Merger) Act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 Australian Trustees Limited (Merger) Act 1989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Australian Trustees Limited (Merger)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 Australian Trustees Limited (Merger)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Australian Trustees Limited (Merger)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 Australian Trustees Limited (Merger) Act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 Australian Trustees Limited (Merger)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 Australian Trustees Limited (Merger)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31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DAA93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A009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F48F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AC7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287F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24C26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92B1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7C8810"/>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6BB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04027B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4078</Words>
  <Characters>20272</Characters>
  <Application>Microsoft Office Word</Application>
  <DocSecurity>0</DocSecurity>
  <Lines>519</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01-a0-04 - 01-b0-01</dc:title>
  <dc:subject/>
  <dc:creator/>
  <cp:keywords/>
  <dc:description/>
  <cp:lastModifiedBy>svcMRProcess</cp:lastModifiedBy>
  <cp:revision>2</cp:revision>
  <cp:lastPrinted>2007-11-12T06:10:00Z</cp:lastPrinted>
  <dcterms:created xsi:type="dcterms:W3CDTF">2015-11-12T13:58:00Z</dcterms:created>
  <dcterms:modified xsi:type="dcterms:W3CDTF">2015-11-12T13:58:00Z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2007-11-15T15:00:00Z</vt:filetime>
  </property>
  <property fmtid="{D5CDD505-2E9C-101B-9397-08002B2CF9AE}" pid="6" name="ReprintNo">
    <vt:lpwstr>1</vt:lpwstr>
  </property>
  <property fmtid="{D5CDD505-2E9C-101B-9397-08002B2CF9AE}" pid="7" name="FromSuffix">
    <vt:lpwstr>01-a0-04</vt:lpwstr>
  </property>
  <property fmtid="{D5CDD505-2E9C-101B-9397-08002B2CF9AE}" pid="8" name="FromAsAtDate">
    <vt:lpwstr>16 Nov 2007</vt:lpwstr>
  </property>
  <property fmtid="{D5CDD505-2E9C-101B-9397-08002B2CF9AE}" pid="9" name="ToSuffix">
    <vt:lpwstr>01-b0-01</vt:lpwstr>
  </property>
  <property fmtid="{D5CDD505-2E9C-101B-9397-08002B2CF9AE}" pid="10" name="ToAsAtDate">
    <vt:lpwstr>28 Jun 2010</vt:lpwstr>
  </property>
</Properties>
</file>