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Retirement Villages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13 Dec 2006</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00" w:after="800"/>
      </w:pPr>
      <w:r>
        <w:t xml:space="preserve">Retirement Villages Act 1992 </w:t>
      </w:r>
    </w:p>
    <w:p>
      <w:pPr>
        <w:pStyle w:val="LongTitle"/>
        <w:rPr>
          <w:snapToGrid w:val="0"/>
        </w:rPr>
      </w:pPr>
      <w:r>
        <w:rPr>
          <w:snapToGrid w:val="0"/>
        </w:rPr>
        <w:t>A</w:t>
      </w:r>
      <w:bookmarkStart w:id="0" w:name="_GoBack"/>
      <w:bookmarkEnd w:id="0"/>
      <w:r>
        <w:rPr>
          <w:snapToGrid w:val="0"/>
        </w:rPr>
        <w:t xml:space="preserve">n Act to regulate retirement villages and the rights of residents in such villages and for related purposes. </w:t>
      </w:r>
    </w:p>
    <w:p>
      <w:pPr>
        <w:pStyle w:val="Heading2"/>
      </w:pPr>
      <w:bookmarkStart w:id="1" w:name="_Toc89597678"/>
      <w:bookmarkStart w:id="2" w:name="_Toc89775276"/>
      <w:bookmarkStart w:id="3" w:name="_Toc89775381"/>
      <w:bookmarkStart w:id="4" w:name="_Toc92703527"/>
      <w:bookmarkStart w:id="5" w:name="_Toc98119548"/>
      <w:bookmarkStart w:id="6" w:name="_Toc98122973"/>
      <w:bookmarkStart w:id="7" w:name="_Toc98730292"/>
      <w:bookmarkStart w:id="8" w:name="_Toc98902487"/>
      <w:bookmarkStart w:id="9" w:name="_Toc100025750"/>
      <w:bookmarkStart w:id="10" w:name="_Toc101768371"/>
      <w:bookmarkStart w:id="11" w:name="_Toc125268503"/>
      <w:bookmarkStart w:id="12" w:name="_Toc139364482"/>
      <w:bookmarkStart w:id="13" w:name="_Toc139689002"/>
      <w:bookmarkStart w:id="14" w:name="_Toc13968908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507478752"/>
      <w:bookmarkStart w:id="16" w:name="_Toc101768372"/>
      <w:bookmarkStart w:id="17" w:name="_Toc125268504"/>
      <w:bookmarkStart w:id="18" w:name="_Toc139689081"/>
      <w:r>
        <w:rPr>
          <w:rStyle w:val="CharSectno"/>
        </w:rPr>
        <w:t>1</w:t>
      </w:r>
      <w:r>
        <w:rPr>
          <w:snapToGrid w:val="0"/>
        </w:rPr>
        <w:t>.</w:t>
      </w:r>
      <w:r>
        <w:rPr>
          <w:snapToGrid w:val="0"/>
        </w:rPr>
        <w:tab/>
        <w:t>Short title</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rPr>
          <w:snapToGrid w:val="0"/>
        </w:rPr>
      </w:pPr>
      <w:bookmarkStart w:id="19" w:name="_Toc507478753"/>
      <w:bookmarkStart w:id="20" w:name="_Toc101768373"/>
      <w:bookmarkStart w:id="21" w:name="_Toc125268505"/>
      <w:bookmarkStart w:id="22" w:name="_Toc139689082"/>
      <w:r>
        <w:rPr>
          <w:rStyle w:val="CharSectno"/>
        </w:rPr>
        <w:t>2</w:t>
      </w:r>
      <w:r>
        <w:rPr>
          <w:snapToGrid w:val="0"/>
        </w:rPr>
        <w:t>.</w:t>
      </w:r>
      <w:r>
        <w:rPr>
          <w:snapToGrid w:val="0"/>
        </w:rPr>
        <w:tab/>
        <w:t>Commencement</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rPr>
          <w:snapToGrid w:val="0"/>
        </w:rPr>
      </w:pPr>
      <w:bookmarkStart w:id="23" w:name="_Toc507478754"/>
      <w:bookmarkStart w:id="24" w:name="_Toc101768374"/>
      <w:bookmarkStart w:id="25" w:name="_Toc125268506"/>
      <w:bookmarkStart w:id="26" w:name="_Toc139689083"/>
      <w:r>
        <w:rPr>
          <w:rStyle w:val="CharSectno"/>
        </w:rPr>
        <w:t>3</w:t>
      </w:r>
      <w:r>
        <w:rPr>
          <w:snapToGrid w:val="0"/>
        </w:rPr>
        <w:t>.</w:t>
      </w:r>
      <w:r>
        <w:rPr>
          <w:snapToGrid w:val="0"/>
        </w:rPr>
        <w:tab/>
        <w:t>Interpretation</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administering body</w:t>
      </w:r>
      <w:r>
        <w:rPr>
          <w:b/>
        </w:rPr>
        <w:t>”</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t>“</w:t>
      </w:r>
      <w:r>
        <w:rPr>
          <w:rStyle w:val="CharDefText"/>
        </w:rPr>
        <w:t>code</w:t>
      </w:r>
      <w:r>
        <w:rPr>
          <w:b/>
        </w:rPr>
        <w:t>”</w:t>
      </w:r>
      <w:r>
        <w:t xml:space="preserve"> means any code of practice prescribed under the </w:t>
      </w:r>
      <w:r>
        <w:rPr>
          <w:i/>
        </w:rPr>
        <w:t>Fair Trading Act 1987</w:t>
      </w:r>
      <w:r>
        <w:t xml:space="preserve"> which relates to retirement villages;</w:t>
      </w:r>
    </w:p>
    <w:p>
      <w:pPr>
        <w:pStyle w:val="Defstart"/>
      </w:pPr>
      <w:r>
        <w:tab/>
      </w:r>
      <w:r>
        <w:rPr>
          <w:b/>
        </w:rPr>
        <w:t>“</w:t>
      </w:r>
      <w:r>
        <w:rPr>
          <w:rStyle w:val="CharDefText"/>
        </w:rPr>
        <w:t>Commissioner</w:t>
      </w:r>
      <w:r>
        <w:rPr>
          <w:b/>
        </w:rPr>
        <w:t>”</w:t>
      </w:r>
      <w:r>
        <w:t xml:space="preserve"> means the person for the time being designated as the Commissioner under section 7A;</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owner</w:t>
      </w:r>
      <w:r>
        <w:rPr>
          <w:b/>
        </w:rPr>
        <w:t>”</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t>“</w:t>
      </w:r>
      <w:r>
        <w:rPr>
          <w:rStyle w:val="CharDefText"/>
        </w:rPr>
        <w:t>premium</w:t>
      </w:r>
      <w:r>
        <w:rPr>
          <w:b/>
        </w:rPr>
        <w:t>”</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w:t>
      </w:r>
      <w:r>
        <w:lastRenderedPageBreak/>
        <w:t>conferring a right to occupy any such residential premises) but does not include — </w:t>
      </w:r>
    </w:p>
    <w:p>
      <w:pPr>
        <w:pStyle w:val="Defpara"/>
      </w:pPr>
      <w:r>
        <w:tab/>
        <w:t>(a)</w:t>
      </w:r>
      <w:r>
        <w:tab/>
        <w:t>any such payment excluded by regulation from the ambit of this definition; or</w:t>
      </w:r>
    </w:p>
    <w:p>
      <w:pPr>
        <w:pStyle w:val="Defpara"/>
      </w:pPr>
      <w:r>
        <w:tab/>
        <w:t>(b)</w:t>
      </w:r>
      <w:r>
        <w:tab/>
        <w:t>recurrent charges;</w:t>
      </w:r>
    </w:p>
    <w:p>
      <w:pPr>
        <w:pStyle w:val="Defstart"/>
      </w:pPr>
      <w:r>
        <w:rPr>
          <w:b/>
        </w:rPr>
        <w:tab/>
        <w:t>“</w:t>
      </w:r>
      <w:r>
        <w:rPr>
          <w:rStyle w:val="CharDefText"/>
        </w:rPr>
        <w:t>recurrent charge</w:t>
      </w:r>
      <w:r>
        <w:rPr>
          <w:b/>
        </w:rPr>
        <w:t>”</w:t>
      </w:r>
      <w:r>
        <w:t xml:space="preserve"> means any amount (including rent) payable by a resident to the administering body of a retirement village on a recurrent basis;</w:t>
      </w:r>
    </w:p>
    <w:p>
      <w:pPr>
        <w:pStyle w:val="Defstart"/>
      </w:pPr>
      <w:r>
        <w:rPr>
          <w:b/>
        </w:rPr>
        <w:tab/>
        <w:t>“</w:t>
      </w:r>
      <w:r>
        <w:rPr>
          <w:rStyle w:val="CharDefText"/>
        </w:rPr>
        <w:t>Registrar of Titles</w:t>
      </w:r>
      <w:r>
        <w:rPr>
          <w:b/>
        </w:rPr>
        <w:t>”</w:t>
      </w:r>
      <w:r>
        <w:t xml:space="preserve"> has the meaning given to that expression by the </w:t>
      </w:r>
      <w:r>
        <w:rPr>
          <w:i/>
        </w:rPr>
        <w:t>Transfer of Land Act 1893</w:t>
      </w:r>
      <w:r>
        <w:t>;</w:t>
      </w:r>
    </w:p>
    <w:p>
      <w:pPr>
        <w:pStyle w:val="Defstart"/>
      </w:pPr>
      <w:r>
        <w:rPr>
          <w:b/>
        </w:rPr>
        <w:tab/>
        <w:t>“</w:t>
      </w:r>
      <w:r>
        <w:rPr>
          <w:rStyle w:val="CharDefText"/>
        </w:rPr>
        <w:t>residence contract</w:t>
      </w:r>
      <w:r>
        <w:rPr>
          <w:b/>
        </w:rPr>
        <w: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t>“</w:t>
      </w:r>
      <w:r>
        <w:rPr>
          <w:rStyle w:val="CharDefText"/>
        </w:rPr>
        <w:t>residence rules</w:t>
      </w:r>
      <w:r>
        <w:rPr>
          <w:b/>
        </w:rPr>
        <w:t>”</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t>“</w:t>
      </w:r>
      <w:r>
        <w:rPr>
          <w:rStyle w:val="CharDefText"/>
        </w:rPr>
        <w:t>resident</w:t>
      </w:r>
      <w:r>
        <w:rPr>
          <w:b/>
        </w:rPr>
        <w:t>”</w:t>
      </w:r>
      <w:r>
        <w:t>, in relation to a retirement village, means a person who has been admitted to occupation of residential premises in accordance with a retirement village scheme and includes a spouse or de facto partner of such a person who —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t>“</w:t>
      </w:r>
      <w:r>
        <w:rPr>
          <w:rStyle w:val="CharDefText"/>
        </w:rPr>
        <w:t>residential premises</w:t>
      </w:r>
      <w:r>
        <w:rPr>
          <w:b/>
        </w:rPr>
        <w:t>”</w:t>
      </w:r>
      <w:r>
        <w:t xml:space="preserve"> means any premises or part of premises (including any land occupied with the premises) used or intended to be used as a place of residence and includes a hostel unit;</w:t>
      </w:r>
    </w:p>
    <w:p>
      <w:pPr>
        <w:pStyle w:val="Defstart"/>
      </w:pPr>
      <w:r>
        <w:rPr>
          <w:b/>
        </w:rPr>
        <w:tab/>
        <w:t>“</w:t>
      </w:r>
      <w:r>
        <w:rPr>
          <w:rStyle w:val="CharDefText"/>
        </w:rPr>
        <w:t>residential tenancy agreement</w:t>
      </w:r>
      <w:r>
        <w:rPr>
          <w:b/>
        </w:rPr>
        <w:t>”</w:t>
      </w:r>
      <w:r>
        <w:t xml:space="preserve"> has the same meaning as in the </w:t>
      </w:r>
      <w:r>
        <w:rPr>
          <w:i/>
        </w:rPr>
        <w:t>Residential Tenancies Act 1987</w:t>
      </w:r>
      <w:r>
        <w:t>;</w:t>
      </w:r>
    </w:p>
    <w:p>
      <w:pPr>
        <w:pStyle w:val="Defstart"/>
      </w:pPr>
      <w:r>
        <w:rPr>
          <w:b/>
        </w:rPr>
        <w:tab/>
        <w:t>“</w:t>
      </w:r>
      <w:r>
        <w:rPr>
          <w:rStyle w:val="CharDefText"/>
        </w:rPr>
        <w:t>retired person</w:t>
      </w:r>
      <w:r>
        <w:rPr>
          <w:b/>
        </w:rPr>
        <w:t>”</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t>“</w:t>
      </w:r>
      <w:r>
        <w:rPr>
          <w:rStyle w:val="CharDefText"/>
        </w:rPr>
        <w:t>retirement village</w:t>
      </w:r>
      <w:r>
        <w:rPr>
          <w:b/>
        </w:rPr>
        <w:t>”</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t>“</w:t>
      </w:r>
      <w:r>
        <w:rPr>
          <w:rStyle w:val="CharDefText"/>
        </w:rPr>
        <w:t>retirement village scheme</w:t>
      </w:r>
      <w:r>
        <w:rPr>
          <w:b/>
        </w:rPr>
        <w:t>”</w:t>
      </w:r>
      <w:r>
        <w:t xml:space="preserve"> or </w:t>
      </w:r>
      <w:r>
        <w:rPr>
          <w:b/>
        </w:rPr>
        <w:t>“</w:t>
      </w:r>
      <w:r>
        <w:rPr>
          <w:rStyle w:val="CharDefText"/>
        </w:rPr>
        <w:t>scheme</w:t>
      </w:r>
      <w:r>
        <w:rPr>
          <w:b/>
        </w:rPr>
        <w:t>”</w:t>
      </w:r>
      <w:r>
        <w:t xml:space="preserve"> means a scheme established for retired persons or predominantly for retired persons, under which —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t>“</w:t>
      </w:r>
      <w:r>
        <w:rPr>
          <w:rStyle w:val="CharDefText"/>
        </w:rPr>
        <w:t>service contract</w:t>
      </w:r>
      <w:r>
        <w:rPr>
          <w:b/>
        </w:rPr>
        <w:t>”</w:t>
      </w:r>
      <w:r>
        <w:t xml:space="preserve"> means a contract between an administering body or former administering body of a retirement village and a resident for the provision to the resident of —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r>
      <w:r>
        <w:tab/>
        <w:t>and any collateral agreement or document relating to the provision of any such service;</w:t>
      </w:r>
    </w:p>
    <w:p>
      <w:pPr>
        <w:pStyle w:val="Defstart"/>
      </w:pPr>
      <w:r>
        <w:rPr>
          <w:b/>
        </w:rPr>
        <w:tab/>
        <w:t>“</w:t>
      </w:r>
      <w:r>
        <w:rPr>
          <w:rStyle w:val="CharDefText"/>
        </w:rPr>
        <w:t>working day</w:t>
      </w:r>
      <w:r>
        <w:rPr>
          <w:b/>
        </w:rPr>
        <w:t>”</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[Section 3 amended by No. 57 of 1997 s. 39(10); No. 28 of 2003 s. 179; No. 55 of 2004 s. 1023; No. 28 of 2006 s. 139.]</w:t>
      </w:r>
    </w:p>
    <w:p>
      <w:pPr>
        <w:pStyle w:val="Heading5"/>
        <w:rPr>
          <w:snapToGrid w:val="0"/>
        </w:rPr>
      </w:pPr>
      <w:bookmarkStart w:id="27" w:name="_Toc507478755"/>
      <w:bookmarkStart w:id="28" w:name="_Toc101768375"/>
      <w:bookmarkStart w:id="29" w:name="_Toc125268507"/>
      <w:bookmarkStart w:id="30" w:name="_Toc139689084"/>
      <w:r>
        <w:rPr>
          <w:rStyle w:val="CharSectno"/>
        </w:rPr>
        <w:t>4</w:t>
      </w:r>
      <w:r>
        <w:rPr>
          <w:snapToGrid w:val="0"/>
        </w:rPr>
        <w:t>.</w:t>
      </w:r>
      <w:r>
        <w:rPr>
          <w:snapToGrid w:val="0"/>
        </w:rPr>
        <w:tab/>
        <w:t>Act binds the Crown</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31" w:name="_Toc507478756"/>
      <w:bookmarkStart w:id="32" w:name="_Toc101768376"/>
      <w:bookmarkStart w:id="33" w:name="_Toc125268508"/>
      <w:bookmarkStart w:id="34" w:name="_Toc139689085"/>
      <w:r>
        <w:rPr>
          <w:rStyle w:val="CharSectno"/>
        </w:rPr>
        <w:t>5</w:t>
      </w:r>
      <w:r>
        <w:rPr>
          <w:snapToGrid w:val="0"/>
        </w:rPr>
        <w:t>.</w:t>
      </w:r>
      <w:r>
        <w:rPr>
          <w:snapToGrid w:val="0"/>
        </w:rPr>
        <w:tab/>
        <w:t>Application of Act</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Except as otherwise provided by or under this Act, this Act applies to retirement villages established either before or after the commencement of this Act.</w:t>
      </w:r>
    </w:p>
    <w:p>
      <w:pPr>
        <w:pStyle w:val="Heading5"/>
        <w:keepLines w:val="0"/>
        <w:rPr>
          <w:snapToGrid w:val="0"/>
        </w:rPr>
      </w:pPr>
      <w:bookmarkStart w:id="35" w:name="_Toc507478757"/>
      <w:bookmarkStart w:id="36" w:name="_Toc101768377"/>
      <w:bookmarkStart w:id="37" w:name="_Toc125268509"/>
      <w:bookmarkStart w:id="38" w:name="_Toc139689086"/>
      <w:r>
        <w:rPr>
          <w:rStyle w:val="CharSectno"/>
        </w:rPr>
        <w:t>6</w:t>
      </w:r>
      <w:r>
        <w:rPr>
          <w:snapToGrid w:val="0"/>
        </w:rPr>
        <w:t>.</w:t>
      </w:r>
      <w:r>
        <w:rPr>
          <w:snapToGrid w:val="0"/>
        </w:rPr>
        <w:tab/>
        <w:t>Contracting out</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39" w:name="_Toc507478758"/>
      <w:bookmarkStart w:id="40" w:name="_Toc101768378"/>
      <w:bookmarkStart w:id="41" w:name="_Toc125268510"/>
      <w:bookmarkStart w:id="42" w:name="_Toc139689087"/>
      <w:r>
        <w:rPr>
          <w:rStyle w:val="CharSectno"/>
        </w:rPr>
        <w:t>7</w:t>
      </w:r>
      <w:r>
        <w:rPr>
          <w:snapToGrid w:val="0"/>
        </w:rPr>
        <w:t>.</w:t>
      </w:r>
      <w:r>
        <w:rPr>
          <w:snapToGrid w:val="0"/>
        </w:rPr>
        <w:tab/>
        <w:t>Effect of Act on other legislation</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43" w:name="_Toc89597686"/>
      <w:bookmarkStart w:id="44" w:name="_Toc89775284"/>
      <w:bookmarkStart w:id="45" w:name="_Toc89775389"/>
      <w:bookmarkStart w:id="46" w:name="_Toc92703535"/>
      <w:bookmarkStart w:id="47" w:name="_Toc98119556"/>
      <w:bookmarkStart w:id="48" w:name="_Toc98122981"/>
      <w:bookmarkStart w:id="49" w:name="_Toc98730300"/>
      <w:bookmarkStart w:id="50" w:name="_Toc98902495"/>
      <w:bookmarkStart w:id="51" w:name="_Toc100025758"/>
      <w:bookmarkStart w:id="52" w:name="_Toc101768379"/>
      <w:bookmarkStart w:id="53" w:name="_Toc125268511"/>
      <w:bookmarkStart w:id="54" w:name="_Toc139364490"/>
      <w:bookmarkStart w:id="55" w:name="_Toc139689010"/>
      <w:bookmarkStart w:id="56" w:name="_Toc139689088"/>
      <w:r>
        <w:rPr>
          <w:rStyle w:val="CharPartNo"/>
        </w:rPr>
        <w:t>Part 2</w:t>
      </w:r>
      <w:r>
        <w:rPr>
          <w:rStyle w:val="CharDivNo"/>
        </w:rPr>
        <w:t> </w:t>
      </w:r>
      <w:r>
        <w:t>—</w:t>
      </w:r>
      <w:r>
        <w:rPr>
          <w:rStyle w:val="CharDivText"/>
        </w:rPr>
        <w:t> </w:t>
      </w:r>
      <w:r>
        <w:rPr>
          <w:rStyle w:val="CharPartText"/>
        </w:rPr>
        <w:t>Administration</w:t>
      </w:r>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pPr>
      <w:bookmarkStart w:id="57" w:name="_Toc138750879"/>
      <w:bookmarkStart w:id="58" w:name="_Toc139166620"/>
      <w:bookmarkStart w:id="59" w:name="_Toc139266340"/>
      <w:bookmarkStart w:id="60" w:name="_Toc139689089"/>
      <w:bookmarkStart w:id="61" w:name="_Toc507478759"/>
      <w:bookmarkStart w:id="62" w:name="_Toc101768380"/>
      <w:bookmarkStart w:id="63" w:name="_Toc125268512"/>
      <w:r>
        <w:rPr>
          <w:rStyle w:val="CharSectno"/>
        </w:rPr>
        <w:t>7A</w:t>
      </w:r>
      <w:r>
        <w:t>.</w:t>
      </w:r>
      <w:r>
        <w:tab/>
        <w:t>Commissioner</w:t>
      </w:r>
      <w:bookmarkEnd w:id="57"/>
      <w:bookmarkEnd w:id="58"/>
      <w:bookmarkEnd w:id="59"/>
      <w:bookmarkEnd w:id="6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64" w:name="_Toc139689090"/>
      <w:r>
        <w:rPr>
          <w:rStyle w:val="CharSectno"/>
        </w:rPr>
        <w:t>8</w:t>
      </w:r>
      <w:r>
        <w:rPr>
          <w:snapToGrid w:val="0"/>
        </w:rPr>
        <w:t>.</w:t>
      </w:r>
      <w:r>
        <w:rPr>
          <w:snapToGrid w:val="0"/>
        </w:rPr>
        <w:tab/>
        <w:t xml:space="preserve">Functions of </w:t>
      </w:r>
      <w:bookmarkEnd w:id="61"/>
      <w:bookmarkEnd w:id="62"/>
      <w:bookmarkEnd w:id="63"/>
      <w:r>
        <w:rPr>
          <w:snapToGrid w:val="0"/>
        </w:rPr>
        <w:t>the Commissioner</w:t>
      </w:r>
      <w:bookmarkEnd w:id="64"/>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repealed]</w:t>
      </w:r>
    </w:p>
    <w:p>
      <w:pPr>
        <w:pStyle w:val="Footnotesection"/>
      </w:pPr>
      <w:r>
        <w:tab/>
        <w:t>[Section 8 amended by No. 57 of 1997 s. 104; No. 28 of 2006 s. 141.]</w:t>
      </w:r>
    </w:p>
    <w:p>
      <w:pPr>
        <w:pStyle w:val="Heading5"/>
        <w:keepNext w:val="0"/>
        <w:keepLines w:val="0"/>
        <w:rPr>
          <w:snapToGrid w:val="0"/>
        </w:rPr>
      </w:pPr>
      <w:bookmarkStart w:id="65" w:name="_Toc507478760"/>
      <w:bookmarkStart w:id="66" w:name="_Toc101768381"/>
      <w:bookmarkStart w:id="67" w:name="_Toc125268513"/>
      <w:bookmarkStart w:id="68" w:name="_Toc139689091"/>
      <w:r>
        <w:rPr>
          <w:rStyle w:val="CharSectno"/>
        </w:rPr>
        <w:t>9</w:t>
      </w:r>
      <w:r>
        <w:rPr>
          <w:snapToGrid w:val="0"/>
        </w:rPr>
        <w:t>.</w:t>
      </w:r>
      <w:r>
        <w:rPr>
          <w:snapToGrid w:val="0"/>
        </w:rPr>
        <w:tab/>
        <w:t>Commissioner may institute or defend proceedings for a party</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If a resident of a retirement village has made a complaint to the Commissioner and the Commissioner —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Fund.</w:t>
      </w:r>
    </w:p>
    <w:p>
      <w:pPr>
        <w:pStyle w:val="Subsection"/>
        <w:rPr>
          <w:snapToGrid w:val="0"/>
        </w:rPr>
      </w:pPr>
      <w:r>
        <w:rPr>
          <w:snapToGrid w:val="0"/>
        </w:rPr>
        <w:tab/>
        <w:t>(8)</w:t>
      </w:r>
      <w:r>
        <w:rPr>
          <w:snapToGrid w:val="0"/>
        </w:rPr>
        <w:tab/>
        <w:t xml:space="preserve">In this section </w:t>
      </w:r>
      <w:r>
        <w:rPr>
          <w:b/>
          <w:snapToGrid w:val="0"/>
        </w:rPr>
        <w:t>“</w:t>
      </w:r>
      <w:r>
        <w:rPr>
          <w:rStyle w:val="CharDefText"/>
        </w:rPr>
        <w:t>resident</w:t>
      </w:r>
      <w:r>
        <w:rPr>
          <w:b/>
          <w:snapToGrid w:val="0"/>
        </w:rPr>
        <w:t>”</w:t>
      </w:r>
      <w:r>
        <w:rPr>
          <w:snapToGrid w:val="0"/>
        </w:rPr>
        <w:t xml:space="preserve"> includes a prospective resident or former resident.</w:t>
      </w:r>
    </w:p>
    <w:p>
      <w:pPr>
        <w:pStyle w:val="Footnotesection"/>
      </w:pPr>
      <w:r>
        <w:tab/>
        <w:t>[Section 9 amended by No. 6 of 1993 s. 11; No. 49 of 1996 s. 64; No. 55 of 2004 s. 1044.]</w:t>
      </w:r>
    </w:p>
    <w:p>
      <w:pPr>
        <w:pStyle w:val="Heading5"/>
        <w:rPr>
          <w:snapToGrid w:val="0"/>
        </w:rPr>
      </w:pPr>
      <w:bookmarkStart w:id="69" w:name="_Toc507478761"/>
      <w:bookmarkStart w:id="70" w:name="_Toc101768382"/>
      <w:bookmarkStart w:id="71" w:name="_Toc125268514"/>
      <w:bookmarkStart w:id="72" w:name="_Toc139689092"/>
      <w:r>
        <w:rPr>
          <w:rStyle w:val="CharSectno"/>
        </w:rPr>
        <w:t>10</w:t>
      </w:r>
      <w:r>
        <w:rPr>
          <w:snapToGrid w:val="0"/>
        </w:rPr>
        <w:t>.</w:t>
      </w:r>
      <w:r>
        <w:rPr>
          <w:snapToGrid w:val="0"/>
        </w:rPr>
        <w:tab/>
        <w:t>Delegation by Commissioner</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73" w:name="_Toc507478762"/>
      <w:bookmarkStart w:id="74" w:name="_Toc101768383"/>
      <w:bookmarkStart w:id="75" w:name="_Toc125268515"/>
      <w:bookmarkStart w:id="76" w:name="_Toc139689093"/>
      <w:r>
        <w:rPr>
          <w:rStyle w:val="CharSectno"/>
        </w:rPr>
        <w:t>11</w:t>
      </w:r>
      <w:r>
        <w:rPr>
          <w:snapToGrid w:val="0"/>
        </w:rPr>
        <w:t>.</w:t>
      </w:r>
      <w:r>
        <w:rPr>
          <w:snapToGrid w:val="0"/>
        </w:rPr>
        <w:tab/>
        <w:t>Protection of officers</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77" w:name="_Toc138750882"/>
      <w:bookmarkStart w:id="78" w:name="_Toc139166623"/>
      <w:bookmarkStart w:id="79" w:name="_Toc139266343"/>
      <w:bookmarkStart w:id="80" w:name="_Toc139689094"/>
      <w:bookmarkStart w:id="81" w:name="_Toc507478763"/>
      <w:bookmarkStart w:id="82" w:name="_Toc101768384"/>
      <w:bookmarkStart w:id="83" w:name="_Toc125268516"/>
      <w:r>
        <w:rPr>
          <w:rStyle w:val="CharSectno"/>
        </w:rPr>
        <w:t>11A</w:t>
      </w:r>
      <w:r>
        <w:t>.</w:t>
      </w:r>
      <w:r>
        <w:tab/>
        <w:t>Information officially obtained to be confidential</w:t>
      </w:r>
      <w:bookmarkEnd w:id="77"/>
      <w:bookmarkEnd w:id="78"/>
      <w:bookmarkEnd w:id="79"/>
      <w:bookmarkEnd w:id="80"/>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84" w:name="_Toc138750883"/>
      <w:bookmarkStart w:id="85" w:name="_Toc139166624"/>
      <w:bookmarkStart w:id="86" w:name="_Toc139266344"/>
      <w:r>
        <w:tab/>
        <w:t>[Section 11A inserted by No. 28 of 2006 s. 142.]</w:t>
      </w:r>
    </w:p>
    <w:p>
      <w:pPr>
        <w:pStyle w:val="Heading5"/>
      </w:pPr>
      <w:bookmarkStart w:id="87" w:name="_Toc139689095"/>
      <w:r>
        <w:rPr>
          <w:rStyle w:val="CharSectno"/>
        </w:rPr>
        <w:t>11B</w:t>
      </w:r>
      <w:r>
        <w:t>.</w:t>
      </w:r>
      <w:r>
        <w:tab/>
        <w:t xml:space="preserve">Application of certain provisions of the </w:t>
      </w:r>
      <w:r>
        <w:rPr>
          <w:i/>
        </w:rPr>
        <w:t>Consumer Affairs Act 1971</w:t>
      </w:r>
      <w:bookmarkEnd w:id="84"/>
      <w:bookmarkEnd w:id="85"/>
      <w:bookmarkEnd w:id="86"/>
      <w:bookmarkEnd w:id="87"/>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142.]</w:t>
      </w:r>
    </w:p>
    <w:p>
      <w:pPr>
        <w:pStyle w:val="Heading5"/>
        <w:rPr>
          <w:snapToGrid w:val="0"/>
        </w:rPr>
      </w:pPr>
      <w:bookmarkStart w:id="88" w:name="_Toc139689096"/>
      <w:r>
        <w:rPr>
          <w:rStyle w:val="CharSectno"/>
        </w:rPr>
        <w:t>12</w:t>
      </w:r>
      <w:r>
        <w:rPr>
          <w:snapToGrid w:val="0"/>
        </w:rPr>
        <w:t>.</w:t>
      </w:r>
      <w:r>
        <w:rPr>
          <w:snapToGrid w:val="0"/>
        </w:rPr>
        <w:tab/>
        <w:t>Annual report</w:t>
      </w:r>
      <w:bookmarkEnd w:id="81"/>
      <w:bookmarkEnd w:id="82"/>
      <w:bookmarkEnd w:id="83"/>
      <w:bookmarkEnd w:id="88"/>
      <w:r>
        <w:rPr>
          <w:snapToGrid w:val="0"/>
        </w:rPr>
        <w:t xml:space="preserve"> </w:t>
      </w:r>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89" w:name="_Toc89597692"/>
      <w:bookmarkStart w:id="90" w:name="_Toc89775290"/>
      <w:bookmarkStart w:id="91" w:name="_Toc89775395"/>
      <w:bookmarkStart w:id="92" w:name="_Toc92703541"/>
      <w:bookmarkStart w:id="93" w:name="_Toc98119562"/>
      <w:bookmarkStart w:id="94" w:name="_Toc98122987"/>
      <w:bookmarkStart w:id="95" w:name="_Toc98730306"/>
      <w:bookmarkStart w:id="96" w:name="_Toc98902501"/>
      <w:bookmarkStart w:id="97" w:name="_Toc100025764"/>
      <w:bookmarkStart w:id="98" w:name="_Toc101768385"/>
      <w:bookmarkStart w:id="99" w:name="_Toc125268517"/>
      <w:bookmarkStart w:id="100" w:name="_Toc139364499"/>
      <w:bookmarkStart w:id="101" w:name="_Toc139689019"/>
      <w:bookmarkStart w:id="102" w:name="_Toc139689097"/>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Heading5"/>
        <w:spacing w:before="180"/>
        <w:rPr>
          <w:snapToGrid w:val="0"/>
        </w:rPr>
      </w:pPr>
      <w:bookmarkStart w:id="103" w:name="_Toc507478764"/>
      <w:bookmarkStart w:id="104" w:name="_Toc101768386"/>
      <w:bookmarkStart w:id="105" w:name="_Toc125268518"/>
      <w:bookmarkStart w:id="106" w:name="_Toc139689098"/>
      <w:r>
        <w:rPr>
          <w:rStyle w:val="CharSectno"/>
        </w:rPr>
        <w:t>13</w:t>
      </w:r>
      <w:r>
        <w:rPr>
          <w:snapToGrid w:val="0"/>
        </w:rPr>
        <w:t>.</w:t>
      </w:r>
      <w:r>
        <w:rPr>
          <w:snapToGrid w:val="0"/>
        </w:rPr>
        <w:tab/>
        <w:t>Residence contract</w:t>
      </w:r>
      <w:bookmarkEnd w:id="103"/>
      <w:bookmarkEnd w:id="104"/>
      <w:bookmarkEnd w:id="105"/>
      <w:bookmarkEnd w:id="106"/>
      <w:r>
        <w:rPr>
          <w:snapToGrid w:val="0"/>
        </w:rPr>
        <w:t xml:space="preserve"> </w:t>
      </w:r>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spacing w:val="-8"/>
        </w:rPr>
      </w:pPr>
      <w:r>
        <w:rPr>
          <w:snapToGrid w:val="0"/>
          <w:spacing w:val="-8"/>
        </w:rPr>
        <w:tab/>
        <w:t>(4)</w:t>
      </w:r>
      <w:r>
        <w:rPr>
          <w:snapToGrid w:val="0"/>
          <w:spacing w:val="-8"/>
        </w:rPr>
        <w:tab/>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b/>
          <w:snapToGrid w:val="0"/>
        </w:rPr>
        <w:t>“</w:t>
      </w:r>
      <w:r>
        <w:rPr>
          <w:rStyle w:val="CharDefText"/>
        </w:rPr>
        <w:t>owner</w:t>
      </w:r>
      <w:r>
        <w:rPr>
          <w:b/>
          <w:snapToGrid w:val="0"/>
        </w:rPr>
        <w:t>”</w:t>
      </w:r>
      <w:r>
        <w:rPr>
          <w:snapToGrid w:val="0"/>
        </w:rPr>
        <w:t xml:space="preserve"> means owner of the residential premises to which the residence contract relates.</w:t>
      </w:r>
    </w:p>
    <w:p>
      <w:pPr>
        <w:pStyle w:val="Heading5"/>
        <w:rPr>
          <w:snapToGrid w:val="0"/>
        </w:rPr>
      </w:pPr>
      <w:bookmarkStart w:id="107" w:name="_Toc507478765"/>
      <w:bookmarkStart w:id="108" w:name="_Toc101768387"/>
      <w:bookmarkStart w:id="109" w:name="_Toc125268519"/>
      <w:bookmarkStart w:id="110" w:name="_Toc139689099"/>
      <w:r>
        <w:rPr>
          <w:rStyle w:val="CharSectno"/>
        </w:rPr>
        <w:t>14</w:t>
      </w:r>
      <w:r>
        <w:rPr>
          <w:snapToGrid w:val="0"/>
        </w:rPr>
        <w:t>.</w:t>
      </w:r>
      <w:r>
        <w:rPr>
          <w:snapToGrid w:val="0"/>
        </w:rPr>
        <w:tab/>
        <w:t>Cooling</w:t>
      </w:r>
      <w:r>
        <w:rPr>
          <w:snapToGrid w:val="0"/>
        </w:rPr>
        <w:noBreakHyphen/>
        <w:t>off period</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11" w:name="_Toc507478766"/>
      <w:bookmarkStart w:id="112" w:name="_Toc101768388"/>
      <w:bookmarkStart w:id="113" w:name="_Toc125268520"/>
      <w:bookmarkStart w:id="114" w:name="_Toc139689100"/>
      <w:r>
        <w:rPr>
          <w:rStyle w:val="CharSectno"/>
        </w:rPr>
        <w:t>15</w:t>
      </w:r>
      <w:r>
        <w:rPr>
          <w:snapToGrid w:val="0"/>
        </w:rPr>
        <w:t>.</w:t>
      </w:r>
      <w:r>
        <w:rPr>
          <w:snapToGrid w:val="0"/>
        </w:rPr>
        <w:tab/>
        <w:t>Owner to deliver memorial</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w:t>
      </w:r>
    </w:p>
    <w:p>
      <w:pPr>
        <w:pStyle w:val="Heading5"/>
        <w:rPr>
          <w:snapToGrid w:val="0"/>
        </w:rPr>
      </w:pPr>
      <w:bookmarkStart w:id="115" w:name="_Toc507478767"/>
      <w:bookmarkStart w:id="116" w:name="_Toc101768389"/>
      <w:bookmarkStart w:id="117" w:name="_Toc125268521"/>
      <w:bookmarkStart w:id="118" w:name="_Toc139689101"/>
      <w:r>
        <w:rPr>
          <w:rStyle w:val="CharSectno"/>
        </w:rPr>
        <w:t>16</w:t>
      </w:r>
      <w:r>
        <w:rPr>
          <w:snapToGrid w:val="0"/>
        </w:rPr>
        <w:t>.</w:t>
      </w:r>
      <w:r>
        <w:rPr>
          <w:snapToGrid w:val="0"/>
        </w:rPr>
        <w:tab/>
        <w:t>Occupation right not to be created unless memorial is lodged</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19" w:name="_Toc507478768"/>
      <w:bookmarkStart w:id="120" w:name="_Toc101768390"/>
      <w:bookmarkStart w:id="121" w:name="_Toc125268522"/>
      <w:bookmarkStart w:id="122" w:name="_Toc139689102"/>
      <w:r>
        <w:rPr>
          <w:rStyle w:val="CharSectno"/>
        </w:rPr>
        <w:t>17</w:t>
      </w:r>
      <w:r>
        <w:rPr>
          <w:snapToGrid w:val="0"/>
        </w:rPr>
        <w:t>.</w:t>
      </w:r>
      <w:r>
        <w:rPr>
          <w:snapToGrid w:val="0"/>
        </w:rPr>
        <w:tab/>
        <w:t>Termination of residence rights</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b/>
          <w:snapToGrid w:val="0"/>
        </w:rPr>
        <w:t>“</w:t>
      </w:r>
      <w:r>
        <w:rPr>
          <w:rStyle w:val="CharDefText"/>
        </w:rPr>
        <w:t>successor in title</w:t>
      </w:r>
      <w:r>
        <w:rPr>
          <w:b/>
          <w:snapToGrid w:val="0"/>
        </w:rPr>
        <w:t>”</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rPr>
          <w:snapToGrid w:val="0"/>
        </w:rPr>
      </w:pPr>
      <w:bookmarkStart w:id="123" w:name="_Toc507478769"/>
      <w:bookmarkStart w:id="124" w:name="_Toc101768391"/>
      <w:bookmarkStart w:id="125" w:name="_Toc125268523"/>
      <w:bookmarkStart w:id="126" w:name="_Toc139689103"/>
      <w:r>
        <w:rPr>
          <w:rStyle w:val="CharSectno"/>
        </w:rPr>
        <w:t>18</w:t>
      </w:r>
      <w:r>
        <w:rPr>
          <w:snapToGrid w:val="0"/>
        </w:rPr>
        <w:t>.</w:t>
      </w:r>
      <w:r>
        <w:rPr>
          <w:snapToGrid w:val="0"/>
        </w:rPr>
        <w:tab/>
        <w:t>Premiums</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 xml:space="preserve">[Section 18 amended by No. 1 of 1997 s. 18.] </w:t>
      </w:r>
    </w:p>
    <w:p>
      <w:pPr>
        <w:pStyle w:val="Heading5"/>
        <w:rPr>
          <w:snapToGrid w:val="0"/>
        </w:rPr>
      </w:pPr>
      <w:bookmarkStart w:id="127" w:name="_Toc507478770"/>
      <w:bookmarkStart w:id="128" w:name="_Toc101768392"/>
      <w:bookmarkStart w:id="129" w:name="_Toc125268524"/>
      <w:bookmarkStart w:id="130" w:name="_Toc139689104"/>
      <w:r>
        <w:rPr>
          <w:rStyle w:val="CharSectno"/>
        </w:rPr>
        <w:t>19</w:t>
      </w:r>
      <w:r>
        <w:rPr>
          <w:snapToGrid w:val="0"/>
        </w:rPr>
        <w:t>.</w:t>
      </w:r>
      <w:r>
        <w:rPr>
          <w:snapToGrid w:val="0"/>
        </w:rPr>
        <w:tab/>
        <w:t>Contractual rights of residents</w:t>
      </w:r>
      <w:bookmarkEnd w:id="127"/>
      <w:bookmarkEnd w:id="128"/>
      <w:bookmarkEnd w:id="129"/>
      <w:bookmarkEnd w:id="130"/>
      <w:r>
        <w:rPr>
          <w:snapToGrid w:val="0"/>
        </w:rPr>
        <w:t xml:space="preserve"> </w:t>
      </w:r>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b/>
          <w:snapToGrid w:val="0"/>
        </w:rPr>
        <w:t>“</w:t>
      </w:r>
      <w:r>
        <w:rPr>
          <w:rStyle w:val="CharDefText"/>
        </w:rPr>
        <w:t>service</w:t>
      </w:r>
      <w:r>
        <w:rPr>
          <w:b/>
          <w:snapToGrid w:val="0"/>
        </w:rPr>
        <w:t>”</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131" w:name="_Toc507478771"/>
      <w:bookmarkStart w:id="132" w:name="_Toc101768393"/>
      <w:bookmarkStart w:id="133" w:name="_Toc125268525"/>
      <w:bookmarkStart w:id="134" w:name="_Toc139689105"/>
      <w:r>
        <w:rPr>
          <w:rStyle w:val="CharSectno"/>
        </w:rPr>
        <w:t>20</w:t>
      </w:r>
      <w:r>
        <w:rPr>
          <w:snapToGrid w:val="0"/>
        </w:rPr>
        <w:t>.</w:t>
      </w:r>
      <w:r>
        <w:rPr>
          <w:snapToGrid w:val="0"/>
        </w:rPr>
        <w:tab/>
        <w:t>Charges</w:t>
      </w:r>
      <w:bookmarkEnd w:id="131"/>
      <w:bookmarkEnd w:id="132"/>
      <w:bookmarkEnd w:id="133"/>
      <w:bookmarkEnd w:id="134"/>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snapToGrid w:val="0"/>
          <w:spacing w:val="-4"/>
        </w:rPr>
      </w:pPr>
      <w:r>
        <w:rPr>
          <w:snapToGrid w:val="0"/>
          <w:spacing w:val="-4"/>
        </w:rPr>
        <w:tab/>
        <w:t>(4)</w:t>
      </w:r>
      <w:r>
        <w:rPr>
          <w:snapToGrid w:val="0"/>
          <w:spacing w:val="-4"/>
        </w:rPr>
        <w:tab/>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135" w:name="_Toc507478772"/>
      <w:bookmarkStart w:id="136" w:name="_Toc101768394"/>
      <w:bookmarkStart w:id="137" w:name="_Toc125268526"/>
      <w:bookmarkStart w:id="138" w:name="_Toc139689106"/>
      <w:r>
        <w:rPr>
          <w:rStyle w:val="CharSectno"/>
        </w:rPr>
        <w:t>21</w:t>
      </w:r>
      <w:r>
        <w:rPr>
          <w:snapToGrid w:val="0"/>
        </w:rPr>
        <w:t>.</w:t>
      </w:r>
      <w:r>
        <w:rPr>
          <w:snapToGrid w:val="0"/>
        </w:rPr>
        <w:tab/>
        <w:t>Enforcement of charge</w:t>
      </w:r>
      <w:bookmarkEnd w:id="135"/>
      <w:bookmarkEnd w:id="136"/>
      <w:bookmarkEnd w:id="137"/>
      <w:bookmarkEnd w:id="138"/>
      <w:r>
        <w:rPr>
          <w:snapToGrid w:val="0"/>
        </w:rPr>
        <w:t xml:space="preserve"> </w:t>
      </w:r>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139" w:name="_Toc507478773"/>
      <w:bookmarkStart w:id="140" w:name="_Toc101768395"/>
      <w:bookmarkStart w:id="141" w:name="_Toc125268527"/>
      <w:bookmarkStart w:id="142" w:name="_Toc139689107"/>
      <w:r>
        <w:rPr>
          <w:rStyle w:val="CharSectno"/>
        </w:rPr>
        <w:t>22</w:t>
      </w:r>
      <w:r>
        <w:rPr>
          <w:snapToGrid w:val="0"/>
        </w:rPr>
        <w:t>.</w:t>
      </w:r>
      <w:r>
        <w:rPr>
          <w:snapToGrid w:val="0"/>
        </w:rPr>
        <w:tab/>
        <w:t>Termination of retirement village scheme</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143" w:name="_Toc89597703"/>
      <w:bookmarkStart w:id="144" w:name="_Toc89775301"/>
      <w:bookmarkStart w:id="145" w:name="_Toc89775406"/>
      <w:bookmarkStart w:id="146" w:name="_Toc92703552"/>
      <w:bookmarkStart w:id="147" w:name="_Toc98119573"/>
      <w:bookmarkStart w:id="148" w:name="_Toc98122998"/>
      <w:bookmarkStart w:id="149" w:name="_Toc98730317"/>
      <w:bookmarkStart w:id="150" w:name="_Toc98902512"/>
      <w:bookmarkStart w:id="151" w:name="_Toc100025775"/>
      <w:bookmarkStart w:id="152" w:name="_Toc101768396"/>
      <w:bookmarkStart w:id="153" w:name="_Toc125268528"/>
      <w:bookmarkStart w:id="154" w:name="_Toc139364510"/>
      <w:bookmarkStart w:id="155" w:name="_Toc139689030"/>
      <w:bookmarkStart w:id="156" w:name="_Toc139689108"/>
      <w:r>
        <w:rPr>
          <w:rStyle w:val="CharPartNo"/>
        </w:rPr>
        <w:t>Part 4</w:t>
      </w:r>
      <w:r>
        <w:t> — </w:t>
      </w:r>
      <w:r>
        <w:rPr>
          <w:rStyle w:val="CharPartText"/>
        </w:rPr>
        <w:t>Resolution of disputes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PartText"/>
        </w:rPr>
        <w:t xml:space="preserve"> </w:t>
      </w:r>
    </w:p>
    <w:p>
      <w:pPr>
        <w:pStyle w:val="Heading3"/>
        <w:spacing w:before="220"/>
        <w:rPr>
          <w:snapToGrid w:val="0"/>
        </w:rPr>
      </w:pPr>
      <w:bookmarkStart w:id="157" w:name="_Toc89775303"/>
      <w:bookmarkStart w:id="158" w:name="_Toc89775408"/>
      <w:bookmarkStart w:id="159" w:name="_Toc92703553"/>
      <w:bookmarkStart w:id="160" w:name="_Toc98119574"/>
      <w:bookmarkStart w:id="161" w:name="_Toc98122999"/>
      <w:bookmarkStart w:id="162" w:name="_Toc98730318"/>
      <w:bookmarkStart w:id="163" w:name="_Toc98902513"/>
      <w:bookmarkStart w:id="164" w:name="_Toc100025776"/>
      <w:bookmarkStart w:id="165" w:name="_Toc101768397"/>
      <w:bookmarkStart w:id="166" w:name="_Toc125268529"/>
      <w:bookmarkStart w:id="167" w:name="_Toc139364511"/>
      <w:bookmarkStart w:id="168" w:name="_Toc139689031"/>
      <w:bookmarkStart w:id="169" w:name="_Toc139689109"/>
      <w:bookmarkStart w:id="170" w:name="_Toc507478774"/>
      <w:r>
        <w:rPr>
          <w:rStyle w:val="CharDivNo"/>
        </w:rPr>
        <w:t>Division 1</w:t>
      </w:r>
      <w:r>
        <w:t> — </w:t>
      </w:r>
      <w:r>
        <w:rPr>
          <w:rStyle w:val="CharDivText"/>
        </w:rPr>
        <w:t>General</w:t>
      </w:r>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Footnoteheading"/>
        <w:tabs>
          <w:tab w:val="clear" w:pos="879"/>
          <w:tab w:val="left" w:pos="896"/>
        </w:tabs>
      </w:pPr>
      <w:r>
        <w:tab/>
        <w:t>[Heading inserted by No. 55 of 2004 s. 1024.]</w:t>
      </w:r>
    </w:p>
    <w:p>
      <w:pPr>
        <w:pStyle w:val="Ednotesection"/>
      </w:pPr>
      <w:bookmarkStart w:id="171" w:name="_Toc89597709"/>
      <w:bookmarkEnd w:id="170"/>
      <w:r>
        <w:t>[</w:t>
      </w:r>
      <w:r>
        <w:rPr>
          <w:b/>
          <w:bCs/>
        </w:rPr>
        <w:t>23</w:t>
      </w:r>
      <w:r>
        <w:rPr>
          <w:b/>
          <w:bCs/>
        </w:rPr>
        <w:noBreakHyphen/>
        <w:t>26.</w:t>
      </w:r>
      <w:r>
        <w:tab/>
        <w:t>Repealed by No. 55 of 2004 s. 1025.]</w:t>
      </w:r>
    </w:p>
    <w:p>
      <w:pPr>
        <w:pStyle w:val="Ednotedivision"/>
      </w:pPr>
      <w:bookmarkStart w:id="172" w:name="_Toc89597722"/>
      <w:bookmarkEnd w:id="171"/>
      <w:r>
        <w:t>[Divisions 2 and 3 (s. 27</w:t>
      </w:r>
      <w:r>
        <w:noBreakHyphen/>
        <w:t>37) repealed by No. 55 of 2004 s. 1026.]</w:t>
      </w:r>
    </w:p>
    <w:p>
      <w:pPr>
        <w:pStyle w:val="Ednotedivision"/>
      </w:pPr>
      <w:bookmarkStart w:id="173" w:name="_Toc507478789"/>
      <w:bookmarkEnd w:id="172"/>
      <w:r>
        <w:t>[Heading deleted by No. 55 of 2004 s. 1027.]</w:t>
      </w:r>
    </w:p>
    <w:p>
      <w:pPr>
        <w:pStyle w:val="Ednotesection"/>
      </w:pPr>
      <w:bookmarkStart w:id="174" w:name="_Toc507478793"/>
      <w:bookmarkEnd w:id="173"/>
      <w:r>
        <w:t>[</w:t>
      </w:r>
      <w:r>
        <w:rPr>
          <w:b/>
          <w:bCs/>
        </w:rPr>
        <w:t>38</w:t>
      </w:r>
      <w:r>
        <w:rPr>
          <w:b/>
          <w:bCs/>
        </w:rPr>
        <w:noBreakHyphen/>
        <w:t>41.</w:t>
      </w:r>
      <w:r>
        <w:tab/>
        <w:t>Repealed by No. 55 of 2004 s. 1028.]</w:t>
      </w:r>
    </w:p>
    <w:p>
      <w:pPr>
        <w:pStyle w:val="Heading5"/>
        <w:rPr>
          <w:snapToGrid w:val="0"/>
        </w:rPr>
      </w:pPr>
      <w:bookmarkStart w:id="175" w:name="_Toc101768398"/>
      <w:bookmarkStart w:id="176" w:name="_Toc125268530"/>
      <w:bookmarkStart w:id="177" w:name="_Toc139689110"/>
      <w:bookmarkStart w:id="178" w:name="_Toc507478794"/>
      <w:bookmarkEnd w:id="174"/>
      <w:r>
        <w:rPr>
          <w:rStyle w:val="CharSectno"/>
        </w:rPr>
        <w:t>42</w:t>
      </w:r>
      <w:r>
        <w:rPr>
          <w:snapToGrid w:val="0"/>
        </w:rPr>
        <w:t>.</w:t>
      </w:r>
      <w:r>
        <w:rPr>
          <w:snapToGrid w:val="0"/>
        </w:rPr>
        <w:tab/>
        <w:t>Use of other means of resolution</w:t>
      </w:r>
      <w:bookmarkEnd w:id="175"/>
      <w:bookmarkEnd w:id="176"/>
      <w:bookmarkEnd w:id="177"/>
      <w:r>
        <w:rPr>
          <w:snapToGrid w:val="0"/>
        </w:rPr>
        <w:t xml:space="preserve"> </w:t>
      </w:r>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179" w:name="_Toc507478795"/>
      <w:bookmarkEnd w:id="178"/>
      <w:r>
        <w:t>[</w:t>
      </w:r>
      <w:r>
        <w:rPr>
          <w:b/>
          <w:bCs/>
        </w:rPr>
        <w:t>43.</w:t>
      </w:r>
      <w:r>
        <w:rPr>
          <w:b/>
          <w:bCs/>
        </w:rPr>
        <w:tab/>
      </w:r>
      <w:r>
        <w:t>Repealed by No. 55 of 2004 s. 1030.]</w:t>
      </w:r>
    </w:p>
    <w:p>
      <w:pPr>
        <w:pStyle w:val="Heading5"/>
        <w:rPr>
          <w:snapToGrid w:val="0"/>
        </w:rPr>
      </w:pPr>
      <w:bookmarkStart w:id="180" w:name="_Toc101768399"/>
      <w:bookmarkStart w:id="181" w:name="_Toc125268531"/>
      <w:bookmarkStart w:id="182" w:name="_Toc139689111"/>
      <w:r>
        <w:rPr>
          <w:rStyle w:val="CharSectno"/>
        </w:rPr>
        <w:t>44</w:t>
      </w:r>
      <w:r>
        <w:rPr>
          <w:snapToGrid w:val="0"/>
        </w:rPr>
        <w:t>.</w:t>
      </w:r>
      <w:r>
        <w:rPr>
          <w:snapToGrid w:val="0"/>
        </w:rPr>
        <w:tab/>
        <w:t>Extension of time</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Notwithstanding any other provision of this Act, the State Administrative Tribunal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w:t>
      </w:r>
    </w:p>
    <w:p>
      <w:pPr>
        <w:pStyle w:val="Ednotesection"/>
      </w:pPr>
      <w:bookmarkStart w:id="183" w:name="_Toc507478799"/>
      <w:r>
        <w:t>[</w:t>
      </w:r>
      <w:r>
        <w:rPr>
          <w:b/>
          <w:bCs/>
        </w:rPr>
        <w:t>45</w:t>
      </w:r>
      <w:r>
        <w:rPr>
          <w:b/>
          <w:bCs/>
        </w:rPr>
        <w:noBreakHyphen/>
        <w:t>47.</w:t>
      </w:r>
      <w:r>
        <w:tab/>
        <w:t>Repealed by No. 55 of 2004 s. 1032.]</w:t>
      </w:r>
    </w:p>
    <w:p>
      <w:pPr>
        <w:pStyle w:val="Heading5"/>
        <w:rPr>
          <w:snapToGrid w:val="0"/>
          <w:spacing w:val="-4"/>
        </w:rPr>
      </w:pPr>
      <w:bookmarkStart w:id="184" w:name="_Toc101768400"/>
      <w:bookmarkStart w:id="185" w:name="_Toc125268532"/>
      <w:bookmarkStart w:id="186" w:name="_Toc139689112"/>
      <w:r>
        <w:rPr>
          <w:rStyle w:val="CharSectno"/>
          <w:spacing w:val="-4"/>
        </w:rPr>
        <w:t>48</w:t>
      </w:r>
      <w:r>
        <w:rPr>
          <w:snapToGrid w:val="0"/>
          <w:spacing w:val="-4"/>
        </w:rPr>
        <w:t>.</w:t>
      </w:r>
      <w:r>
        <w:rPr>
          <w:snapToGrid w:val="0"/>
          <w:spacing w:val="-4"/>
        </w:rPr>
        <w:tab/>
        <w:t>Reference of certain matters concerning administering bodies</w:t>
      </w:r>
      <w:bookmarkEnd w:id="183"/>
      <w:bookmarkEnd w:id="184"/>
      <w:bookmarkEnd w:id="185"/>
      <w:bookmarkEnd w:id="186"/>
      <w:r>
        <w:rPr>
          <w:snapToGrid w:val="0"/>
          <w:spacing w:val="-4"/>
        </w:rPr>
        <w:t xml:space="preserve"> </w:t>
      </w:r>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187" w:name="_Toc89597737"/>
      <w:r>
        <w:t>[</w:t>
      </w:r>
      <w:r>
        <w:rPr>
          <w:b/>
          <w:bCs/>
        </w:rPr>
        <w:t>49</w:t>
      </w:r>
      <w:r>
        <w:rPr>
          <w:b/>
          <w:bCs/>
        </w:rPr>
        <w:noBreakHyphen/>
        <w:t>51.</w:t>
      </w:r>
      <w:r>
        <w:tab/>
        <w:t>Repealed by No. 55 of 2004 s. 1034.]</w:t>
      </w:r>
    </w:p>
    <w:p>
      <w:pPr>
        <w:pStyle w:val="Heading3"/>
        <w:spacing w:before="220"/>
        <w:rPr>
          <w:snapToGrid w:val="0"/>
        </w:rPr>
      </w:pPr>
      <w:bookmarkStart w:id="188" w:name="_Toc89775337"/>
      <w:bookmarkStart w:id="189" w:name="_Toc89775442"/>
      <w:bookmarkStart w:id="190" w:name="_Toc92703557"/>
      <w:bookmarkStart w:id="191" w:name="_Toc98119578"/>
      <w:bookmarkStart w:id="192" w:name="_Toc98123003"/>
      <w:bookmarkStart w:id="193" w:name="_Toc98730322"/>
      <w:bookmarkStart w:id="194" w:name="_Toc98902517"/>
      <w:bookmarkStart w:id="195" w:name="_Toc100025780"/>
      <w:bookmarkStart w:id="196" w:name="_Toc101768401"/>
      <w:bookmarkStart w:id="197" w:name="_Toc125268533"/>
      <w:bookmarkStart w:id="198" w:name="_Toc139364515"/>
      <w:bookmarkStart w:id="199" w:name="_Toc139689035"/>
      <w:bookmarkStart w:id="200" w:name="_Toc139689113"/>
      <w:r>
        <w:rPr>
          <w:rStyle w:val="CharDivNo"/>
        </w:rPr>
        <w:t>Division 5</w:t>
      </w:r>
      <w:r>
        <w:rPr>
          <w:snapToGrid w:val="0"/>
        </w:rPr>
        <w:t> — </w:t>
      </w:r>
      <w:r>
        <w:rPr>
          <w:rStyle w:val="CharDivText"/>
        </w:rPr>
        <w:t>Orders by</w:t>
      </w:r>
      <w:bookmarkEnd w:id="187"/>
      <w:r>
        <w:rPr>
          <w:rStyle w:val="CharDivText"/>
        </w:rPr>
        <w:t xml:space="preserve"> State Administrative Tribunal</w:t>
      </w:r>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Footnoteheading"/>
        <w:tabs>
          <w:tab w:val="clear" w:pos="879"/>
          <w:tab w:val="left" w:pos="896"/>
        </w:tabs>
      </w:pPr>
      <w:bookmarkStart w:id="201" w:name="_Toc507478803"/>
      <w:r>
        <w:tab/>
        <w:t>[Heading amended by No. 55 of 2004 s. 1035.]</w:t>
      </w:r>
    </w:p>
    <w:p>
      <w:pPr>
        <w:pStyle w:val="Heading5"/>
        <w:rPr>
          <w:snapToGrid w:val="0"/>
        </w:rPr>
      </w:pPr>
      <w:bookmarkStart w:id="202" w:name="_Toc101768402"/>
      <w:bookmarkStart w:id="203" w:name="_Toc125268534"/>
      <w:bookmarkStart w:id="204" w:name="_Toc139689114"/>
      <w:r>
        <w:rPr>
          <w:rStyle w:val="CharSectno"/>
        </w:rPr>
        <w:t>52</w:t>
      </w:r>
      <w:r>
        <w:rPr>
          <w:snapToGrid w:val="0"/>
        </w:rPr>
        <w:t>.</w:t>
      </w:r>
      <w:r>
        <w:rPr>
          <w:snapToGrid w:val="0"/>
        </w:rPr>
        <w:tab/>
        <w:t xml:space="preserve">Limits on orders by </w:t>
      </w:r>
      <w:bookmarkEnd w:id="201"/>
      <w:r>
        <w:rPr>
          <w:snapToGrid w:val="0"/>
        </w:rPr>
        <w:t>State Administrative Tribunal</w:t>
      </w:r>
      <w:bookmarkEnd w:id="202"/>
      <w:bookmarkEnd w:id="203"/>
      <w:bookmarkEnd w:id="204"/>
    </w:p>
    <w:p>
      <w:pPr>
        <w:pStyle w:val="Subsection"/>
        <w:rPr>
          <w:snapToGrid w:val="0"/>
        </w:rPr>
      </w:pPr>
      <w:r>
        <w:rPr>
          <w:snapToGrid w:val="0"/>
        </w:rPr>
        <w:tab/>
        <w:t>(1)</w:t>
      </w:r>
      <w:r>
        <w:rPr>
          <w:snapToGrid w:val="0"/>
        </w:rPr>
        <w:tab/>
        <w:t>The State Administrative Tribunal shall not make orders under this Act that are —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205" w:name="_Toc507478805"/>
      <w:r>
        <w:t>[</w:t>
      </w:r>
      <w:r>
        <w:rPr>
          <w:b/>
          <w:bCs/>
        </w:rPr>
        <w:t>53.</w:t>
      </w:r>
      <w:r>
        <w:rPr>
          <w:b/>
          <w:bCs/>
        </w:rPr>
        <w:tab/>
      </w:r>
      <w:r>
        <w:t>Repealed by No. 55 of 2004 s. 1036.]</w:t>
      </w:r>
    </w:p>
    <w:p>
      <w:pPr>
        <w:pStyle w:val="Heading5"/>
        <w:rPr>
          <w:snapToGrid w:val="0"/>
          <w:spacing w:val="-4"/>
        </w:rPr>
      </w:pPr>
      <w:bookmarkStart w:id="206" w:name="_Toc101768403"/>
      <w:bookmarkStart w:id="207" w:name="_Toc125268535"/>
      <w:bookmarkStart w:id="208" w:name="_Toc139689115"/>
      <w:r>
        <w:rPr>
          <w:rStyle w:val="CharSectno"/>
          <w:spacing w:val="-4"/>
        </w:rPr>
        <w:t>54</w:t>
      </w:r>
      <w:r>
        <w:rPr>
          <w:snapToGrid w:val="0"/>
          <w:spacing w:val="-4"/>
        </w:rPr>
        <w:t>.</w:t>
      </w:r>
      <w:r>
        <w:rPr>
          <w:snapToGrid w:val="0"/>
          <w:spacing w:val="-4"/>
        </w:rPr>
        <w:tab/>
        <w:t>Jurisdiction where title to land in question</w:t>
      </w:r>
      <w:bookmarkEnd w:id="205"/>
      <w:bookmarkEnd w:id="206"/>
      <w:bookmarkEnd w:id="207"/>
      <w:bookmarkEnd w:id="208"/>
      <w:r>
        <w:rPr>
          <w:snapToGrid w:val="0"/>
          <w:spacing w:val="-4"/>
        </w:rPr>
        <w:t xml:space="preserve"> </w:t>
      </w:r>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209" w:name="_Toc507478807"/>
      <w:r>
        <w:t>[</w:t>
      </w:r>
      <w:r>
        <w:rPr>
          <w:b/>
          <w:bCs/>
        </w:rPr>
        <w:t>55.</w:t>
      </w:r>
      <w:r>
        <w:rPr>
          <w:b/>
          <w:bCs/>
        </w:rPr>
        <w:tab/>
      </w:r>
      <w:r>
        <w:t>Repealed by No. 55 of 2004 s. 1036.]</w:t>
      </w:r>
    </w:p>
    <w:p>
      <w:pPr>
        <w:pStyle w:val="Heading5"/>
        <w:rPr>
          <w:snapToGrid w:val="0"/>
        </w:rPr>
      </w:pPr>
      <w:bookmarkStart w:id="210" w:name="_Toc101768404"/>
      <w:bookmarkStart w:id="211" w:name="_Toc125268536"/>
      <w:bookmarkStart w:id="212" w:name="_Toc139689116"/>
      <w:r>
        <w:rPr>
          <w:rStyle w:val="CharSectno"/>
        </w:rPr>
        <w:t>56</w:t>
      </w:r>
      <w:r>
        <w:rPr>
          <w:snapToGrid w:val="0"/>
        </w:rPr>
        <w:t>.</w:t>
      </w:r>
      <w:r>
        <w:rPr>
          <w:snapToGrid w:val="0"/>
        </w:rPr>
        <w:tab/>
        <w:t>Disputes in relation to service contracts</w:t>
      </w:r>
      <w:bookmarkEnd w:id="209"/>
      <w:bookmarkEnd w:id="210"/>
      <w:bookmarkEnd w:id="211"/>
      <w:bookmarkEnd w:id="212"/>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repealed]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213" w:name="_Toc507478808"/>
      <w:bookmarkStart w:id="214" w:name="_Toc101768405"/>
      <w:bookmarkStart w:id="215" w:name="_Toc125268537"/>
      <w:bookmarkStart w:id="216" w:name="_Toc139689117"/>
      <w:r>
        <w:rPr>
          <w:rStyle w:val="CharSectno"/>
        </w:rPr>
        <w:t>57</w:t>
      </w:r>
      <w:r>
        <w:rPr>
          <w:snapToGrid w:val="0"/>
        </w:rPr>
        <w:t>.</w:t>
      </w:r>
      <w:r>
        <w:rPr>
          <w:snapToGrid w:val="0"/>
        </w:rPr>
        <w:tab/>
        <w:t>Applications relating to transfer of residents</w:t>
      </w:r>
      <w:bookmarkEnd w:id="213"/>
      <w:bookmarkEnd w:id="214"/>
      <w:bookmarkEnd w:id="215"/>
      <w:bookmarkEnd w:id="216"/>
      <w:r>
        <w:rPr>
          <w:snapToGrid w:val="0"/>
        </w:rPr>
        <w:t xml:space="preserve"> </w:t>
      </w:r>
    </w:p>
    <w:p>
      <w:pPr>
        <w:pStyle w:val="Subsection"/>
        <w:keepNext/>
        <w:rPr>
          <w:snapToGrid w:val="0"/>
        </w:rPr>
      </w:pPr>
      <w:r>
        <w:rPr>
          <w:snapToGrid w:val="0"/>
        </w:rPr>
        <w:tab/>
        <w:t>(1)</w:t>
      </w:r>
      <w:r>
        <w:rPr>
          <w:snapToGrid w:val="0"/>
        </w:rPr>
        <w:tab/>
        <w:t>If a resident of a retirement village claims that —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 </w:t>
      </w:r>
    </w:p>
    <w:p>
      <w:pPr>
        <w:pStyle w:val="Indenta"/>
        <w:rPr>
          <w:snapToGrid w:val="0"/>
        </w:rPr>
      </w:pPr>
      <w:r>
        <w:rPr>
          <w:snapToGrid w:val="0"/>
        </w:rPr>
        <w:tab/>
        <w:t>(a)</w:t>
      </w:r>
      <w:r>
        <w:rPr>
          <w:snapToGrid w:val="0"/>
        </w:rPr>
        <w:tab/>
        <w:t>an order that — </w:t>
      </w:r>
    </w:p>
    <w:p>
      <w:pPr>
        <w:pStyle w:val="Indenti"/>
        <w:rPr>
          <w:snapToGrid w:val="0"/>
          <w:spacing w:val="-6"/>
        </w:rPr>
      </w:pPr>
      <w:r>
        <w:rPr>
          <w:snapToGrid w:val="0"/>
          <w:spacing w:val="-6"/>
        </w:rPr>
        <w:tab/>
        <w:t>(i)</w:t>
      </w:r>
      <w:r>
        <w:rPr>
          <w:snapToGrid w:val="0"/>
          <w:spacing w:val="-6"/>
        </w:rPr>
        <w:tab/>
        <w:t>restrains the administering body from transferring the resident from one kind of accommodation in the retirement village to another; or</w:t>
      </w:r>
    </w:p>
    <w:p>
      <w:pPr>
        <w:pStyle w:val="Indenti"/>
        <w:rPr>
          <w:snapToGrid w:val="0"/>
          <w:spacing w:val="-6"/>
        </w:rPr>
      </w:pPr>
      <w:r>
        <w:rPr>
          <w:snapToGrid w:val="0"/>
          <w:spacing w:val="-6"/>
        </w:rPr>
        <w:tab/>
        <w:t>(ii)</w:t>
      </w:r>
      <w:r>
        <w:rPr>
          <w:snapToGrid w:val="0"/>
          <w:spacing w:val="-6"/>
        </w:rPr>
        <w:tab/>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217" w:name="_Toc507478809"/>
      <w:bookmarkStart w:id="218" w:name="_Toc101768406"/>
      <w:bookmarkStart w:id="219" w:name="_Toc125268538"/>
      <w:bookmarkStart w:id="220" w:name="_Toc139689118"/>
      <w:r>
        <w:rPr>
          <w:rStyle w:val="CharSectno"/>
        </w:rPr>
        <w:t>58</w:t>
      </w:r>
      <w:r>
        <w:rPr>
          <w:snapToGrid w:val="0"/>
        </w:rPr>
        <w:t>.</w:t>
      </w:r>
      <w:r>
        <w:rPr>
          <w:snapToGrid w:val="0"/>
        </w:rPr>
        <w:tab/>
        <w:t>Termination of occupation on medical grounds</w:t>
      </w:r>
      <w:bookmarkEnd w:id="217"/>
      <w:bookmarkEnd w:id="218"/>
      <w:bookmarkEnd w:id="219"/>
      <w:bookmarkEnd w:id="220"/>
      <w:r>
        <w:rPr>
          <w:snapToGrid w:val="0"/>
        </w:rPr>
        <w:t xml:space="preserve"> </w:t>
      </w:r>
    </w:p>
    <w:p>
      <w:pPr>
        <w:pStyle w:val="Subsection"/>
        <w:keepNext/>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keepNext/>
        <w:rPr>
          <w:snapToGrid w:val="0"/>
        </w:rPr>
      </w:pPr>
      <w:r>
        <w:rPr>
          <w:snapToGrid w:val="0"/>
        </w:rPr>
        <w:tab/>
        <w:t>(2)</w:t>
      </w:r>
      <w:r>
        <w:rPr>
          <w:snapToGrid w:val="0"/>
        </w:rPr>
        <w:tab/>
        <w:t xml:space="preserve">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spacing w:before="120"/>
        <w:rPr>
          <w:snapToGrid w:val="0"/>
        </w:rPr>
      </w:pPr>
      <w:r>
        <w:rPr>
          <w:snapToGrid w:val="0"/>
        </w:rPr>
        <w:tab/>
        <w:t>(3)</w:t>
      </w:r>
      <w:r>
        <w:rPr>
          <w:snapToGrid w:val="0"/>
        </w:rPr>
        <w:tab/>
        <w:t>In determining whether to terminate a residence contract under this section, the State Administrative Tribunal may —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221" w:name="_Toc507478810"/>
      <w:bookmarkStart w:id="222" w:name="_Toc101768407"/>
      <w:bookmarkStart w:id="223" w:name="_Toc125268539"/>
      <w:bookmarkStart w:id="224" w:name="_Toc139689119"/>
      <w:r>
        <w:rPr>
          <w:rStyle w:val="CharSectno"/>
        </w:rPr>
        <w:t>59</w:t>
      </w:r>
      <w:r>
        <w:rPr>
          <w:snapToGrid w:val="0"/>
        </w:rPr>
        <w:t>.</w:t>
      </w:r>
      <w:r>
        <w:rPr>
          <w:snapToGrid w:val="0"/>
        </w:rPr>
        <w:tab/>
        <w:t>Termination of occupation on grounds of breach of residence contract or rules</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225" w:name="_Toc507478811"/>
      <w:bookmarkStart w:id="226" w:name="_Toc101768408"/>
      <w:bookmarkStart w:id="227" w:name="_Toc125268540"/>
      <w:bookmarkStart w:id="228" w:name="_Toc139689120"/>
      <w:r>
        <w:rPr>
          <w:rStyle w:val="CharSectno"/>
        </w:rPr>
        <w:t>60</w:t>
      </w:r>
      <w:r>
        <w:rPr>
          <w:snapToGrid w:val="0"/>
        </w:rPr>
        <w:t>.</w:t>
      </w:r>
      <w:r>
        <w:rPr>
          <w:snapToGrid w:val="0"/>
        </w:rPr>
        <w:tab/>
        <w:t>Parties to minimise loss from breach of residence contract</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229" w:name="_Toc507478812"/>
      <w:bookmarkStart w:id="230" w:name="_Toc101768409"/>
      <w:bookmarkStart w:id="231" w:name="_Toc125268541"/>
      <w:bookmarkStart w:id="232" w:name="_Toc139689121"/>
      <w:r>
        <w:rPr>
          <w:rStyle w:val="CharSectno"/>
        </w:rPr>
        <w:t>61</w:t>
      </w:r>
      <w:r>
        <w:rPr>
          <w:snapToGrid w:val="0"/>
        </w:rPr>
        <w:t>.</w:t>
      </w:r>
      <w:r>
        <w:rPr>
          <w:snapToGrid w:val="0"/>
        </w:rPr>
        <w:tab/>
        <w:t>State Administrative Tribunal may waive defect in notice of intention to terminate</w:t>
      </w:r>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233" w:name="_Toc507478813"/>
      <w:bookmarkStart w:id="234" w:name="_Toc101768410"/>
      <w:bookmarkStart w:id="235" w:name="_Toc125268542"/>
      <w:bookmarkStart w:id="236" w:name="_Toc139689122"/>
      <w:r>
        <w:rPr>
          <w:rStyle w:val="CharSectno"/>
        </w:rPr>
        <w:t>62</w:t>
      </w:r>
      <w:r>
        <w:rPr>
          <w:snapToGrid w:val="0"/>
        </w:rPr>
        <w:t>.</w:t>
      </w:r>
      <w:r>
        <w:rPr>
          <w:snapToGrid w:val="0"/>
        </w:rPr>
        <w:tab/>
        <w:t>State Administrative Tribunal may terminate residence contract where resident causes serious damage or injury</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 xml:space="preserve">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237" w:name="_Toc507478814"/>
      <w:bookmarkStart w:id="238" w:name="_Toc101768411"/>
      <w:bookmarkStart w:id="239" w:name="_Toc125268543"/>
      <w:bookmarkStart w:id="240" w:name="_Toc139689123"/>
      <w:r>
        <w:rPr>
          <w:rStyle w:val="CharSectno"/>
        </w:rPr>
        <w:t>63</w:t>
      </w:r>
      <w:r>
        <w:rPr>
          <w:snapToGrid w:val="0"/>
        </w:rPr>
        <w:t>.</w:t>
      </w:r>
      <w:r>
        <w:rPr>
          <w:snapToGrid w:val="0"/>
        </w:rPr>
        <w:tab/>
        <w:t>State Administrative Tribunal may terminate residence contract where administering body would otherwise suffer undue hardship</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 xml:space="preserve">If the State Administrative Tribunal makes an order terminating a residence contract under this section, the State Administrative Tribunal —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241" w:name="_Toc507478815"/>
      <w:bookmarkStart w:id="242" w:name="_Toc101768412"/>
      <w:bookmarkStart w:id="243" w:name="_Toc125268544"/>
      <w:bookmarkStart w:id="244" w:name="_Toc139689124"/>
      <w:r>
        <w:rPr>
          <w:rStyle w:val="CharSectno"/>
        </w:rPr>
        <w:t>64</w:t>
      </w:r>
      <w:r>
        <w:rPr>
          <w:snapToGrid w:val="0"/>
        </w:rPr>
        <w:t>.</w:t>
      </w:r>
      <w:r>
        <w:rPr>
          <w:snapToGrid w:val="0"/>
        </w:rPr>
        <w:tab/>
        <w:t>Suspension or refusal of orders to terminate</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 </w:t>
      </w:r>
    </w:p>
    <w:p>
      <w:pPr>
        <w:pStyle w:val="Indenta"/>
        <w:rPr>
          <w:snapToGrid w:val="0"/>
        </w:rPr>
      </w:pPr>
      <w:r>
        <w:rPr>
          <w:snapToGrid w:val="0"/>
        </w:rPr>
        <w:tab/>
        <w:t>(a)</w:t>
      </w:r>
      <w:r>
        <w:rPr>
          <w:snapToGrid w:val="0"/>
        </w:rPr>
        <w:tab/>
        <w:t xml:space="preserve">the administering body was wholly or partly motivated to seek the termination of the contract by the fact that —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245" w:name="_Toc507478816"/>
      <w:bookmarkStart w:id="246" w:name="_Toc101768413"/>
      <w:bookmarkStart w:id="247" w:name="_Toc125268545"/>
      <w:bookmarkStart w:id="248" w:name="_Toc139689125"/>
      <w:r>
        <w:rPr>
          <w:rStyle w:val="CharSectno"/>
        </w:rPr>
        <w:t>65</w:t>
      </w:r>
      <w:r>
        <w:rPr>
          <w:snapToGrid w:val="0"/>
        </w:rPr>
        <w:t>.</w:t>
      </w:r>
      <w:r>
        <w:rPr>
          <w:snapToGrid w:val="0"/>
        </w:rPr>
        <w:tab/>
        <w:t>Prohibition on certain recovery proceedings in courts, etc.</w:t>
      </w:r>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249" w:name="_Toc507478817"/>
      <w:bookmarkStart w:id="250" w:name="_Toc101768414"/>
      <w:bookmarkStart w:id="251" w:name="_Toc125268546"/>
      <w:bookmarkStart w:id="252" w:name="_Toc139689126"/>
      <w:r>
        <w:rPr>
          <w:rStyle w:val="CharSectno"/>
        </w:rPr>
        <w:t>66</w:t>
      </w:r>
      <w:r>
        <w:rPr>
          <w:snapToGrid w:val="0"/>
        </w:rPr>
        <w:t>.</w:t>
      </w:r>
      <w:r>
        <w:rPr>
          <w:snapToGrid w:val="0"/>
        </w:rPr>
        <w:tab/>
        <w:t>Recovery of possession of premises prohibited except by order</w:t>
      </w:r>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253" w:name="_Toc507478818"/>
      <w:bookmarkStart w:id="254" w:name="_Toc101768415"/>
      <w:bookmarkStart w:id="255" w:name="_Toc125268547"/>
      <w:bookmarkStart w:id="256" w:name="_Toc139689127"/>
      <w:r>
        <w:rPr>
          <w:rStyle w:val="CharSectno"/>
        </w:rPr>
        <w:t>67</w:t>
      </w:r>
      <w:r>
        <w:rPr>
          <w:snapToGrid w:val="0"/>
        </w:rPr>
        <w:t>.</w:t>
      </w:r>
      <w:r>
        <w:rPr>
          <w:snapToGrid w:val="0"/>
        </w:rPr>
        <w:tab/>
        <w:t>Liability of resident remaining in possession</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257" w:name="_Toc507478819"/>
      <w:bookmarkStart w:id="258" w:name="_Toc101768416"/>
      <w:bookmarkStart w:id="259" w:name="_Toc125268548"/>
      <w:bookmarkStart w:id="260" w:name="_Toc139689128"/>
      <w:r>
        <w:rPr>
          <w:rStyle w:val="CharSectno"/>
        </w:rPr>
        <w:t>68</w:t>
      </w:r>
      <w:r>
        <w:rPr>
          <w:snapToGrid w:val="0"/>
        </w:rPr>
        <w:t>.</w:t>
      </w:r>
      <w:r>
        <w:rPr>
          <w:snapToGrid w:val="0"/>
        </w:rPr>
        <w:tab/>
        <w:t>Abandoned premises</w:t>
      </w:r>
      <w:bookmarkEnd w:id="257"/>
      <w:bookmarkEnd w:id="258"/>
      <w:bookmarkEnd w:id="259"/>
      <w:bookmarkEnd w:id="260"/>
      <w:r>
        <w:rPr>
          <w:snapToGrid w:val="0"/>
        </w:rPr>
        <w:t xml:space="preserve"> </w:t>
      </w:r>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261" w:name="_Toc507478820"/>
      <w:bookmarkStart w:id="262" w:name="_Toc101768417"/>
      <w:bookmarkStart w:id="263" w:name="_Toc125268549"/>
      <w:bookmarkStart w:id="264" w:name="_Toc139689129"/>
      <w:r>
        <w:rPr>
          <w:rStyle w:val="CharSectno"/>
        </w:rPr>
        <w:t>69</w:t>
      </w:r>
      <w:r>
        <w:rPr>
          <w:snapToGrid w:val="0"/>
        </w:rPr>
        <w:t>.</w:t>
      </w:r>
      <w:r>
        <w:rPr>
          <w:snapToGrid w:val="0"/>
        </w:rPr>
        <w:tab/>
        <w:t>Right of administering body to compensation where resident abandons premises</w:t>
      </w:r>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265" w:name="_Toc507478821"/>
      <w:bookmarkStart w:id="266" w:name="_Toc101768418"/>
      <w:bookmarkStart w:id="267" w:name="_Toc125268550"/>
      <w:bookmarkStart w:id="268" w:name="_Toc139689130"/>
      <w:r>
        <w:rPr>
          <w:rStyle w:val="CharSectno"/>
        </w:rPr>
        <w:t>70</w:t>
      </w:r>
      <w:r>
        <w:rPr>
          <w:snapToGrid w:val="0"/>
        </w:rPr>
        <w:t>.</w:t>
      </w:r>
      <w:r>
        <w:rPr>
          <w:snapToGrid w:val="0"/>
        </w:rPr>
        <w:tab/>
        <w:t>Goods abandoned by resident after residence contract is terminated</w:t>
      </w:r>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 </w:t>
      </w:r>
    </w:p>
    <w:p>
      <w:pPr>
        <w:pStyle w:val="Indenta"/>
        <w:rPr>
          <w:snapToGrid w:val="0"/>
        </w:rPr>
      </w:pPr>
      <w:r>
        <w:rPr>
          <w:snapToGrid w:val="0"/>
        </w:rPr>
        <w:tab/>
        <w:t>(a)</w:t>
      </w:r>
      <w:r>
        <w:rPr>
          <w:snapToGrid w:val="0"/>
        </w:rPr>
        <w:tab/>
        <w:t>an order authorising the removal, destruction or disposal of the goods;</w:t>
      </w:r>
    </w:p>
    <w:p>
      <w:pPr>
        <w:pStyle w:val="Indenta"/>
        <w:rPr>
          <w:snapToGrid w:val="0"/>
        </w:rPr>
      </w:pPr>
      <w:r>
        <w:rPr>
          <w:snapToGrid w:val="0"/>
        </w:rPr>
        <w:tab/>
        <w:t>(b)</w:t>
      </w:r>
      <w:r>
        <w:rPr>
          <w:snapToGrid w:val="0"/>
        </w:rPr>
        <w:tab/>
        <w:t>an order authorising the sale of the goods;</w:t>
      </w:r>
    </w:p>
    <w:p>
      <w:pPr>
        <w:pStyle w:val="Indenta"/>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rPr>
          <w:snapToGrid w:val="0"/>
        </w:rPr>
      </w:pPr>
      <w:r>
        <w:rPr>
          <w:snapToGrid w:val="0"/>
        </w:rPr>
        <w:tab/>
        <w:t>(d)</w:t>
      </w:r>
      <w:r>
        <w:rPr>
          <w:snapToGrid w:val="0"/>
        </w:rPr>
        <w:tab/>
        <w:t>an order as to the manner of sale of the goods;</w:t>
      </w:r>
    </w:p>
    <w:p>
      <w:pPr>
        <w:pStyle w:val="Indenta"/>
        <w:rPr>
          <w:snapToGrid w:val="0"/>
        </w:rPr>
      </w:pPr>
      <w:r>
        <w:rPr>
          <w:snapToGrid w:val="0"/>
        </w:rPr>
        <w:tab/>
        <w:t>(e)</w:t>
      </w:r>
      <w:r>
        <w:rPr>
          <w:snapToGrid w:val="0"/>
        </w:rPr>
        <w:tab/>
        <w:t>an order as to the proceeds of sale of the goods;</w:t>
      </w:r>
    </w:p>
    <w:p>
      <w:pPr>
        <w:pStyle w:val="Indenta"/>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269" w:name="_Toc507478825"/>
      <w:r>
        <w:t>[</w:t>
      </w:r>
      <w:r>
        <w:rPr>
          <w:b/>
          <w:bCs/>
        </w:rPr>
        <w:t>71</w:t>
      </w:r>
      <w:r>
        <w:rPr>
          <w:b/>
          <w:bCs/>
        </w:rPr>
        <w:noBreakHyphen/>
        <w:t>73.</w:t>
      </w:r>
      <w:r>
        <w:tab/>
        <w:t>Repealed by No. 55 of 2004 s. 1038.]</w:t>
      </w:r>
    </w:p>
    <w:p>
      <w:pPr>
        <w:pStyle w:val="Heading5"/>
        <w:rPr>
          <w:snapToGrid w:val="0"/>
        </w:rPr>
      </w:pPr>
      <w:bookmarkStart w:id="270" w:name="_Toc101768419"/>
      <w:bookmarkStart w:id="271" w:name="_Toc125268551"/>
      <w:bookmarkStart w:id="272" w:name="_Toc139689131"/>
      <w:r>
        <w:rPr>
          <w:rStyle w:val="CharSectno"/>
        </w:rPr>
        <w:t>74</w:t>
      </w:r>
      <w:r>
        <w:rPr>
          <w:snapToGrid w:val="0"/>
        </w:rPr>
        <w:t>.</w:t>
      </w:r>
      <w:r>
        <w:rPr>
          <w:snapToGrid w:val="0"/>
        </w:rPr>
        <w:tab/>
        <w:t>Protection</w:t>
      </w:r>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273" w:name="_Toc89597761"/>
      <w:bookmarkStart w:id="274" w:name="_Toc89775361"/>
      <w:bookmarkStart w:id="275" w:name="_Toc89775466"/>
      <w:bookmarkStart w:id="276" w:name="_Toc92703576"/>
      <w:bookmarkStart w:id="277" w:name="_Toc98119597"/>
      <w:bookmarkStart w:id="278" w:name="_Toc98123022"/>
      <w:bookmarkStart w:id="279" w:name="_Toc98730341"/>
      <w:bookmarkStart w:id="280" w:name="_Toc98902536"/>
      <w:bookmarkStart w:id="281" w:name="_Toc100025799"/>
      <w:bookmarkStart w:id="282" w:name="_Toc101768420"/>
      <w:bookmarkStart w:id="283" w:name="_Toc125268552"/>
      <w:bookmarkStart w:id="284" w:name="_Toc139364534"/>
      <w:bookmarkStart w:id="285" w:name="_Toc139689054"/>
      <w:bookmarkStart w:id="286" w:name="_Toc139689132"/>
      <w:r>
        <w:rPr>
          <w:rStyle w:val="CharPartNo"/>
        </w:rPr>
        <w:t>Part 5</w:t>
      </w:r>
      <w:r>
        <w:rPr>
          <w:rStyle w:val="CharDivNo"/>
        </w:rPr>
        <w:t> </w:t>
      </w:r>
      <w:r>
        <w:t>—</w:t>
      </w:r>
      <w:r>
        <w:rPr>
          <w:rStyle w:val="CharDivText"/>
        </w:rPr>
        <w:t> </w:t>
      </w:r>
      <w:r>
        <w:rPr>
          <w:rStyle w:val="CharPartText"/>
        </w:rPr>
        <w:t>Miscellaneous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spacing w:before="180"/>
        <w:rPr>
          <w:snapToGrid w:val="0"/>
        </w:rPr>
      </w:pPr>
      <w:bookmarkStart w:id="287" w:name="_Toc507478826"/>
      <w:bookmarkStart w:id="288" w:name="_Toc101768421"/>
      <w:bookmarkStart w:id="289" w:name="_Toc125268553"/>
      <w:bookmarkStart w:id="290" w:name="_Toc139689133"/>
      <w:r>
        <w:rPr>
          <w:rStyle w:val="CharSectno"/>
        </w:rPr>
        <w:t>75</w:t>
      </w:r>
      <w:r>
        <w:rPr>
          <w:snapToGrid w:val="0"/>
        </w:rPr>
        <w:t>.</w:t>
      </w:r>
      <w:r>
        <w:rPr>
          <w:snapToGrid w:val="0"/>
        </w:rPr>
        <w:tab/>
        <w:t>Rescission of contract</w:t>
      </w:r>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291" w:name="_Toc507478828"/>
      <w:r>
        <w:t>[</w:t>
      </w:r>
      <w:r>
        <w:rPr>
          <w:b/>
          <w:bCs/>
        </w:rPr>
        <w:t>76.</w:t>
      </w:r>
      <w:r>
        <w:rPr>
          <w:b/>
          <w:bCs/>
        </w:rPr>
        <w:tab/>
      </w:r>
      <w:r>
        <w:t>Repealed by No. 55 of 2004 s. 1041.]</w:t>
      </w:r>
    </w:p>
    <w:p>
      <w:pPr>
        <w:pStyle w:val="Heading5"/>
        <w:rPr>
          <w:snapToGrid w:val="0"/>
        </w:rPr>
      </w:pPr>
      <w:bookmarkStart w:id="292" w:name="_Toc101768422"/>
      <w:bookmarkStart w:id="293" w:name="_Toc125268554"/>
      <w:bookmarkStart w:id="294" w:name="_Toc139689134"/>
      <w:r>
        <w:rPr>
          <w:rStyle w:val="CharSectno"/>
        </w:rPr>
        <w:t>77</w:t>
      </w:r>
      <w:r>
        <w:rPr>
          <w:snapToGrid w:val="0"/>
        </w:rPr>
        <w:t>.</w:t>
      </w:r>
      <w:r>
        <w:rPr>
          <w:snapToGrid w:val="0"/>
        </w:rPr>
        <w:tab/>
        <w:t>Non</w:t>
      </w:r>
      <w:r>
        <w:rPr>
          <w:snapToGrid w:val="0"/>
        </w:rPr>
        <w:noBreakHyphen/>
        <w:t>compliance may be excused by Court</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bCs/>
        </w:rPr>
        <w:t>78.</w:t>
      </w:r>
      <w:r>
        <w:tab/>
        <w:t>Repealed by No. 28 of 2006 s. 144.]</w:t>
      </w:r>
    </w:p>
    <w:p>
      <w:pPr>
        <w:pStyle w:val="Heading5"/>
        <w:rPr>
          <w:snapToGrid w:val="0"/>
        </w:rPr>
      </w:pPr>
      <w:bookmarkStart w:id="295" w:name="_Toc507478830"/>
      <w:bookmarkStart w:id="296" w:name="_Toc101768424"/>
      <w:bookmarkStart w:id="297" w:name="_Toc125268556"/>
      <w:bookmarkStart w:id="298" w:name="_Toc139689135"/>
      <w:r>
        <w:rPr>
          <w:rStyle w:val="CharSectno"/>
        </w:rPr>
        <w:t>79</w:t>
      </w:r>
      <w:r>
        <w:rPr>
          <w:snapToGrid w:val="0"/>
        </w:rPr>
        <w:t>.</w:t>
      </w:r>
      <w:r>
        <w:rPr>
          <w:snapToGrid w:val="0"/>
        </w:rPr>
        <w:tab/>
        <w:t>Liability of directors, etc.</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b/>
          <w:snapToGrid w:val="0"/>
        </w:rPr>
        <w:t>“</w:t>
      </w:r>
      <w:r>
        <w:rPr>
          <w:rStyle w:val="CharDefText"/>
        </w:rPr>
        <w:t>officer</w:t>
      </w:r>
      <w:r>
        <w:rPr>
          <w:b/>
          <w:snapToGrid w:val="0"/>
        </w:rPr>
        <w:t>”</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299" w:name="_Toc507478831"/>
      <w:bookmarkStart w:id="300" w:name="_Toc101768425"/>
      <w:bookmarkStart w:id="301" w:name="_Toc125268557"/>
      <w:bookmarkStart w:id="302" w:name="_Toc139689136"/>
      <w:r>
        <w:rPr>
          <w:rStyle w:val="CharSectno"/>
        </w:rPr>
        <w:t>80</w:t>
      </w:r>
      <w:r>
        <w:rPr>
          <w:snapToGrid w:val="0"/>
        </w:rPr>
        <w:t>.</w:t>
      </w:r>
      <w:r>
        <w:rPr>
          <w:snapToGrid w:val="0"/>
        </w:rPr>
        <w:tab/>
        <w:t>Time for bringing proceedings</w:t>
      </w:r>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303" w:name="_Toc507478833"/>
      <w:r>
        <w:t>[</w:t>
      </w:r>
      <w:r>
        <w:rPr>
          <w:b/>
          <w:bCs/>
        </w:rPr>
        <w:t>81.</w:t>
      </w:r>
      <w:r>
        <w:rPr>
          <w:b/>
          <w:bCs/>
        </w:rPr>
        <w:tab/>
      </w:r>
      <w:r>
        <w:t>Repealed by No. 55 of 2004 s. 1042.]</w:t>
      </w:r>
    </w:p>
    <w:p>
      <w:pPr>
        <w:pStyle w:val="Heading5"/>
        <w:rPr>
          <w:snapToGrid w:val="0"/>
        </w:rPr>
      </w:pPr>
      <w:bookmarkStart w:id="304" w:name="_Toc101768426"/>
      <w:bookmarkStart w:id="305" w:name="_Toc125268558"/>
      <w:bookmarkStart w:id="306" w:name="_Toc139689137"/>
      <w:r>
        <w:rPr>
          <w:rStyle w:val="CharSectno"/>
        </w:rPr>
        <w:t>82</w:t>
      </w:r>
      <w:r>
        <w:rPr>
          <w:snapToGrid w:val="0"/>
        </w:rPr>
        <w:t>.</w:t>
      </w:r>
      <w:r>
        <w:rPr>
          <w:snapToGrid w:val="0"/>
        </w:rPr>
        <w:tab/>
        <w:t>Regulations</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307" w:name="_Toc507478834"/>
      <w:bookmarkStart w:id="308" w:name="_Toc101768427"/>
      <w:bookmarkStart w:id="309" w:name="_Toc125268559"/>
      <w:bookmarkStart w:id="310" w:name="_Toc139689138"/>
      <w:r>
        <w:rPr>
          <w:rStyle w:val="CharSectno"/>
        </w:rPr>
        <w:t>83</w:t>
      </w:r>
      <w:r>
        <w:rPr>
          <w:snapToGrid w:val="0"/>
        </w:rPr>
        <w:t>.</w:t>
      </w:r>
      <w:r>
        <w:rPr>
          <w:snapToGrid w:val="0"/>
        </w:rPr>
        <w:tab/>
        <w:t>Review of the Act</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311" w:name="_Toc507478835"/>
      <w:bookmarkStart w:id="312" w:name="_Toc101768428"/>
      <w:bookmarkStart w:id="313" w:name="_Toc125268560"/>
      <w:bookmarkStart w:id="314" w:name="_Toc139689139"/>
      <w:r>
        <w:rPr>
          <w:rStyle w:val="CharSectno"/>
        </w:rPr>
        <w:t>84</w:t>
      </w:r>
      <w:r>
        <w:rPr>
          <w:snapToGrid w:val="0"/>
        </w:rPr>
        <w:t>.</w:t>
      </w:r>
      <w:r>
        <w:rPr>
          <w:snapToGrid w:val="0"/>
        </w:rPr>
        <w:tab/>
        <w:t>Savings and transitional</w:t>
      </w:r>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Schedule 1 has effect.</w:t>
      </w:r>
    </w:p>
    <w:p>
      <w:pPr>
        <w:pStyle w:val="Ednotesection"/>
      </w:pPr>
      <w:r>
        <w:t>[</w:t>
      </w:r>
      <w:r>
        <w:rPr>
          <w:b/>
          <w:bCs/>
        </w:rPr>
        <w:t>85, 86.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spacing w:before="180"/>
      </w:pPr>
      <w:bookmarkStart w:id="315" w:name="_Toc98902545"/>
      <w:bookmarkStart w:id="316" w:name="_Toc101768429"/>
      <w:bookmarkStart w:id="317" w:name="_Toc125268561"/>
      <w:bookmarkStart w:id="318" w:name="_Toc139364543"/>
      <w:bookmarkStart w:id="319" w:name="_Toc139689062"/>
      <w:bookmarkStart w:id="320" w:name="_Toc139689140"/>
      <w:r>
        <w:rPr>
          <w:rStyle w:val="CharSchNo"/>
        </w:rPr>
        <w:t>Schedule 1</w:t>
      </w:r>
      <w:bookmarkEnd w:id="315"/>
      <w:bookmarkEnd w:id="316"/>
      <w:bookmarkEnd w:id="317"/>
      <w:bookmarkEnd w:id="318"/>
      <w:bookmarkEnd w:id="319"/>
      <w:bookmarkEnd w:id="320"/>
    </w:p>
    <w:p>
      <w:pPr>
        <w:pStyle w:val="yShoulderClause"/>
        <w:spacing w:before="80"/>
        <w:rPr>
          <w:snapToGrid w:val="0"/>
        </w:rPr>
      </w:pPr>
      <w:r>
        <w:rPr>
          <w:snapToGrid w:val="0"/>
        </w:rPr>
        <w:t>[Section 84]</w:t>
      </w:r>
    </w:p>
    <w:p>
      <w:pPr>
        <w:pStyle w:val="yHeading2"/>
      </w:pPr>
      <w:bookmarkStart w:id="321" w:name="_Toc100025809"/>
      <w:bookmarkStart w:id="322" w:name="_Toc101768430"/>
      <w:bookmarkStart w:id="323" w:name="_Toc125268562"/>
      <w:bookmarkStart w:id="324" w:name="_Toc139364544"/>
      <w:bookmarkStart w:id="325" w:name="_Toc139689063"/>
      <w:bookmarkStart w:id="326" w:name="_Toc139689141"/>
      <w:r>
        <w:rPr>
          <w:rStyle w:val="CharSchText"/>
        </w:rPr>
        <w:t>Savings and transitional provisions</w:t>
      </w:r>
      <w:bookmarkEnd w:id="321"/>
      <w:bookmarkEnd w:id="322"/>
      <w:bookmarkEnd w:id="323"/>
      <w:bookmarkEnd w:id="324"/>
      <w:bookmarkEnd w:id="325"/>
      <w:bookmarkEnd w:id="326"/>
    </w:p>
    <w:p>
      <w:pPr>
        <w:pStyle w:val="yHeading5"/>
        <w:outlineLvl w:val="9"/>
        <w:rPr>
          <w:snapToGrid w:val="0"/>
        </w:rPr>
      </w:pPr>
      <w:bookmarkStart w:id="327" w:name="_Toc101768431"/>
      <w:bookmarkStart w:id="328" w:name="_Toc125268563"/>
      <w:bookmarkStart w:id="329" w:name="_Toc139689142"/>
      <w:r>
        <w:rPr>
          <w:snapToGrid w:val="0"/>
        </w:rPr>
        <w:t>1.</w:t>
      </w:r>
      <w:r>
        <w:rPr>
          <w:snapToGrid w:val="0"/>
        </w:rPr>
        <w:tab/>
        <w:t>Existing disputes and other matters</w:t>
      </w:r>
      <w:bookmarkEnd w:id="327"/>
      <w:bookmarkEnd w:id="328"/>
      <w:bookmarkEnd w:id="329"/>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330" w:name="_Toc101768432"/>
      <w:bookmarkStart w:id="331" w:name="_Toc125268564"/>
      <w:bookmarkStart w:id="332" w:name="_Toc139689143"/>
      <w:r>
        <w:rPr>
          <w:snapToGrid w:val="0"/>
        </w:rPr>
        <w:t>2.</w:t>
      </w:r>
      <w:r>
        <w:rPr>
          <w:snapToGrid w:val="0"/>
        </w:rPr>
        <w:tab/>
        <w:t>Regulations</w:t>
      </w:r>
      <w:bookmarkEnd w:id="330"/>
      <w:bookmarkEnd w:id="331"/>
      <w:bookmarkEnd w:id="332"/>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333" w:name="_Toc101768433"/>
      <w:bookmarkStart w:id="334" w:name="_Toc125268565"/>
      <w:bookmarkStart w:id="335" w:name="_Toc139689144"/>
      <w:r>
        <w:rPr>
          <w:rFonts w:ascii="Times" w:hAnsi="Times"/>
          <w:snapToGrid w:val="0"/>
        </w:rPr>
        <w:t>3.</w:t>
      </w:r>
      <w:r>
        <w:rPr>
          <w:rFonts w:ascii="Times" w:hAnsi="Times"/>
          <w:snapToGrid w:val="0"/>
        </w:rPr>
        <w:tab/>
        <w:t>Exemption</w:t>
      </w:r>
      <w:bookmarkEnd w:id="333"/>
      <w:bookmarkEnd w:id="334"/>
      <w:bookmarkEnd w:id="335"/>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 </w:t>
      </w:r>
    </w:p>
    <w:p>
      <w:pPr>
        <w:pStyle w:val="yDefstart"/>
        <w:rPr>
          <w:rFonts w:ascii="Times" w:hAnsi="Times"/>
        </w:rPr>
      </w:pPr>
      <w:r>
        <w:rPr>
          <w:rFonts w:ascii="Times" w:hAnsi="Times"/>
          <w:b/>
        </w:rPr>
        <w:tab/>
        <w:t>“</w:t>
      </w:r>
      <w:r>
        <w:rPr>
          <w:rStyle w:val="CharDefText"/>
          <w:rFonts w:ascii="Times" w:hAnsi="Times"/>
        </w:rPr>
        <w:t>commencement date</w:t>
      </w:r>
      <w:r>
        <w:rPr>
          <w:rFonts w:ascii="Times" w:hAnsi="Times"/>
          <w:b/>
        </w:rPr>
        <w:t>”</w:t>
      </w:r>
      <w:r>
        <w:rPr>
          <w:rFonts w:ascii="Times" w:hAnsi="Times"/>
        </w:rPr>
        <w:t xml:space="preserve"> means the date on which this Act comes into operation.</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36" w:name="_Toc89597778"/>
      <w:bookmarkStart w:id="337" w:name="_Toc89775378"/>
      <w:bookmarkStart w:id="338" w:name="_Toc89775483"/>
      <w:bookmarkStart w:id="339" w:name="_Toc92703591"/>
      <w:bookmarkStart w:id="340" w:name="_Toc98119612"/>
      <w:bookmarkStart w:id="341" w:name="_Toc98123038"/>
      <w:bookmarkStart w:id="342" w:name="_Toc98730355"/>
      <w:bookmarkStart w:id="343" w:name="_Toc98902550"/>
      <w:bookmarkStart w:id="344" w:name="_Toc100025813"/>
      <w:bookmarkStart w:id="345" w:name="_Toc101768434"/>
      <w:bookmarkStart w:id="346" w:name="_Toc125268566"/>
      <w:bookmarkStart w:id="347" w:name="_Toc139364548"/>
      <w:bookmarkStart w:id="348" w:name="_Toc139689067"/>
      <w:bookmarkStart w:id="349" w:name="_Toc139689145"/>
      <w:r>
        <w:t>Notes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nSubsection"/>
        <w:rPr>
          <w:snapToGrid w:val="0"/>
        </w:rPr>
      </w:pPr>
      <w:r>
        <w:rPr>
          <w:snapToGrid w:val="0"/>
          <w:vertAlign w:val="superscript"/>
        </w:rPr>
        <w:t>1</w:t>
      </w:r>
      <w:r>
        <w:rPr>
          <w:snapToGrid w:val="0"/>
        </w:rPr>
        <w:tab/>
        <w:t xml:space="preserve">This is a compilation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b w:val="0"/>
          <w:snapToGrid w:val="0"/>
        </w:rPr>
      </w:pPr>
      <w:bookmarkStart w:id="350" w:name="UpToHere"/>
      <w:bookmarkStart w:id="351" w:name="_Toc101768435"/>
      <w:bookmarkStart w:id="352" w:name="_Toc125268567"/>
      <w:bookmarkStart w:id="353" w:name="_Toc139689146"/>
      <w:bookmarkEnd w:id="350"/>
      <w:r>
        <w:rPr>
          <w:snapToGrid w:val="0"/>
        </w:rPr>
        <w:t>Compilation table</w:t>
      </w:r>
      <w:bookmarkEnd w:id="351"/>
      <w:bookmarkEnd w:id="352"/>
      <w:bookmarkEnd w:id="3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Retirement Villages Act 1992</w:t>
            </w:r>
          </w:p>
        </w:tc>
        <w:tc>
          <w:tcPr>
            <w:tcW w:w="1134" w:type="dxa"/>
            <w:tcBorders>
              <w:top w:val="single" w:sz="8" w:space="0" w:color="auto"/>
            </w:tcBorders>
          </w:tcPr>
          <w:p>
            <w:pPr>
              <w:pStyle w:val="nTable"/>
              <w:spacing w:after="40"/>
              <w:rPr>
                <w:sz w:val="19"/>
              </w:rPr>
            </w:pPr>
            <w:r>
              <w:rPr>
                <w:sz w:val="19"/>
              </w:rPr>
              <w:t>34 of 1992</w:t>
            </w:r>
          </w:p>
        </w:tc>
        <w:tc>
          <w:tcPr>
            <w:tcW w:w="1134" w:type="dxa"/>
            <w:tcBorders>
              <w:top w:val="single" w:sz="8" w:space="0" w:color="auto"/>
            </w:tcBorders>
          </w:tcPr>
          <w:p>
            <w:pPr>
              <w:pStyle w:val="nTable"/>
              <w:spacing w:after="40"/>
              <w:rPr>
                <w:sz w:val="19"/>
              </w:rPr>
            </w:pPr>
            <w:r>
              <w:rPr>
                <w:sz w:val="19"/>
              </w:rPr>
              <w:t>19 Jun 1992</w:t>
            </w:r>
          </w:p>
        </w:tc>
        <w:tc>
          <w:tcPr>
            <w:tcW w:w="2552" w:type="dxa"/>
            <w:tcBorders>
              <w:top w:val="single" w:sz="8" w:space="0" w:color="auto"/>
            </w:tcBorders>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 and 104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Retirement Villages Act 1992</w:t>
            </w:r>
            <w:r>
              <w:rPr>
                <w:b/>
                <w:bCs/>
                <w:sz w:val="19"/>
              </w:rPr>
              <w:t xml:space="preserve"> 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60(1)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(Equality of Status) Act 2003</w:t>
            </w:r>
            <w:r>
              <w:rPr>
                <w:sz w:val="19"/>
              </w:rPr>
              <w:t xml:space="preserve"> Pt. 52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vertAlign w:val="superscript"/>
              </w:rPr>
            </w:pPr>
            <w:r>
              <w:rPr>
                <w:i/>
                <w:sz w:val="19"/>
              </w:rPr>
              <w:t>State Administrative Tribunal (Conferral of Jurisdiction) Amendment and Repeal Act 2004</w:t>
            </w:r>
            <w:r>
              <w:rPr>
                <w:i/>
                <w:iCs/>
                <w:sz w:val="19"/>
              </w:rPr>
              <w:t xml:space="preserve"> </w:t>
            </w:r>
            <w:r>
              <w:rPr>
                <w:sz w:val="19"/>
              </w:rPr>
              <w:t xml:space="preserve">Pt. 2 </w:t>
            </w:r>
            <w:r>
              <w:rPr>
                <w:iCs/>
                <w:sz w:val="19"/>
              </w:rPr>
              <w:t>Div. 113</w:t>
            </w:r>
            <w:r>
              <w:rPr>
                <w:iCs/>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8" w:type="dxa"/>
            <w:gridSpan w:val="4"/>
          </w:tcPr>
          <w:p>
            <w:pPr>
              <w:pStyle w:val="nTable"/>
              <w:spacing w:after="40"/>
              <w:rPr>
                <w:sz w:val="19"/>
              </w:rPr>
            </w:pPr>
            <w:r>
              <w:rPr>
                <w:b/>
                <w:bCs/>
                <w:sz w:val="19"/>
              </w:rPr>
              <w:t xml:space="preserve">Reprint 2: The </w:t>
            </w:r>
            <w:r>
              <w:rPr>
                <w:b/>
                <w:bCs/>
                <w:i/>
                <w:sz w:val="19"/>
              </w:rPr>
              <w:t>Retirement Villages Act 1992</w:t>
            </w:r>
            <w:r>
              <w:rPr>
                <w:b/>
                <w:bCs/>
                <w:sz w:val="19"/>
              </w:rPr>
              <w:t xml:space="preserve"> as at 1 Apr 2005</w:t>
            </w:r>
            <w:r>
              <w:rPr>
                <w:sz w:val="19"/>
              </w:rPr>
              <w:t xml:space="preserve"> (includes amendments listed above)</w:t>
            </w:r>
          </w:p>
        </w:tc>
      </w:tr>
      <w:tr>
        <w:trPr>
          <w:cantSplit/>
        </w:trPr>
        <w:tc>
          <w:tcPr>
            <w:tcW w:w="2268" w:type="dxa"/>
            <w:tcBorders>
              <w:bottom w:val="single" w:sz="4" w:space="0" w:color="auto"/>
            </w:tcBorders>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21 </w:t>
            </w:r>
            <w:r>
              <w:rPr>
                <w:sz w:val="19"/>
                <w:vertAlign w:val="superscript"/>
              </w:rPr>
              <w:t>6</w:t>
            </w:r>
          </w:p>
        </w:tc>
        <w:tc>
          <w:tcPr>
            <w:tcW w:w="1134" w:type="dxa"/>
            <w:tcBorders>
              <w:bottom w:val="single" w:sz="4" w:space="0" w:color="auto"/>
            </w:tcBorders>
          </w:tcPr>
          <w:p>
            <w:pPr>
              <w:pStyle w:val="nTable"/>
              <w:spacing w:after="40"/>
              <w:rPr>
                <w:sz w:val="19"/>
              </w:rPr>
            </w:pPr>
            <w:r>
              <w:rPr>
                <w:sz w:val="19"/>
              </w:rPr>
              <w:t>28 of 2006</w:t>
            </w:r>
          </w:p>
        </w:tc>
        <w:tc>
          <w:tcPr>
            <w:tcW w:w="1134" w:type="dxa"/>
            <w:tcBorders>
              <w:bottom w:val="single" w:sz="4" w:space="0" w:color="auto"/>
            </w:tcBorders>
          </w:tcPr>
          <w:p>
            <w:pPr>
              <w:pStyle w:val="nTable"/>
              <w:spacing w:after="40"/>
              <w:rPr>
                <w:sz w:val="19"/>
              </w:rPr>
            </w:pPr>
            <w:r>
              <w:rPr>
                <w:sz w:val="19"/>
              </w:rPr>
              <w:t>26 Jun 2006</w:t>
            </w:r>
          </w:p>
        </w:tc>
        <w:tc>
          <w:tcPr>
            <w:tcW w:w="2552" w:type="dxa"/>
            <w:tcBorders>
              <w:bottom w:val="single" w:sz="4"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spacing w:before="360"/>
        <w:ind w:left="482" w:hanging="482"/>
      </w:pPr>
      <w:r>
        <w:rPr>
          <w:vertAlign w:val="superscript"/>
        </w:rPr>
        <w:t>1a</w:t>
      </w:r>
      <w:r>
        <w:tab/>
        <w:t>On the date as at which thi</w:t>
      </w:r>
      <w:bookmarkStart w:id="354" w:name="_Hlt507390729"/>
      <w:bookmarkEnd w:id="35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55" w:name="_Toc101768436"/>
      <w:bookmarkStart w:id="356" w:name="_Toc125268568"/>
      <w:bookmarkStart w:id="357" w:name="_Toc139689147"/>
      <w:r>
        <w:rPr>
          <w:snapToGrid w:val="0"/>
        </w:rPr>
        <w:t>Provisions that have not come into operation</w:t>
      </w:r>
      <w:bookmarkEnd w:id="355"/>
      <w:bookmarkEnd w:id="356"/>
      <w:bookmarkEnd w:id="357"/>
    </w:p>
    <w:tbl>
      <w:tblPr>
        <w:tblW w:w="0" w:type="auto"/>
        <w:tblInd w:w="28" w:type="dxa"/>
        <w:tblLayout w:type="fixed"/>
        <w:tblCellMar>
          <w:left w:w="56" w:type="dxa"/>
          <w:right w:w="56" w:type="dxa"/>
        </w:tblCellMar>
        <w:tblLook w:val="0000" w:firstRow="0" w:lastRow="0" w:firstColumn="0" w:lastColumn="0" w:noHBand="0" w:noVBand="0"/>
      </w:tblPr>
      <w:tblGrid>
        <w:gridCol w:w="2268"/>
        <w:gridCol w:w="1092"/>
        <w:gridCol w:w="42"/>
        <w:gridCol w:w="1134"/>
        <w:gridCol w:w="24"/>
        <w:gridCol w:w="2528"/>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60(2) </w:t>
            </w:r>
            <w:r>
              <w:rPr>
                <w:snapToGrid w:val="0"/>
                <w:sz w:val="19"/>
                <w:vertAlign w:val="superscript"/>
              </w:rPr>
              <w:t>4</w:t>
            </w:r>
          </w:p>
        </w:tc>
        <w:tc>
          <w:tcPr>
            <w:tcW w:w="1134" w:type="dxa"/>
            <w:gridSpan w:val="2"/>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gridSpan w:val="2"/>
            <w:tcBorders>
              <w:top w:val="single" w:sz="8" w:space="0" w:color="auto"/>
            </w:tcBorders>
          </w:tcPr>
          <w:p>
            <w:pPr>
              <w:pStyle w:val="nTable"/>
              <w:keepNext/>
              <w:spacing w:after="40"/>
              <w:rPr>
                <w:sz w:val="19"/>
              </w:rPr>
            </w:pPr>
            <w:r>
              <w:rPr>
                <w:sz w:val="19"/>
              </w:rPr>
              <w:t>To be proclaimed (see s. 2(2))</w:t>
            </w:r>
          </w:p>
        </w:tc>
      </w:tr>
      <w:tr>
        <w:trPr>
          <w:gridAfter w:val="1"/>
          <w:wAfter w:w="28" w:type="dxa"/>
          <w:cantSplit/>
        </w:trPr>
        <w:tc>
          <w:tcPr>
            <w:tcW w:w="2268" w:type="dxa"/>
          </w:tcPr>
          <w:p>
            <w:pPr>
              <w:pStyle w:val="nTable"/>
              <w:spacing w:after="40"/>
              <w:ind w:right="113"/>
              <w:rPr>
                <w:i/>
                <w:snapToGrid w:val="0"/>
                <w:sz w:val="19"/>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5</w:t>
            </w:r>
          </w:p>
        </w:tc>
        <w:tc>
          <w:tcPr>
            <w:tcW w:w="1134" w:type="dxa"/>
            <w:gridSpan w:val="2"/>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gridSpan w:val="2"/>
          </w:tcPr>
          <w:p>
            <w:pPr>
              <w:pStyle w:val="nTable"/>
              <w:keepNext/>
              <w:spacing w:after="40"/>
              <w:rPr>
                <w:sz w:val="19"/>
              </w:rPr>
            </w:pPr>
            <w:r>
              <w:rPr>
                <w:snapToGrid w:val="0"/>
                <w:sz w:val="19"/>
                <w:lang w:val="en-US"/>
              </w:rPr>
              <w:t>To be proclaimed (see s. 2)</w:t>
            </w:r>
          </w:p>
        </w:tc>
      </w:tr>
      <w:tr>
        <w:tblPrEx>
          <w:tblCellMar>
            <w:left w:w="28" w:type="dxa"/>
            <w:right w:w="28" w:type="dxa"/>
          </w:tblCellMar>
        </w:tblPrEx>
        <w:trPr>
          <w:cantSplit/>
          <w:ins w:id="358" w:author="svcMRProcess" w:date="2018-09-08T01:47:00Z"/>
        </w:trPr>
        <w:tc>
          <w:tcPr>
            <w:tcW w:w="2268" w:type="dxa"/>
            <w:tcBorders>
              <w:bottom w:val="single" w:sz="4" w:space="0" w:color="auto"/>
            </w:tcBorders>
          </w:tcPr>
          <w:p>
            <w:pPr>
              <w:pStyle w:val="nTable"/>
              <w:spacing w:after="40"/>
              <w:ind w:right="113"/>
              <w:rPr>
                <w:ins w:id="359" w:author="svcMRProcess" w:date="2018-09-08T01:47:00Z"/>
                <w:iCs/>
                <w:snapToGrid w:val="0"/>
                <w:sz w:val="19"/>
                <w:lang w:val="en-US"/>
              </w:rPr>
            </w:pPr>
            <w:ins w:id="360" w:author="svcMRProcess" w:date="2018-09-08T01:47:00Z">
              <w:r>
                <w:rPr>
                  <w:i/>
                  <w:snapToGrid w:val="0"/>
                  <w:sz w:val="19"/>
                  <w:lang w:val="en-US"/>
                </w:rPr>
                <w:t xml:space="preserve">Consumer Protection Legislation Amendment and Repeal Act 2006 </w:t>
              </w:r>
              <w:r>
                <w:rPr>
                  <w:iCs/>
                  <w:snapToGrid w:val="0"/>
                  <w:sz w:val="19"/>
                  <w:lang w:val="en-US"/>
                </w:rPr>
                <w:t>Pt. 10 </w:t>
              </w:r>
              <w:r>
                <w:rPr>
                  <w:iCs/>
                  <w:snapToGrid w:val="0"/>
                  <w:sz w:val="19"/>
                  <w:vertAlign w:val="superscript"/>
                  <w:lang w:val="en-US"/>
                </w:rPr>
                <w:t>7</w:t>
              </w:r>
            </w:ins>
          </w:p>
        </w:tc>
        <w:tc>
          <w:tcPr>
            <w:tcW w:w="1092" w:type="dxa"/>
            <w:tcBorders>
              <w:bottom w:val="single" w:sz="4" w:space="0" w:color="auto"/>
            </w:tcBorders>
          </w:tcPr>
          <w:p>
            <w:pPr>
              <w:pStyle w:val="nTable"/>
              <w:spacing w:after="40"/>
              <w:ind w:right="113"/>
              <w:rPr>
                <w:ins w:id="361" w:author="svcMRProcess" w:date="2018-09-08T01:47:00Z"/>
                <w:snapToGrid w:val="0"/>
                <w:sz w:val="19"/>
                <w:lang w:val="en-US"/>
              </w:rPr>
            </w:pPr>
            <w:ins w:id="362" w:author="svcMRProcess" w:date="2018-09-08T01:47:00Z">
              <w:r>
                <w:rPr>
                  <w:snapToGrid w:val="0"/>
                  <w:sz w:val="19"/>
                  <w:lang w:val="en-US"/>
                </w:rPr>
                <w:t xml:space="preserve">69 of 2006 </w:t>
              </w:r>
            </w:ins>
          </w:p>
        </w:tc>
        <w:tc>
          <w:tcPr>
            <w:tcW w:w="1200" w:type="dxa"/>
            <w:gridSpan w:val="3"/>
            <w:tcBorders>
              <w:bottom w:val="single" w:sz="4" w:space="0" w:color="auto"/>
            </w:tcBorders>
          </w:tcPr>
          <w:p>
            <w:pPr>
              <w:pStyle w:val="nTable"/>
              <w:spacing w:after="40"/>
              <w:ind w:right="113"/>
              <w:rPr>
                <w:ins w:id="363" w:author="svcMRProcess" w:date="2018-09-08T01:47:00Z"/>
                <w:snapToGrid w:val="0"/>
                <w:sz w:val="19"/>
                <w:lang w:val="en-US"/>
              </w:rPr>
            </w:pPr>
            <w:ins w:id="364" w:author="svcMRProcess" w:date="2018-09-08T01:47:00Z">
              <w:r>
                <w:rPr>
                  <w:snapToGrid w:val="0"/>
                  <w:sz w:val="19"/>
                  <w:lang w:val="en-US"/>
                </w:rPr>
                <w:t>13 Dec 2006</w:t>
              </w:r>
            </w:ins>
          </w:p>
        </w:tc>
        <w:tc>
          <w:tcPr>
            <w:tcW w:w="2528" w:type="dxa"/>
            <w:gridSpan w:val="2"/>
            <w:tcBorders>
              <w:bottom w:val="single" w:sz="4" w:space="0" w:color="auto"/>
            </w:tcBorders>
          </w:tcPr>
          <w:p>
            <w:pPr>
              <w:pStyle w:val="nTable"/>
              <w:spacing w:after="40"/>
              <w:ind w:right="113"/>
              <w:rPr>
                <w:ins w:id="365" w:author="svcMRProcess" w:date="2018-09-08T01:47:00Z"/>
                <w:snapToGrid w:val="0"/>
                <w:sz w:val="19"/>
                <w:lang w:val="en-US"/>
              </w:rPr>
            </w:pPr>
            <w:ins w:id="366" w:author="svcMRProcess" w:date="2018-09-08T01:47:00Z">
              <w:r>
                <w:rPr>
                  <w:snapToGrid w:val="0"/>
                  <w:sz w:val="19"/>
                  <w:lang w:val="en-US"/>
                </w:rPr>
                <w:t>To be proclaimed (see s. 2)</w:t>
              </w:r>
            </w:ins>
          </w:p>
        </w:tc>
      </w:tr>
    </w:tbl>
    <w:p>
      <w:pPr>
        <w:pStyle w:val="nSubsection"/>
        <w:rPr>
          <w:ins w:id="367" w:author="svcMRProcess" w:date="2018-09-08T01:47:00Z"/>
          <w:vertAlign w:val="superscript"/>
        </w:rPr>
      </w:pPr>
    </w:p>
    <w:p>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3</w:t>
      </w:r>
      <w:r>
        <w:rPr>
          <w:iCs/>
        </w:rPr>
        <w:tab/>
        <w:t xml:space="preserve">The </w:t>
      </w:r>
      <w:r>
        <w:rPr>
          <w:i/>
        </w:rPr>
        <w:t>State Administrative Tribunal Regulations 2004</w:t>
      </w:r>
      <w:r>
        <w:rPr>
          <w:iCs/>
        </w:rPr>
        <w:t xml:space="preserve"> r. 37 reads as follows:</w:t>
      </w:r>
    </w:p>
    <w:p>
      <w:pPr>
        <w:pStyle w:val="MiscOpen"/>
        <w:keepNext w:val="0"/>
        <w:keepLines w:val="0"/>
        <w:spacing w:before="40"/>
      </w:pPr>
      <w:r>
        <w:t>“</w:t>
      </w: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 xml:space="preserve">In this regulation — </w:t>
      </w:r>
    </w:p>
    <w:p>
      <w:pPr>
        <w:pStyle w:val="nzDefstart"/>
      </w:pPr>
      <w:r>
        <w:rPr>
          <w:b/>
        </w:rPr>
        <w:tab/>
        <w:t>“</w:t>
      </w:r>
      <w:r>
        <w:rPr>
          <w:b/>
          <w:spacing w:val="-2"/>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60(2) had not come into operation.  It reads as follows:</w:t>
      </w:r>
    </w:p>
    <w:p>
      <w:pPr>
        <w:pStyle w:val="MiscOpen"/>
        <w:rPr>
          <w:snapToGrid w:val="0"/>
        </w:rPr>
      </w:pPr>
      <w:r>
        <w:rPr>
          <w:snapToGrid w:val="0"/>
        </w:rPr>
        <w:t>“</w:t>
      </w:r>
    </w:p>
    <w:p>
      <w:pPr>
        <w:pStyle w:val="nzHeading5"/>
      </w:pPr>
      <w:bookmarkStart w:id="368" w:name="_Toc497533379"/>
      <w:r>
        <w:rPr>
          <w:rStyle w:val="CharSectno"/>
        </w:rPr>
        <w:t>60</w:t>
      </w:r>
      <w:r>
        <w:t>.</w:t>
      </w:r>
      <w:r>
        <w:tab/>
      </w:r>
      <w:r>
        <w:rPr>
          <w:i/>
        </w:rPr>
        <w:t>Retirement Villages Act 1992</w:t>
      </w:r>
      <w:r>
        <w:t xml:space="preserve"> amended</w:t>
      </w:r>
      <w:bookmarkEnd w:id="368"/>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MiscClose"/>
        <w:rPr>
          <w:snapToGrid w:val="0"/>
        </w:rPr>
      </w:pPr>
      <w:r>
        <w:rPr>
          <w:snapToGrid w:val="0"/>
        </w:rPr>
        <w:t>”.</w:t>
      </w:r>
    </w:p>
    <w:p>
      <w:pPr>
        <w:pStyle w:val="nSubsection"/>
      </w:pPr>
      <w:r>
        <w:tab/>
        <w:t>The section that it seeks to amend has been repealed.</w:t>
      </w:r>
    </w:p>
    <w:p>
      <w:pPr>
        <w:pStyle w:val="nSubsection"/>
        <w:rPr>
          <w:snapToGrid w:val="0"/>
        </w:rPr>
      </w:pPr>
      <w:r>
        <w:rPr>
          <w:vertAlign w:val="superscript"/>
        </w:rPr>
        <w:t>5</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369" w:name="_Toc448803174"/>
      <w:bookmarkStart w:id="370" w:name="_Toc491766624"/>
      <w:bookmarkStart w:id="371" w:name="_Toc88630544"/>
      <w:r>
        <w:rPr>
          <w:rStyle w:val="CharSectno"/>
        </w:rPr>
        <w:t>142</w:t>
      </w:r>
      <w:r>
        <w:t>.</w:t>
      </w:r>
      <w:r>
        <w:tab/>
        <w:t xml:space="preserve">Other amendments to various Acts </w:t>
      </w:r>
      <w:bookmarkEnd w:id="369"/>
      <w:bookmarkEnd w:id="370"/>
      <w:bookmarkEnd w:id="371"/>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45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372" w:name="_Toc491766794"/>
      <w:bookmarkStart w:id="373" w:name="_Toc497185917"/>
      <w:bookmarkStart w:id="374" w:name="_Toc88630767"/>
      <w:r>
        <w:t>45.</w:t>
      </w:r>
      <w:r>
        <w:tab/>
      </w:r>
      <w:r>
        <w:rPr>
          <w:i/>
        </w:rPr>
        <w:t>Retirement Villages Act 1992</w:t>
      </w:r>
      <w:bookmarkEnd w:id="372"/>
      <w:bookmarkEnd w:id="373"/>
      <w:bookmarkEnd w:id="374"/>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8"/>
      </w:tblGrid>
      <w:tr>
        <w:trPr>
          <w:cantSplit/>
        </w:trPr>
        <w:tc>
          <w:tcPr>
            <w:tcW w:w="1276" w:type="dxa"/>
          </w:tcPr>
          <w:p>
            <w:pPr>
              <w:pStyle w:val="nzTable"/>
            </w:pPr>
            <w:r>
              <w:t>s. 37(2)</w:t>
            </w:r>
          </w:p>
        </w:tc>
        <w:tc>
          <w:tcPr>
            <w:tcW w:w="4678" w:type="dxa"/>
          </w:tcPr>
          <w:p>
            <w:pPr>
              <w:pStyle w:val="nzTable"/>
            </w:pPr>
            <w:r>
              <w:t xml:space="preserve">Delete “a Local Court” and insert instead — </w:t>
            </w:r>
          </w:p>
          <w:p>
            <w:pPr>
              <w:pStyle w:val="nzTable"/>
            </w:pPr>
            <w:r>
              <w:t>“    the Magistrates Court    ”.</w:t>
            </w:r>
          </w:p>
        </w:tc>
      </w:tr>
      <w:tr>
        <w:trPr>
          <w:cantSplit/>
        </w:trPr>
        <w:tc>
          <w:tcPr>
            <w:tcW w:w="1276" w:type="dxa"/>
          </w:tcPr>
          <w:p>
            <w:pPr>
              <w:pStyle w:val="nzTable"/>
            </w:pPr>
            <w:r>
              <w:t>s. 72(1)(a)</w:t>
            </w:r>
          </w:p>
        </w:tc>
        <w:tc>
          <w:tcPr>
            <w:tcW w:w="4678" w:type="dxa"/>
          </w:tcPr>
          <w:p>
            <w:pPr>
              <w:pStyle w:val="nzTable"/>
            </w:pPr>
            <w:r>
              <w:t xml:space="preserve">Delete “by a local court under Part VI of the </w:t>
            </w:r>
            <w:r>
              <w:rPr>
                <w:i/>
              </w:rPr>
              <w:t>Local Courts Act 1904</w:t>
            </w:r>
            <w:r>
              <w:t xml:space="preserve">;” and insert instead — </w:t>
            </w:r>
          </w:p>
          <w:p>
            <w:pPr>
              <w:pStyle w:val="nzTable"/>
            </w:pPr>
            <w:r>
              <w:t>“</w:t>
            </w:r>
          </w:p>
          <w:p>
            <w:pPr>
              <w:pStyle w:val="nzTable"/>
              <w:tabs>
                <w:tab w:val="left" w:pos="459"/>
              </w:tabs>
              <w:ind w:left="459" w:hanging="459"/>
            </w:pPr>
            <w:r>
              <w:tab/>
              <w:t xml:space="preserve">made by the Magistrates Court under the </w:t>
            </w:r>
            <w:r>
              <w:rPr>
                <w:i/>
              </w:rPr>
              <w:t>Magistrates Court (Civil Proceedings) Act 2004</w:t>
            </w:r>
            <w:r>
              <w:t>;</w:t>
            </w:r>
          </w:p>
          <w:p>
            <w:pPr>
              <w:pStyle w:val="nzTable"/>
              <w:jc w:val="right"/>
            </w:pPr>
            <w:r>
              <w:t>”.</w:t>
            </w:r>
          </w:p>
        </w:tc>
      </w:tr>
      <w:tr>
        <w:trPr>
          <w:cantSplit/>
        </w:trPr>
        <w:tc>
          <w:tcPr>
            <w:tcW w:w="1276" w:type="dxa"/>
          </w:tcPr>
          <w:p>
            <w:pPr>
              <w:pStyle w:val="nzTable"/>
            </w:pPr>
            <w:r>
              <w:t>s. 72(1)(b)</w:t>
            </w:r>
          </w:p>
        </w:tc>
        <w:tc>
          <w:tcPr>
            <w:tcW w:w="4678" w:type="dxa"/>
          </w:tcPr>
          <w:p>
            <w:pPr>
              <w:pStyle w:val="nzTable"/>
            </w:pPr>
            <w:r>
              <w:t xml:space="preserve">Delete “a local court in its jurisdiction under Part III of the </w:t>
            </w:r>
            <w:r>
              <w:rPr>
                <w:i/>
              </w:rPr>
              <w:t>Local Courts Act 1904</w:t>
            </w:r>
            <w:r>
              <w:t xml:space="preserve">.” and insert instead — </w:t>
            </w:r>
          </w:p>
          <w:p>
            <w:pPr>
              <w:pStyle w:val="nzTable"/>
            </w:pPr>
            <w:r>
              <w:t>“    the Magistrates Court.    ”.</w:t>
            </w:r>
          </w:p>
        </w:tc>
      </w:tr>
    </w:tbl>
    <w:p>
      <w:pPr>
        <w:pStyle w:val="MiscClose"/>
        <w:rPr>
          <w:snapToGrid w:val="0"/>
        </w:rPr>
      </w:pPr>
      <w:r>
        <w:rPr>
          <w:snapToGrid w:val="0"/>
        </w:rPr>
        <w:t>”.</w:t>
      </w:r>
    </w:p>
    <w:p>
      <w:pPr>
        <w:pStyle w:val="nSubsection"/>
      </w:pPr>
      <w:r>
        <w:tab/>
        <w:t>The sections that it seeks to amend have been repealed.</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ins w:id="375" w:author="svcMRProcess" w:date="2018-09-08T01:47:00Z"/>
          <w:snapToGrid w:val="0"/>
        </w:rPr>
      </w:pPr>
      <w:ins w:id="376" w:author="svcMRProcess" w:date="2018-09-08T01:47:00Z">
        <w:r>
          <w:rPr>
            <w:snapToGrid w:val="0"/>
            <w:vertAlign w:val="superscript"/>
          </w:rPr>
          <w:t>7</w:t>
        </w:r>
        <w:r>
          <w:rPr>
            <w:snapToGrid w:val="0"/>
          </w:rPr>
          <w:tab/>
          <w:t xml:space="preserve">On the date as at which this compilation was prepared, the </w:t>
        </w:r>
        <w:r>
          <w:rPr>
            <w:i/>
            <w:iCs/>
          </w:rPr>
          <w:t>Consumer Protection Legislation Amendment and Repeal Act 2006</w:t>
        </w:r>
        <w:r>
          <w:t xml:space="preserve"> Pt. 10 </w:t>
        </w:r>
        <w:r>
          <w:rPr>
            <w:snapToGrid w:val="0"/>
          </w:rPr>
          <w:t>had not come into operation.  It reads as follows:</w:t>
        </w:r>
      </w:ins>
    </w:p>
    <w:p>
      <w:pPr>
        <w:pStyle w:val="MiscOpen"/>
        <w:rPr>
          <w:ins w:id="377" w:author="svcMRProcess" w:date="2018-09-08T01:47:00Z"/>
          <w:snapToGrid w:val="0"/>
        </w:rPr>
      </w:pPr>
      <w:ins w:id="378" w:author="svcMRProcess" w:date="2018-09-08T01:47:00Z">
        <w:r>
          <w:rPr>
            <w:snapToGrid w:val="0"/>
          </w:rPr>
          <w:t>“</w:t>
        </w:r>
      </w:ins>
    </w:p>
    <w:p>
      <w:pPr>
        <w:pStyle w:val="nzHeading2"/>
        <w:rPr>
          <w:ins w:id="379" w:author="svcMRProcess" w:date="2018-09-08T01:47:00Z"/>
        </w:rPr>
      </w:pPr>
      <w:bookmarkStart w:id="380" w:name="_Toc72723011"/>
      <w:bookmarkStart w:id="381" w:name="_Toc72738121"/>
      <w:bookmarkStart w:id="382" w:name="_Toc72742965"/>
      <w:bookmarkStart w:id="383" w:name="_Toc72802942"/>
      <w:bookmarkStart w:id="384" w:name="_Toc72805356"/>
      <w:bookmarkStart w:id="385" w:name="_Toc73340487"/>
      <w:bookmarkStart w:id="386" w:name="_Toc75574780"/>
      <w:bookmarkStart w:id="387" w:name="_Toc75574825"/>
      <w:bookmarkStart w:id="388" w:name="_Toc75597078"/>
      <w:bookmarkStart w:id="389" w:name="_Toc75597123"/>
      <w:bookmarkStart w:id="390" w:name="_Toc75657847"/>
      <w:bookmarkStart w:id="391" w:name="_Toc75658855"/>
      <w:bookmarkStart w:id="392" w:name="_Toc75659000"/>
      <w:bookmarkStart w:id="393" w:name="_Toc75659189"/>
      <w:bookmarkStart w:id="394" w:name="_Toc75659276"/>
      <w:bookmarkStart w:id="395" w:name="_Toc75659500"/>
      <w:bookmarkStart w:id="396" w:name="_Toc78767699"/>
      <w:bookmarkStart w:id="397" w:name="_Toc78945690"/>
      <w:bookmarkStart w:id="398" w:name="_Toc78945774"/>
      <w:bookmarkStart w:id="399" w:name="_Toc78951273"/>
      <w:bookmarkStart w:id="400" w:name="_Toc79207230"/>
      <w:bookmarkStart w:id="401" w:name="_Toc79213897"/>
      <w:bookmarkStart w:id="402" w:name="_Toc79306818"/>
      <w:bookmarkStart w:id="403" w:name="_Toc80602131"/>
      <w:bookmarkStart w:id="404" w:name="_Toc81111833"/>
      <w:bookmarkStart w:id="405" w:name="_Toc104859494"/>
      <w:bookmarkStart w:id="406" w:name="_Toc104863358"/>
      <w:bookmarkStart w:id="407" w:name="_Toc104863993"/>
      <w:bookmarkStart w:id="408" w:name="_Toc104864044"/>
      <w:bookmarkStart w:id="409" w:name="_Toc104865508"/>
      <w:bookmarkStart w:id="410" w:name="_Toc104875446"/>
      <w:bookmarkStart w:id="411" w:name="_Toc104877763"/>
      <w:bookmarkStart w:id="412" w:name="_Toc104963836"/>
      <w:bookmarkStart w:id="413" w:name="_Toc105215203"/>
      <w:bookmarkStart w:id="414" w:name="_Toc105217217"/>
      <w:bookmarkStart w:id="415" w:name="_Toc105226556"/>
      <w:bookmarkStart w:id="416" w:name="_Toc105231750"/>
      <w:bookmarkStart w:id="417" w:name="_Toc105233894"/>
      <w:bookmarkStart w:id="418" w:name="_Toc105306833"/>
      <w:bookmarkStart w:id="419" w:name="_Toc105306887"/>
      <w:bookmarkStart w:id="420" w:name="_Toc105374101"/>
      <w:bookmarkStart w:id="421" w:name="_Toc105465123"/>
      <w:bookmarkStart w:id="422" w:name="_Toc105895972"/>
      <w:bookmarkStart w:id="423" w:name="_Toc105896404"/>
      <w:bookmarkStart w:id="424" w:name="_Toc106080874"/>
      <w:bookmarkStart w:id="425" w:name="_Toc106081599"/>
      <w:bookmarkStart w:id="426" w:name="_Toc106087915"/>
      <w:bookmarkStart w:id="427" w:name="_Toc106090037"/>
      <w:bookmarkStart w:id="428" w:name="_Toc106589706"/>
      <w:bookmarkStart w:id="429" w:name="_Toc106591391"/>
      <w:bookmarkStart w:id="430" w:name="_Toc106592061"/>
      <w:bookmarkStart w:id="431" w:name="_Toc106676903"/>
      <w:bookmarkStart w:id="432" w:name="_Toc106685615"/>
      <w:bookmarkStart w:id="433" w:name="_Toc106686344"/>
      <w:bookmarkStart w:id="434" w:name="_Toc111271766"/>
      <w:bookmarkStart w:id="435" w:name="_Toc111277633"/>
      <w:bookmarkStart w:id="436" w:name="_Toc111338103"/>
      <w:bookmarkStart w:id="437" w:name="_Toc111345611"/>
      <w:bookmarkStart w:id="438" w:name="_Toc111345662"/>
      <w:bookmarkStart w:id="439" w:name="_Toc111345841"/>
      <w:bookmarkStart w:id="440" w:name="_Toc111345973"/>
      <w:bookmarkStart w:id="441" w:name="_Toc111608448"/>
      <w:bookmarkStart w:id="442" w:name="_Toc111608511"/>
      <w:bookmarkStart w:id="443" w:name="_Toc111609113"/>
      <w:bookmarkStart w:id="444" w:name="_Toc111613027"/>
      <w:bookmarkStart w:id="445" w:name="_Toc111614321"/>
      <w:bookmarkStart w:id="446" w:name="_Toc114979725"/>
      <w:bookmarkStart w:id="447" w:name="_Toc153356714"/>
      <w:bookmarkStart w:id="448" w:name="_Toc153852210"/>
      <w:ins w:id="449" w:author="svcMRProcess" w:date="2018-09-08T01:47:00Z">
        <w:r>
          <w:rPr>
            <w:rStyle w:val="CharPartNo"/>
          </w:rPr>
          <w:t>Part 10</w:t>
        </w:r>
        <w:r>
          <w:rPr>
            <w:rStyle w:val="CharDivNo"/>
          </w:rPr>
          <w:t xml:space="preserve"> </w:t>
        </w:r>
        <w:r>
          <w:t>—</w:t>
        </w:r>
        <w:r>
          <w:rPr>
            <w:rStyle w:val="CharDivText"/>
          </w:rPr>
          <w:t xml:space="preserve"> </w:t>
        </w:r>
        <w:r>
          <w:rPr>
            <w:rStyle w:val="CharPartText"/>
            <w:i/>
          </w:rPr>
          <w:t>Retirement Villages Act 1992</w:t>
        </w:r>
        <w:bookmarkEnd w:id="380"/>
        <w:bookmarkEnd w:id="381"/>
        <w:bookmarkEnd w:id="382"/>
        <w:bookmarkEnd w:id="383"/>
        <w:bookmarkEnd w:id="384"/>
        <w:bookmarkEnd w:id="385"/>
        <w:bookmarkEnd w:id="386"/>
        <w:bookmarkEnd w:id="387"/>
        <w:bookmarkEnd w:id="388"/>
        <w:bookmarkEnd w:id="389"/>
        <w:r>
          <w:rPr>
            <w:rStyle w:val="CharPartText"/>
            <w:i/>
          </w:rPr>
          <w:t xml:space="preserve"> </w:t>
        </w:r>
        <w:r>
          <w:rPr>
            <w:rStyle w:val="CharPartText"/>
          </w:rPr>
          <w:t>amended</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ins>
    </w:p>
    <w:p>
      <w:pPr>
        <w:pStyle w:val="nzHeading5"/>
        <w:rPr>
          <w:ins w:id="450" w:author="svcMRProcess" w:date="2018-09-08T01:47:00Z"/>
        </w:rPr>
      </w:pPr>
      <w:bookmarkStart w:id="451" w:name="_Toc24853920"/>
      <w:bookmarkStart w:id="452" w:name="_Toc105217218"/>
      <w:bookmarkStart w:id="453" w:name="_Toc111345974"/>
      <w:bookmarkStart w:id="454" w:name="_Toc153356715"/>
      <w:bookmarkStart w:id="455" w:name="_Toc153852211"/>
      <w:ins w:id="456" w:author="svcMRProcess" w:date="2018-09-08T01:47:00Z">
        <w:r>
          <w:rPr>
            <w:rStyle w:val="CharSectno"/>
          </w:rPr>
          <w:t>33</w:t>
        </w:r>
        <w:r>
          <w:t>.</w:t>
        </w:r>
        <w:r>
          <w:tab/>
          <w:t>The Act amended</w:t>
        </w:r>
        <w:bookmarkEnd w:id="451"/>
        <w:bookmarkEnd w:id="452"/>
        <w:bookmarkEnd w:id="453"/>
        <w:bookmarkEnd w:id="454"/>
        <w:bookmarkEnd w:id="455"/>
      </w:ins>
    </w:p>
    <w:p>
      <w:pPr>
        <w:pStyle w:val="nzSubsection"/>
        <w:rPr>
          <w:ins w:id="457" w:author="svcMRProcess" w:date="2018-09-08T01:47:00Z"/>
        </w:rPr>
      </w:pPr>
      <w:ins w:id="458" w:author="svcMRProcess" w:date="2018-09-08T01:47:00Z">
        <w:r>
          <w:tab/>
        </w:r>
        <w:r>
          <w:tab/>
          <w:t>The amendments in this Part are to the</w:t>
        </w:r>
        <w:r>
          <w:rPr>
            <w:i/>
          </w:rPr>
          <w:t xml:space="preserve"> Retirement Villages Act 1992</w:t>
        </w:r>
        <w:r>
          <w:t>.</w:t>
        </w:r>
      </w:ins>
    </w:p>
    <w:p>
      <w:pPr>
        <w:pStyle w:val="nzHeading5"/>
        <w:rPr>
          <w:ins w:id="459" w:author="svcMRProcess" w:date="2018-09-08T01:47:00Z"/>
        </w:rPr>
      </w:pPr>
      <w:bookmarkStart w:id="460" w:name="_Toc24853921"/>
      <w:bookmarkStart w:id="461" w:name="_Toc105217219"/>
      <w:bookmarkStart w:id="462" w:name="_Toc111345975"/>
      <w:bookmarkStart w:id="463" w:name="_Toc153356716"/>
      <w:bookmarkStart w:id="464" w:name="_Toc153852212"/>
      <w:ins w:id="465" w:author="svcMRProcess" w:date="2018-09-08T01:47:00Z">
        <w:r>
          <w:rPr>
            <w:rStyle w:val="CharSectno"/>
          </w:rPr>
          <w:t>34</w:t>
        </w:r>
        <w:r>
          <w:t>.</w:t>
        </w:r>
        <w:r>
          <w:tab/>
          <w:t>Section 5 amended</w:t>
        </w:r>
        <w:bookmarkEnd w:id="460"/>
        <w:bookmarkEnd w:id="461"/>
        <w:bookmarkEnd w:id="462"/>
        <w:bookmarkEnd w:id="463"/>
        <w:bookmarkEnd w:id="464"/>
      </w:ins>
    </w:p>
    <w:p>
      <w:pPr>
        <w:pStyle w:val="nzSubsection"/>
        <w:rPr>
          <w:ins w:id="466" w:author="svcMRProcess" w:date="2018-09-08T01:47:00Z"/>
        </w:rPr>
      </w:pPr>
      <w:ins w:id="467" w:author="svcMRProcess" w:date="2018-09-08T01:47:00Z">
        <w:r>
          <w:tab/>
          <w:t>(1)</w:t>
        </w:r>
        <w:r>
          <w:tab/>
          <w:t>Section 5 is amended by inserting before “Except as” the subsection designation “(1)”.</w:t>
        </w:r>
      </w:ins>
    </w:p>
    <w:p>
      <w:pPr>
        <w:pStyle w:val="nzSubsection"/>
        <w:rPr>
          <w:ins w:id="468" w:author="svcMRProcess" w:date="2018-09-08T01:47:00Z"/>
        </w:rPr>
      </w:pPr>
      <w:ins w:id="469" w:author="svcMRProcess" w:date="2018-09-08T01:47:00Z">
        <w:r>
          <w:tab/>
          <w:t>(2)</w:t>
        </w:r>
        <w:r>
          <w:tab/>
          <w:t>At the end of section 5 the following subsection is inserted —</w:t>
        </w:r>
      </w:ins>
    </w:p>
    <w:p>
      <w:pPr>
        <w:pStyle w:val="MiscOpen"/>
        <w:ind w:left="595"/>
        <w:rPr>
          <w:ins w:id="470" w:author="svcMRProcess" w:date="2018-09-08T01:47:00Z"/>
        </w:rPr>
      </w:pPr>
      <w:ins w:id="471" w:author="svcMRProcess" w:date="2018-09-08T01:47:00Z">
        <w:r>
          <w:t xml:space="preserve">“    </w:t>
        </w:r>
      </w:ins>
    </w:p>
    <w:p>
      <w:pPr>
        <w:pStyle w:val="nzSubsection"/>
        <w:rPr>
          <w:ins w:id="472" w:author="svcMRProcess" w:date="2018-09-08T01:47:00Z"/>
        </w:rPr>
      </w:pPr>
      <w:ins w:id="473" w:author="svcMRProcess" w:date="2018-09-08T01:47:00Z">
        <w:r>
          <w:tab/>
          <w:t>(2)</w:t>
        </w:r>
        <w:r>
          <w:tab/>
          <w:t xml:space="preserve">This Act does not apply to a resident or prospective resident of a retirement village or to the administering body of that retirement village if — </w:t>
        </w:r>
      </w:ins>
    </w:p>
    <w:p>
      <w:pPr>
        <w:pStyle w:val="nzIndenta"/>
        <w:rPr>
          <w:ins w:id="474" w:author="svcMRProcess" w:date="2018-09-08T01:47:00Z"/>
        </w:rPr>
      </w:pPr>
      <w:ins w:id="475" w:author="svcMRProcess" w:date="2018-09-08T01:47:00Z">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w:t>
        </w:r>
      </w:ins>
    </w:p>
    <w:p>
      <w:pPr>
        <w:pStyle w:val="nzIndenta"/>
        <w:rPr>
          <w:ins w:id="476" w:author="svcMRProcess" w:date="2018-09-08T01:47:00Z"/>
        </w:rPr>
      </w:pPr>
      <w:ins w:id="477" w:author="svcMRProcess" w:date="2018-09-08T01:47:00Z">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ins>
    </w:p>
    <w:p>
      <w:pPr>
        <w:pStyle w:val="nzIndenta"/>
        <w:rPr>
          <w:ins w:id="478" w:author="svcMRProcess" w:date="2018-09-08T01:47:00Z"/>
        </w:rPr>
      </w:pPr>
      <w:ins w:id="479" w:author="svcMRProcess" w:date="2018-09-08T01:47:00Z">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ins>
    </w:p>
    <w:p>
      <w:pPr>
        <w:pStyle w:val="MiscClose"/>
        <w:ind w:right="498"/>
        <w:rPr>
          <w:ins w:id="480" w:author="svcMRProcess" w:date="2018-09-08T01:47:00Z"/>
        </w:rPr>
      </w:pPr>
      <w:ins w:id="481" w:author="svcMRProcess" w:date="2018-09-08T01:47:00Z">
        <w:r>
          <w:t>”.</w:t>
        </w:r>
      </w:ins>
    </w:p>
    <w:p>
      <w:pPr>
        <w:pStyle w:val="MiscClose"/>
        <w:rPr>
          <w:ins w:id="482" w:author="svcMRProcess" w:date="2018-09-08T01:47:00Z"/>
          <w:snapToGrid w:val="0"/>
        </w:rPr>
      </w:pPr>
      <w:ins w:id="483" w:author="svcMRProcess" w:date="2018-09-08T01:47:00Z">
        <w:r>
          <w:rPr>
            <w:snapToGrid w:val="0"/>
          </w:rP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Retirement Villages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fldSimple w:instr=" styleref CharPartNo ">
            <w:r>
              <w:rPr>
                <w:noProof/>
              </w:rPr>
              <w:t>Part 1</w:t>
            </w:r>
          </w:fldSimple>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Preliminary</w: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61"/>
      <w:gridCol w:w="5402"/>
    </w:tblGrid>
    <w:tr>
      <w:trPr>
        <w:cantSplit/>
      </w:trPr>
      <w:tc>
        <w:tcPr>
          <w:tcW w:w="7258" w:type="dxa"/>
          <w:gridSpan w:val="2"/>
        </w:tcPr>
        <w:p>
          <w:pPr>
            <w:pStyle w:val="HeaderActNameLeft"/>
          </w:pPr>
          <w:fldSimple w:instr=" Styleref &quot;Name of Act/Reg&quot; ">
            <w:r>
              <w:rPr>
                <w:noProof/>
              </w:rPr>
              <w:t>Retirement Villages Act 1992</w:t>
            </w:r>
          </w:fldSimple>
        </w:p>
      </w:tc>
    </w:tr>
    <w:tr>
      <w:tc>
        <w:tcPr>
          <w:tcW w:w="1861" w:type="dxa"/>
        </w:tcPr>
        <w:p>
          <w:pPr>
            <w:pStyle w:val="HeaderNumberLeft"/>
          </w:pPr>
        </w:p>
      </w:tc>
      <w:tc>
        <w:tcPr>
          <w:tcW w:w="5402" w:type="dxa"/>
        </w:tcPr>
        <w:p>
          <w:pPr>
            <w:pStyle w:val="HeaderTextLeft"/>
          </w:pPr>
        </w:p>
      </w:tc>
    </w:tr>
    <w:tr>
      <w:tc>
        <w:tcPr>
          <w:tcW w:w="1861" w:type="dxa"/>
        </w:tcPr>
        <w:p>
          <w:pPr>
            <w:pStyle w:val="HeaderNumberLeft"/>
          </w:pPr>
        </w:p>
      </w:tc>
      <w:tc>
        <w:tcPr>
          <w:tcW w:w="5402" w:type="dxa"/>
        </w:tcPr>
        <w:p>
          <w:pPr>
            <w:pStyle w:val="HeaderTextLeft"/>
          </w:pPr>
        </w:p>
      </w:tc>
    </w:tr>
    <w:tr>
      <w:trPr>
        <w:cantSplit/>
      </w:trPr>
      <w:tc>
        <w:tcPr>
          <w:tcW w:w="1861" w:type="dxa"/>
        </w:tcPr>
        <w:p>
          <w:pPr>
            <w:pStyle w:val="HeaderSectionRight"/>
            <w:ind w:right="17"/>
            <w:jc w:val="left"/>
          </w:pPr>
          <w:r>
            <w:fldChar w:fldCharType="begin"/>
          </w:r>
          <w:r>
            <w:instrText xml:space="preserve"> STYLEREF CharSchNo \* MERGEFORMAT </w:instrText>
          </w:r>
          <w:r>
            <w:fldChar w:fldCharType="end"/>
          </w:r>
        </w:p>
      </w:tc>
      <w:tc>
        <w:tcPr>
          <w:tcW w:w="5397"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97"/>
      <w:gridCol w:w="1866"/>
    </w:tblGrid>
    <w:tr>
      <w:trPr>
        <w:cantSplit/>
      </w:trPr>
      <w:tc>
        <w:tcPr>
          <w:tcW w:w="7258" w:type="dxa"/>
          <w:gridSpan w:val="2"/>
        </w:tcPr>
        <w:p>
          <w:pPr>
            <w:pStyle w:val="HeaderActNameRight"/>
            <w:ind w:right="17"/>
          </w:pPr>
          <w:fldSimple w:instr=" Styleref &quot;Name of Act/Reg&quot; ">
            <w:r>
              <w:rPr>
                <w:noProof/>
              </w:rPr>
              <w:t>Retirement Villages Act 1992</w:t>
            </w:r>
          </w:fldSimple>
        </w:p>
      </w:tc>
    </w:tr>
    <w:tr>
      <w:tc>
        <w:tcPr>
          <w:tcW w:w="5397" w:type="dxa"/>
        </w:tcPr>
        <w:p>
          <w:pPr>
            <w:pStyle w:val="HeaderTextRight"/>
          </w:pPr>
        </w:p>
      </w:tc>
      <w:tc>
        <w:tcPr>
          <w:tcW w:w="1866" w:type="dxa"/>
        </w:tcPr>
        <w:p>
          <w:pPr>
            <w:pStyle w:val="HeaderNumberRight"/>
            <w:ind w:right="17"/>
          </w:pPr>
        </w:p>
      </w:tc>
    </w:tr>
    <w:tr>
      <w:tc>
        <w:tcPr>
          <w:tcW w:w="5397" w:type="dxa"/>
        </w:tcPr>
        <w:p>
          <w:pPr>
            <w:pStyle w:val="HeaderTextRight"/>
          </w:pPr>
        </w:p>
      </w:tc>
      <w:tc>
        <w:tcPr>
          <w:tcW w:w="1866" w:type="dxa"/>
        </w:tcPr>
        <w:p>
          <w:pPr>
            <w:pStyle w:val="HeaderNumberRight"/>
            <w:ind w:right="17"/>
          </w:pPr>
        </w:p>
      </w:tc>
    </w:tr>
    <w:tr>
      <w:trPr>
        <w:cantSplit/>
      </w:trPr>
      <w:tc>
        <w:tcPr>
          <w:tcW w:w="5397"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86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3AFD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7C26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84A48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282A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0406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B4D1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DA39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1E62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69E4030"/>
    <w:lvl w:ilvl="0">
      <w:start w:val="1"/>
      <w:numFmt w:val="decimal"/>
      <w:pStyle w:val="ListNumber"/>
      <w:lvlText w:val="%1."/>
      <w:lvlJc w:val="left"/>
      <w:pPr>
        <w:tabs>
          <w:tab w:val="num" w:pos="360"/>
        </w:tabs>
        <w:ind w:left="360" w:hanging="360"/>
      </w:pPr>
    </w:lvl>
  </w:abstractNum>
  <w:abstractNum w:abstractNumId="9">
    <w:nsid w:val="FFFFFF89"/>
    <w:multiLevelType w:val="singleLevel"/>
    <w:tmpl w:val="82E4C9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E3A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2E4F66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12615</Words>
  <Characters>61816</Characters>
  <Application>Microsoft Office Word</Application>
  <DocSecurity>0</DocSecurity>
  <Lines>1585</Lines>
  <Paragraphs>791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02-b0-03 - 02-c0-02</dc:title>
  <dc:subject/>
  <dc:creator/>
  <cp:keywords/>
  <dc:description/>
  <cp:lastModifiedBy>svcMRProcess</cp:lastModifiedBy>
  <cp:revision>2</cp:revision>
  <cp:lastPrinted>2005-03-18T05:56:00Z</cp:lastPrinted>
  <dcterms:created xsi:type="dcterms:W3CDTF">2018-09-07T17:47:00Z</dcterms:created>
  <dcterms:modified xsi:type="dcterms:W3CDTF">2018-09-07T17:47:00Z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697</vt:i4>
  </property>
  <property fmtid="{D5CDD505-2E9C-101B-9397-08002B2CF9AE}" pid="6" name="ReprintNo">
    <vt:lpwstr>2</vt:lpwstr>
  </property>
  <property fmtid="{D5CDD505-2E9C-101B-9397-08002B2CF9AE}" pid="7" name="FromSuffix">
    <vt:lpwstr>02-b0-03</vt:lpwstr>
  </property>
  <property fmtid="{D5CDD505-2E9C-101B-9397-08002B2CF9AE}" pid="8" name="FromAsAtDate">
    <vt:lpwstr>01 Jul 2006</vt:lpwstr>
  </property>
  <property fmtid="{D5CDD505-2E9C-101B-9397-08002B2CF9AE}" pid="9" name="ToSuffix">
    <vt:lpwstr>02-c0-02</vt:lpwstr>
  </property>
  <property fmtid="{D5CDD505-2E9C-101B-9397-08002B2CF9AE}" pid="10" name="ToAsAtDate">
    <vt:lpwstr>13 Dec 2006</vt:lpwstr>
  </property>
</Properties>
</file>