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Cattle Industry Compensation Act 1965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Oct 2007</w:t>
      </w:r>
      <w:r>
        <w:fldChar w:fldCharType="end"/>
      </w:r>
      <w:r>
        <w:t xml:space="preserve">, </w:t>
      </w:r>
      <w:r>
        <w:fldChar w:fldCharType="begin"/>
      </w:r>
      <w:r>
        <w:instrText xml:space="preserve"> DocProperty FromSuffix </w:instrText>
      </w:r>
      <w:r>
        <w:fldChar w:fldCharType="separate"/>
      </w:r>
      <w:r>
        <w:t>03-d0-04</w:t>
      </w:r>
      <w:r>
        <w:fldChar w:fldCharType="end"/>
      </w:r>
      <w:r>
        <w:t>] and [</w:t>
      </w:r>
      <w:r>
        <w:fldChar w:fldCharType="begin"/>
      </w:r>
      <w:r>
        <w:instrText xml:space="preserve"> DocProperty ToAsAtDate</w:instrText>
      </w:r>
      <w:r>
        <w:fldChar w:fldCharType="separate"/>
      </w:r>
      <w:r>
        <w:t>14 Aug 2010</w:t>
      </w:r>
      <w:r>
        <w:fldChar w:fldCharType="end"/>
      </w:r>
      <w:r>
        <w:t xml:space="preserve">, </w:t>
      </w:r>
      <w:r>
        <w:fldChar w:fldCharType="begin"/>
      </w:r>
      <w:r>
        <w:instrText xml:space="preserve"> DocProperty ToSuffix</w:instrText>
      </w:r>
      <w:r>
        <w:fldChar w:fldCharType="separate"/>
      </w:r>
      <w:r>
        <w:t>03-e0-05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pPr>
      <w:r>
        <w:t>Cattle Industry Compensation Act 1965</w:t>
      </w:r>
    </w:p>
    <w:p>
      <w:pPr>
        <w:pStyle w:val="LongTitle"/>
        <w:rPr>
          <w:snapToGrid w:val="0"/>
        </w:rPr>
      </w:pPr>
      <w:r>
        <w:rPr>
          <w:snapToGrid w:val="0"/>
        </w:rPr>
        <w:t>A</w:t>
      </w:r>
      <w:bookmarkStart w:id="1" w:name="_GoBack"/>
      <w:bookmarkEnd w:id="1"/>
      <w:r>
        <w:rPr>
          <w:snapToGrid w:val="0"/>
        </w:rPr>
        <w:t xml:space="preserve">n Act to consolidate and amend the law providing for the testing of cattle for disease; to establish an account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pPr>
        <w:pStyle w:val="Footnotelongtitle"/>
      </w:pPr>
      <w:r>
        <w:tab/>
        <w:t>[Long title amended by No. 14 of 1989 s. 2; No. 77 of 2006 s. 17.]</w:t>
      </w:r>
    </w:p>
    <w:p>
      <w:pPr>
        <w:pStyle w:val="Heading5"/>
        <w:spacing w:before="360"/>
        <w:rPr>
          <w:snapToGrid w:val="0"/>
        </w:rPr>
      </w:pPr>
      <w:bookmarkStart w:id="2" w:name="_Toc378069640"/>
      <w:bookmarkStart w:id="3" w:name="_Toc425429766"/>
      <w:bookmarkStart w:id="4" w:name="_Toc421609828"/>
      <w:bookmarkStart w:id="5" w:name="_Toc36374407"/>
      <w:bookmarkStart w:id="6" w:name="_Toc180989326"/>
      <w:r>
        <w:rPr>
          <w:rStyle w:val="CharSectno"/>
        </w:rPr>
        <w:t>1</w:t>
      </w:r>
      <w:r>
        <w:rPr>
          <w:snapToGrid w:val="0"/>
        </w:rPr>
        <w:t>.</w:t>
      </w:r>
      <w:r>
        <w:rPr>
          <w:snapToGrid w:val="0"/>
        </w:rPr>
        <w:tab/>
        <w:t>Short title</w:t>
      </w:r>
      <w:bookmarkEnd w:id="2"/>
      <w:bookmarkEnd w:id="3"/>
      <w:bookmarkEnd w:id="4"/>
      <w:bookmarkEnd w:id="5"/>
      <w:bookmarkEnd w:id="6"/>
    </w:p>
    <w:p>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pPr>
        <w:pStyle w:val="Heading5"/>
        <w:rPr>
          <w:snapToGrid w:val="0"/>
        </w:rPr>
      </w:pPr>
      <w:bookmarkStart w:id="7" w:name="_Toc378069641"/>
      <w:bookmarkStart w:id="8" w:name="_Toc425429767"/>
      <w:bookmarkStart w:id="9" w:name="_Toc421609829"/>
      <w:bookmarkStart w:id="10" w:name="_Toc36374408"/>
      <w:bookmarkStart w:id="11" w:name="_Toc180989327"/>
      <w:r>
        <w:rPr>
          <w:rStyle w:val="CharSectno"/>
        </w:rPr>
        <w:t>2</w:t>
      </w:r>
      <w:r>
        <w:rPr>
          <w:snapToGrid w:val="0"/>
        </w:rPr>
        <w:t>.</w:t>
      </w:r>
      <w:r>
        <w:rPr>
          <w:snapToGrid w:val="0"/>
        </w:rPr>
        <w:tab/>
        <w:t>Commencement</w:t>
      </w:r>
      <w:bookmarkEnd w:id="7"/>
      <w:bookmarkEnd w:id="8"/>
      <w:bookmarkEnd w:id="9"/>
      <w:bookmarkEnd w:id="10"/>
      <w:bookmarkEnd w:id="11"/>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2"/>
      </w:pPr>
      <w:bookmarkStart w:id="12" w:name="_Toc378069642"/>
      <w:bookmarkStart w:id="13" w:name="_Toc425429768"/>
      <w:bookmarkStart w:id="14" w:name="_Toc72570628"/>
      <w:bookmarkStart w:id="15" w:name="_Toc89236948"/>
      <w:bookmarkStart w:id="16" w:name="_Toc101932328"/>
      <w:bookmarkStart w:id="17" w:name="_Toc116806602"/>
      <w:bookmarkStart w:id="18" w:name="_Toc117653207"/>
      <w:bookmarkStart w:id="19" w:name="_Toc117910643"/>
      <w:bookmarkStart w:id="20" w:name="_Toc118166080"/>
      <w:bookmarkStart w:id="21" w:name="_Toc118526211"/>
      <w:bookmarkStart w:id="22" w:name="_Toc139427992"/>
      <w:bookmarkStart w:id="23" w:name="_Toc157836578"/>
      <w:bookmarkStart w:id="24" w:name="_Toc180989328"/>
      <w:r>
        <w:rPr>
          <w:rStyle w:val="CharPartNo"/>
        </w:rPr>
        <w:lastRenderedPageBreak/>
        <w:t>Part I</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p>
    <w:p>
      <w:pPr>
        <w:pStyle w:val="Heading5"/>
        <w:rPr>
          <w:snapToGrid w:val="0"/>
        </w:rPr>
      </w:pPr>
      <w:bookmarkStart w:id="25" w:name="_Toc378069643"/>
      <w:bookmarkStart w:id="26" w:name="_Toc425429769"/>
      <w:bookmarkStart w:id="27" w:name="_Toc421609830"/>
      <w:bookmarkStart w:id="28" w:name="_Toc36374409"/>
      <w:bookmarkStart w:id="29" w:name="_Toc180989329"/>
      <w:r>
        <w:rPr>
          <w:rStyle w:val="CharSectno"/>
        </w:rPr>
        <w:t>4</w:t>
      </w:r>
      <w:r>
        <w:rPr>
          <w:snapToGrid w:val="0"/>
        </w:rPr>
        <w:t>.</w:t>
      </w:r>
      <w:r>
        <w:rPr>
          <w:snapToGrid w:val="0"/>
        </w:rPr>
        <w:tab/>
        <w:t>Acts repealed</w:t>
      </w:r>
      <w:bookmarkEnd w:id="25"/>
      <w:bookmarkEnd w:id="26"/>
      <w:bookmarkEnd w:id="27"/>
      <w:bookmarkEnd w:id="28"/>
      <w:bookmarkEnd w:id="29"/>
    </w:p>
    <w:p>
      <w:pPr>
        <w:pStyle w:val="Subsection"/>
        <w:rPr>
          <w:snapToGrid w:val="0"/>
        </w:rPr>
      </w:pPr>
      <w:r>
        <w:rPr>
          <w:snapToGrid w:val="0"/>
        </w:rPr>
        <w:tab/>
      </w:r>
      <w:r>
        <w:rPr>
          <w:snapToGrid w:val="0"/>
        </w:rPr>
        <w:tab/>
        <w:t>The Acts mentioned in the Schedule to this Act are hereby repealed.</w:t>
      </w:r>
    </w:p>
    <w:p>
      <w:pPr>
        <w:pStyle w:val="Heading5"/>
        <w:rPr>
          <w:snapToGrid w:val="0"/>
        </w:rPr>
      </w:pPr>
      <w:bookmarkStart w:id="30" w:name="_Toc378069644"/>
      <w:bookmarkStart w:id="31" w:name="_Toc425429770"/>
      <w:bookmarkStart w:id="32" w:name="_Toc421609831"/>
      <w:bookmarkStart w:id="33" w:name="_Toc36374410"/>
      <w:bookmarkStart w:id="34" w:name="_Toc180989330"/>
      <w:r>
        <w:rPr>
          <w:rStyle w:val="CharSectno"/>
        </w:rPr>
        <w:t>5</w:t>
      </w:r>
      <w:r>
        <w:rPr>
          <w:snapToGrid w:val="0"/>
        </w:rPr>
        <w:t>.</w:t>
      </w:r>
      <w:r>
        <w:rPr>
          <w:snapToGrid w:val="0"/>
        </w:rPr>
        <w:tab/>
        <w:t>Construction</w:t>
      </w:r>
      <w:bookmarkEnd w:id="30"/>
      <w:bookmarkEnd w:id="31"/>
      <w:bookmarkEnd w:id="32"/>
      <w:bookmarkEnd w:id="33"/>
      <w:bookmarkEnd w:id="34"/>
    </w:p>
    <w:p>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pPr>
        <w:pStyle w:val="Heading5"/>
        <w:rPr>
          <w:snapToGrid w:val="0"/>
        </w:rPr>
      </w:pPr>
      <w:bookmarkStart w:id="35" w:name="_Toc378069645"/>
      <w:bookmarkStart w:id="36" w:name="_Toc425429771"/>
      <w:bookmarkStart w:id="37" w:name="_Toc421609832"/>
      <w:bookmarkStart w:id="38" w:name="_Toc36374411"/>
      <w:bookmarkStart w:id="39" w:name="_Toc180989331"/>
      <w:r>
        <w:rPr>
          <w:rStyle w:val="CharSectno"/>
        </w:rPr>
        <w:t>6</w:t>
      </w:r>
      <w:r>
        <w:rPr>
          <w:snapToGrid w:val="0"/>
        </w:rPr>
        <w:t>.</w:t>
      </w:r>
      <w:r>
        <w:rPr>
          <w:snapToGrid w:val="0"/>
        </w:rPr>
        <w:tab/>
        <w:t>Interpretation</w:t>
      </w:r>
      <w:bookmarkEnd w:id="35"/>
      <w:bookmarkEnd w:id="36"/>
      <w:bookmarkEnd w:id="37"/>
      <w:bookmarkEnd w:id="38"/>
      <w:bookmarkEnd w:id="39"/>
    </w:p>
    <w:p>
      <w:pPr>
        <w:pStyle w:val="Subsection"/>
        <w:rPr>
          <w:snapToGrid w:val="0"/>
        </w:rPr>
      </w:pPr>
      <w:r>
        <w:rPr>
          <w:snapToGrid w:val="0"/>
        </w:rPr>
        <w:tab/>
      </w:r>
      <w:r>
        <w:rPr>
          <w:snapToGrid w:val="0"/>
        </w:rPr>
        <w:tab/>
        <w:t>In this Act unless the contrary intention appears —</w:t>
      </w:r>
    </w:p>
    <w:p>
      <w:pPr>
        <w:pStyle w:val="Defstart"/>
      </w:pPr>
      <w:r>
        <w:rPr>
          <w:b/>
        </w:rPr>
        <w:tab/>
      </w:r>
      <w:r>
        <w:rPr>
          <w:rStyle w:val="CharDefText"/>
        </w:rPr>
        <w:t>animal</w:t>
      </w:r>
      <w:r>
        <w:t xml:space="preserve"> means a head of cattle;</w:t>
      </w:r>
    </w:p>
    <w:p>
      <w:pPr>
        <w:pStyle w:val="Defstart"/>
      </w:pPr>
      <w:r>
        <w:rPr>
          <w:b/>
        </w:rPr>
        <w:tab/>
      </w:r>
      <w:r>
        <w:rPr>
          <w:rStyle w:val="CharDefText"/>
        </w:rPr>
        <w:t>carcass</w:t>
      </w:r>
      <w:r>
        <w:t xml:space="preserve"> means the carcass of an animal;</w:t>
      </w:r>
    </w:p>
    <w:p>
      <w:pPr>
        <w:pStyle w:val="Defstart"/>
      </w:pPr>
      <w:r>
        <w:rPr>
          <w:b/>
        </w:rPr>
        <w:tab/>
      </w:r>
      <w:r>
        <w:rPr>
          <w:rStyle w:val="CharDefText"/>
        </w:rPr>
        <w:t>cattle</w:t>
      </w:r>
      <w:r>
        <w:t xml:space="preserve"> means any bull, cow, ox, steer, heifer or calf;</w:t>
      </w:r>
    </w:p>
    <w:p>
      <w:pPr>
        <w:pStyle w:val="Defstart"/>
      </w:pPr>
      <w:r>
        <w:rPr>
          <w:b/>
        </w:rPr>
        <w:tab/>
      </w:r>
      <w:r>
        <w:rPr>
          <w:rStyle w:val="CharDefText"/>
        </w:rPr>
        <w:t>Chief Inspector</w:t>
      </w:r>
      <w:r>
        <w:t xml:space="preserve"> means the person for the time being holding the office of Chief Inspector of Stock under the </w:t>
      </w:r>
      <w:r>
        <w:rPr>
          <w:i/>
        </w:rPr>
        <w:t>Stock Diseases (Regulations) Act 1968</w:t>
      </w:r>
      <w:r>
        <w:t>;</w:t>
      </w:r>
    </w:p>
    <w:p>
      <w:pPr>
        <w:pStyle w:val="Defstart"/>
      </w:pPr>
      <w:r>
        <w:rPr>
          <w:b/>
        </w:rPr>
        <w:tab/>
      </w:r>
      <w:r>
        <w:rPr>
          <w:rStyle w:val="CharDefText"/>
        </w:rPr>
        <w:t>Department</w:t>
      </w:r>
      <w:r>
        <w:t xml:space="preserve"> means the Government Department of the State known as the Department of Agriculture;</w:t>
      </w:r>
    </w:p>
    <w:p>
      <w:pPr>
        <w:pStyle w:val="Defstart"/>
      </w:pPr>
      <w:r>
        <w:rPr>
          <w:b/>
        </w:rPr>
        <w:tab/>
      </w:r>
      <w:r>
        <w:rPr>
          <w:rStyle w:val="CharDefText"/>
        </w:rPr>
        <w:t>destroy</w:t>
      </w:r>
      <w:r>
        <w:t xml:space="preserve"> means to consume by fire, bury under the ground, boil down, kill or otherwise destroy to the satisfaction of an inspector and includes disposal at an abattoir or slaughterhouse;</w:t>
      </w:r>
    </w:p>
    <w:p>
      <w:pPr>
        <w:pStyle w:val="Defstart"/>
      </w:pPr>
      <w:r>
        <w:rPr>
          <w:b/>
        </w:rPr>
        <w:tab/>
      </w:r>
      <w:r>
        <w:rPr>
          <w:rStyle w:val="CharDefText"/>
        </w:rPr>
        <w:t>Director</w:t>
      </w:r>
      <w:r>
        <w:t xml:space="preserve"> means the person for the time being holding the office of Director of Agriculture</w:t>
      </w:r>
      <w:r>
        <w:rPr>
          <w:vertAlign w:val="superscript"/>
        </w:rPr>
        <w:t xml:space="preserve"> 2</w:t>
      </w:r>
      <w:r>
        <w:t xml:space="preserve"> in the Department;</w:t>
      </w:r>
    </w:p>
    <w:p>
      <w:pPr>
        <w:pStyle w:val="Defstart"/>
      </w:pPr>
      <w:r>
        <w:rPr>
          <w:b/>
        </w:rPr>
        <w:tab/>
      </w:r>
      <w:r>
        <w:rPr>
          <w:rStyle w:val="CharDefText"/>
        </w:rPr>
        <w:t>disease</w:t>
      </w:r>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pPr>
        <w:pStyle w:val="Defstart"/>
      </w:pPr>
      <w:r>
        <w:rPr>
          <w:b/>
        </w:rPr>
        <w:tab/>
      </w:r>
      <w:r>
        <w:rPr>
          <w:rStyle w:val="CharDefText"/>
        </w:rPr>
        <w:t>inspector</w:t>
      </w:r>
      <w:r>
        <w:t xml:space="preserve"> means an inspector of stock appointed under the </w:t>
      </w:r>
      <w:r>
        <w:rPr>
          <w:i/>
        </w:rPr>
        <w:t>Stock Diseases (Regulations) Act 1968</w:t>
      </w:r>
      <w:r>
        <w:t>;</w:t>
      </w:r>
    </w:p>
    <w:p>
      <w:pPr>
        <w:pStyle w:val="Defstart"/>
      </w:pPr>
      <w:r>
        <w:rPr>
          <w:b/>
        </w:rPr>
        <w:tab/>
      </w:r>
      <w:r>
        <w:rPr>
          <w:rStyle w:val="CharDefText"/>
        </w:rPr>
        <w:t>market value</w:t>
      </w:r>
      <w:r>
        <w:t>, in relation to a carcass, means the value of the carcass calculated as upon a sale with delivery at the place where the carcass is when it is condemned as unfit for human consumption, and as if it were free from disease;</w:t>
      </w:r>
    </w:p>
    <w:p>
      <w:pPr>
        <w:pStyle w:val="Defstart"/>
      </w:pPr>
      <w:r>
        <w:rPr>
          <w:b/>
        </w:rPr>
        <w:tab/>
      </w:r>
      <w:r>
        <w:rPr>
          <w:rStyle w:val="CharDefText"/>
        </w:rPr>
        <w:t>owner</w:t>
      </w:r>
      <w:r>
        <w:t xml:space="preserve"> includes the authorised agent of the owner;</w:t>
      </w:r>
    </w:p>
    <w:p>
      <w:pPr>
        <w:pStyle w:val="Defstart"/>
      </w:pPr>
      <w:r>
        <w:rPr>
          <w:b/>
        </w:rPr>
        <w:tab/>
      </w:r>
      <w:r>
        <w:rPr>
          <w:rStyle w:val="CharDefText"/>
        </w:rPr>
        <w:t>processing company</w:t>
      </w:r>
      <w:r>
        <w:t xml:space="preserve"> means a company the business of which is or includes the purchasing of cattle or carcasses from owners thereof for the purpose of processing meat;</w:t>
      </w:r>
    </w:p>
    <w:p>
      <w:pPr>
        <w:pStyle w:val="Defstart"/>
      </w:pPr>
      <w:r>
        <w:rPr>
          <w:b/>
        </w:rPr>
        <w:tab/>
      </w:r>
      <w:r>
        <w:rPr>
          <w:rStyle w:val="CharDefText"/>
        </w:rPr>
        <w:t>specified area</w:t>
      </w:r>
      <w:r>
        <w:t xml:space="preserve"> means a part of the State specified in a notice made by the Minister and published in the </w:t>
      </w:r>
      <w:r>
        <w:rPr>
          <w:i/>
        </w:rPr>
        <w:t>Government Gazette</w:t>
      </w:r>
      <w:r>
        <w:t xml:space="preserve"> pursuant to section 17A;</w:t>
      </w:r>
    </w:p>
    <w:p>
      <w:pPr>
        <w:pStyle w:val="Defstart"/>
      </w:pPr>
      <w:r>
        <w:rPr>
          <w:b/>
        </w:rPr>
        <w:tab/>
      </w:r>
      <w:r>
        <w:rPr>
          <w:rStyle w:val="CharDefText"/>
        </w:rPr>
        <w:t>specified disease</w:t>
      </w:r>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pPr>
        <w:pStyle w:val="Defstart"/>
      </w:pPr>
      <w:r>
        <w:rPr>
          <w:b/>
        </w:rPr>
        <w:tab/>
      </w:r>
      <w:r>
        <w:rPr>
          <w:rStyle w:val="CharDefText"/>
        </w:rPr>
        <w:t>the Account</w:t>
      </w:r>
      <w:r>
        <w:t xml:space="preserve"> means the Cattle Industry Compensation Account established under this Act;</w:t>
      </w:r>
    </w:p>
    <w:p>
      <w:pPr>
        <w:pStyle w:val="Defstart"/>
      </w:pPr>
      <w:r>
        <w:rPr>
          <w:b/>
        </w:rPr>
        <w:tab/>
      </w:r>
      <w:r>
        <w:rPr>
          <w:rStyle w:val="CharDefText"/>
        </w:rPr>
        <w:t>veterinary surgeon</w:t>
      </w:r>
      <w:r>
        <w:t xml:space="preserve"> means a person who is a veterinary surgeon under the provisions of the </w:t>
      </w:r>
      <w:r>
        <w:rPr>
          <w:i/>
        </w:rPr>
        <w:t>Veterinary Surgeons Act 1960</w:t>
      </w:r>
      <w:r>
        <w:t>.</w:t>
      </w:r>
    </w:p>
    <w:p>
      <w:pPr>
        <w:pStyle w:val="Footnotesection"/>
      </w:pPr>
      <w:r>
        <w:tab/>
        <w:t>[Section 6 amended by No. 14 of 1969 s. 2; No. 21 of 1970 s. 33; No. 45 of 1981 s. 2; No. 44 of 1988 s. 4; No. 45 of 2002 s. 9(2); No. 77 of 2006 s. 17.]</w:t>
      </w:r>
    </w:p>
    <w:p>
      <w:pPr>
        <w:pStyle w:val="Heading5"/>
        <w:rPr>
          <w:snapToGrid w:val="0"/>
        </w:rPr>
      </w:pPr>
      <w:bookmarkStart w:id="40" w:name="_Toc378069646"/>
      <w:bookmarkStart w:id="41" w:name="_Toc425429772"/>
      <w:bookmarkStart w:id="42" w:name="_Toc421609833"/>
      <w:bookmarkStart w:id="43" w:name="_Toc36374412"/>
      <w:bookmarkStart w:id="44" w:name="_Toc180989332"/>
      <w:r>
        <w:rPr>
          <w:rStyle w:val="CharSectno"/>
        </w:rPr>
        <w:t>7</w:t>
      </w:r>
      <w:r>
        <w:rPr>
          <w:snapToGrid w:val="0"/>
        </w:rPr>
        <w:t>.</w:t>
      </w:r>
      <w:r>
        <w:rPr>
          <w:snapToGrid w:val="0"/>
        </w:rPr>
        <w:tab/>
        <w:t>Application of Act</w:t>
      </w:r>
      <w:bookmarkEnd w:id="40"/>
      <w:bookmarkEnd w:id="41"/>
      <w:bookmarkEnd w:id="42"/>
      <w:bookmarkEnd w:id="43"/>
      <w:bookmarkEnd w:id="44"/>
    </w:p>
    <w:p>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pPr>
        <w:pStyle w:val="Footnotesection"/>
      </w:pPr>
      <w:r>
        <w:tab/>
        <w:t>[Section 7 amended by No. 31 of 1997 s. 13.]</w:t>
      </w:r>
    </w:p>
    <w:p>
      <w:pPr>
        <w:pStyle w:val="Heading5"/>
        <w:rPr>
          <w:snapToGrid w:val="0"/>
        </w:rPr>
      </w:pPr>
      <w:bookmarkStart w:id="45" w:name="_Toc378069647"/>
      <w:bookmarkStart w:id="46" w:name="_Toc425429773"/>
      <w:bookmarkStart w:id="47" w:name="_Toc421609834"/>
      <w:bookmarkStart w:id="48" w:name="_Toc36374413"/>
      <w:bookmarkStart w:id="49" w:name="_Toc180989333"/>
      <w:r>
        <w:rPr>
          <w:rStyle w:val="CharSectno"/>
        </w:rPr>
        <w:t>8</w:t>
      </w:r>
      <w:r>
        <w:rPr>
          <w:snapToGrid w:val="0"/>
        </w:rPr>
        <w:t>.</w:t>
      </w:r>
      <w:r>
        <w:rPr>
          <w:snapToGrid w:val="0"/>
        </w:rPr>
        <w:tab/>
        <w:t>Governor may proclaim diseases of cattle</w:t>
      </w:r>
      <w:bookmarkEnd w:id="45"/>
      <w:bookmarkEnd w:id="46"/>
      <w:bookmarkEnd w:id="47"/>
      <w:bookmarkEnd w:id="48"/>
      <w:bookmarkEnd w:id="49"/>
    </w:p>
    <w:p>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pPr>
        <w:pStyle w:val="Heading5"/>
        <w:rPr>
          <w:snapToGrid w:val="0"/>
        </w:rPr>
      </w:pPr>
      <w:bookmarkStart w:id="50" w:name="_Toc378069648"/>
      <w:bookmarkStart w:id="51" w:name="_Toc425429774"/>
      <w:bookmarkStart w:id="52" w:name="_Toc421609835"/>
      <w:bookmarkStart w:id="53" w:name="_Toc36374414"/>
      <w:bookmarkStart w:id="54" w:name="_Toc180989334"/>
      <w:r>
        <w:rPr>
          <w:rStyle w:val="CharSectno"/>
        </w:rPr>
        <w:t>9</w:t>
      </w:r>
      <w:r>
        <w:rPr>
          <w:snapToGrid w:val="0"/>
        </w:rPr>
        <w:t>.</w:t>
      </w:r>
      <w:r>
        <w:rPr>
          <w:snapToGrid w:val="0"/>
        </w:rPr>
        <w:tab/>
        <w:t>Administration</w:t>
      </w:r>
      <w:bookmarkEnd w:id="50"/>
      <w:bookmarkEnd w:id="51"/>
      <w:bookmarkEnd w:id="52"/>
      <w:bookmarkEnd w:id="53"/>
      <w:bookmarkEnd w:id="54"/>
    </w:p>
    <w:p>
      <w:pPr>
        <w:pStyle w:val="Subsection"/>
        <w:rPr>
          <w:snapToGrid w:val="0"/>
        </w:rPr>
      </w:pPr>
      <w:r>
        <w:rPr>
          <w:snapToGrid w:val="0"/>
        </w:rPr>
        <w:tab/>
        <w:t>(1)</w:t>
      </w:r>
      <w:r>
        <w:rPr>
          <w:snapToGrid w:val="0"/>
        </w:rPr>
        <w:tab/>
        <w:t>Subject to the direction and control of the Minister the Department shall administer this Act, except Part IV.</w:t>
      </w:r>
    </w:p>
    <w:p>
      <w:pPr>
        <w:pStyle w:val="Subsection"/>
        <w:rPr>
          <w:snapToGrid w:val="0"/>
        </w:rPr>
      </w:pPr>
      <w:r>
        <w:rPr>
          <w:snapToGrid w:val="0"/>
        </w:rPr>
        <w:tab/>
        <w:t>(2)</w:t>
      </w:r>
      <w:r>
        <w:rPr>
          <w:snapToGrid w:val="0"/>
        </w:rPr>
        <w:tab/>
        <w:t>The costs of the administration of this Act shall be charged to the Account.</w:t>
      </w:r>
    </w:p>
    <w:p>
      <w:pPr>
        <w:pStyle w:val="Footnotesection"/>
      </w:pPr>
      <w:r>
        <w:tab/>
        <w:t>[Section 9 amended by No. 49 of 1996 s. 64; No. 77 of 2006 s. 17.]</w:t>
      </w:r>
    </w:p>
    <w:p>
      <w:pPr>
        <w:pStyle w:val="Heading2"/>
      </w:pPr>
      <w:bookmarkStart w:id="55" w:name="_Toc378069649"/>
      <w:bookmarkStart w:id="56" w:name="_Toc425429775"/>
      <w:bookmarkStart w:id="57" w:name="_Toc72570635"/>
      <w:bookmarkStart w:id="58" w:name="_Toc89236955"/>
      <w:bookmarkStart w:id="59" w:name="_Toc101932335"/>
      <w:bookmarkStart w:id="60" w:name="_Toc116806609"/>
      <w:bookmarkStart w:id="61" w:name="_Toc117653214"/>
      <w:bookmarkStart w:id="62" w:name="_Toc117910650"/>
      <w:bookmarkStart w:id="63" w:name="_Toc118166087"/>
      <w:bookmarkStart w:id="64" w:name="_Toc118526218"/>
      <w:bookmarkStart w:id="65" w:name="_Toc139427999"/>
      <w:bookmarkStart w:id="66" w:name="_Toc157836585"/>
      <w:bookmarkStart w:id="67" w:name="_Toc180989335"/>
      <w:r>
        <w:rPr>
          <w:rStyle w:val="CharPartNo"/>
        </w:rPr>
        <w:t>Part II</w:t>
      </w:r>
      <w:r>
        <w:rPr>
          <w:rStyle w:val="CharDivNo"/>
        </w:rPr>
        <w:t> </w:t>
      </w:r>
      <w:r>
        <w:t>—</w:t>
      </w:r>
      <w:r>
        <w:rPr>
          <w:rStyle w:val="CharDivText"/>
        </w:rPr>
        <w:t> </w:t>
      </w:r>
      <w:r>
        <w:rPr>
          <w:rStyle w:val="CharPartText"/>
        </w:rPr>
        <w:t>Testing of cattle</w:t>
      </w:r>
      <w:bookmarkEnd w:id="55"/>
      <w:bookmarkEnd w:id="56"/>
      <w:bookmarkEnd w:id="57"/>
      <w:bookmarkEnd w:id="58"/>
      <w:bookmarkEnd w:id="59"/>
      <w:bookmarkEnd w:id="60"/>
      <w:bookmarkEnd w:id="61"/>
      <w:bookmarkEnd w:id="62"/>
      <w:bookmarkEnd w:id="63"/>
      <w:bookmarkEnd w:id="64"/>
      <w:bookmarkEnd w:id="65"/>
      <w:bookmarkEnd w:id="66"/>
      <w:bookmarkEnd w:id="67"/>
    </w:p>
    <w:p>
      <w:pPr>
        <w:pStyle w:val="Heading5"/>
        <w:spacing w:before="120"/>
        <w:rPr>
          <w:snapToGrid w:val="0"/>
        </w:rPr>
      </w:pPr>
      <w:bookmarkStart w:id="68" w:name="_Toc378069650"/>
      <w:bookmarkStart w:id="69" w:name="_Toc425429776"/>
      <w:bookmarkStart w:id="70" w:name="_Toc421609836"/>
      <w:bookmarkStart w:id="71" w:name="_Toc36374415"/>
      <w:bookmarkStart w:id="72" w:name="_Toc180989336"/>
      <w:r>
        <w:rPr>
          <w:rStyle w:val="CharSectno"/>
        </w:rPr>
        <w:t>10</w:t>
      </w:r>
      <w:r>
        <w:rPr>
          <w:snapToGrid w:val="0"/>
        </w:rPr>
        <w:t>.</w:t>
      </w:r>
      <w:r>
        <w:rPr>
          <w:snapToGrid w:val="0"/>
        </w:rPr>
        <w:tab/>
        <w:t>Cattle to be inspected</w:t>
      </w:r>
      <w:bookmarkEnd w:id="68"/>
      <w:bookmarkEnd w:id="69"/>
      <w:bookmarkEnd w:id="70"/>
      <w:bookmarkEnd w:id="71"/>
      <w:bookmarkEnd w:id="72"/>
    </w:p>
    <w:p>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pPr>
        <w:pStyle w:val="Penstart"/>
        <w:rPr>
          <w:snapToGrid w:val="0"/>
        </w:rPr>
      </w:pPr>
      <w:r>
        <w:rPr>
          <w:snapToGrid w:val="0"/>
        </w:rPr>
        <w:tab/>
        <w:t>Penalty: $1 000.</w:t>
      </w:r>
    </w:p>
    <w:p>
      <w:pPr>
        <w:pStyle w:val="Footnotesection"/>
      </w:pPr>
      <w:r>
        <w:tab/>
        <w:t>[Section 10 amended by No. 113 of 1965 s. 8; No. 20 of 1989 s. 3.]</w:t>
      </w:r>
    </w:p>
    <w:p>
      <w:pPr>
        <w:pStyle w:val="Heading5"/>
        <w:spacing w:before="120"/>
        <w:rPr>
          <w:snapToGrid w:val="0"/>
        </w:rPr>
      </w:pPr>
      <w:bookmarkStart w:id="73" w:name="_Toc378069651"/>
      <w:bookmarkStart w:id="74" w:name="_Toc425429777"/>
      <w:bookmarkStart w:id="75" w:name="_Toc421609837"/>
      <w:bookmarkStart w:id="76" w:name="_Toc36374416"/>
      <w:bookmarkStart w:id="77" w:name="_Toc180989337"/>
      <w:r>
        <w:rPr>
          <w:rStyle w:val="CharSectno"/>
        </w:rPr>
        <w:t>11</w:t>
      </w:r>
      <w:r>
        <w:rPr>
          <w:snapToGrid w:val="0"/>
        </w:rPr>
        <w:t>.</w:t>
      </w:r>
      <w:r>
        <w:rPr>
          <w:snapToGrid w:val="0"/>
        </w:rPr>
        <w:tab/>
        <w:t>Testing of cattle for disease</w:t>
      </w:r>
      <w:bookmarkEnd w:id="73"/>
      <w:bookmarkEnd w:id="74"/>
      <w:bookmarkEnd w:id="75"/>
      <w:bookmarkEnd w:id="76"/>
      <w:bookmarkEnd w:id="77"/>
    </w:p>
    <w:p>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pPr>
        <w:pStyle w:val="Footnotesection"/>
      </w:pPr>
      <w:r>
        <w:tab/>
        <w:t>[Section 11 amended by No. 14 of 1969 s. 3.]</w:t>
      </w:r>
    </w:p>
    <w:p>
      <w:pPr>
        <w:pStyle w:val="Heading5"/>
        <w:rPr>
          <w:snapToGrid w:val="0"/>
        </w:rPr>
      </w:pPr>
      <w:bookmarkStart w:id="78" w:name="_Toc378069652"/>
      <w:bookmarkStart w:id="79" w:name="_Toc425429778"/>
      <w:bookmarkStart w:id="80" w:name="_Toc421609838"/>
      <w:bookmarkStart w:id="81" w:name="_Toc36374417"/>
      <w:bookmarkStart w:id="82" w:name="_Toc180989338"/>
      <w:r>
        <w:rPr>
          <w:rStyle w:val="CharSectno"/>
        </w:rPr>
        <w:t>12</w:t>
      </w:r>
      <w:r>
        <w:rPr>
          <w:snapToGrid w:val="0"/>
        </w:rPr>
        <w:t>.</w:t>
      </w:r>
      <w:r>
        <w:rPr>
          <w:snapToGrid w:val="0"/>
        </w:rPr>
        <w:tab/>
        <w:t>Diseased cattle to be marked for identification</w:t>
      </w:r>
      <w:bookmarkEnd w:id="78"/>
      <w:bookmarkEnd w:id="79"/>
      <w:bookmarkEnd w:id="80"/>
      <w:bookmarkEnd w:id="81"/>
      <w:bookmarkEnd w:id="82"/>
    </w:p>
    <w:p>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pPr>
        <w:pStyle w:val="Footnotesection"/>
      </w:pPr>
      <w:r>
        <w:tab/>
        <w:t>[Section 12 amended by No. 45 of 1981 s. 3.]</w:t>
      </w:r>
    </w:p>
    <w:p>
      <w:pPr>
        <w:pStyle w:val="Heading5"/>
        <w:rPr>
          <w:snapToGrid w:val="0"/>
        </w:rPr>
      </w:pPr>
      <w:bookmarkStart w:id="83" w:name="_Toc378069653"/>
      <w:bookmarkStart w:id="84" w:name="_Toc425429779"/>
      <w:bookmarkStart w:id="85" w:name="_Toc421609839"/>
      <w:bookmarkStart w:id="86" w:name="_Toc36374418"/>
      <w:bookmarkStart w:id="87" w:name="_Toc180989339"/>
      <w:r>
        <w:rPr>
          <w:rStyle w:val="CharSectno"/>
        </w:rPr>
        <w:t>13</w:t>
      </w:r>
      <w:r>
        <w:rPr>
          <w:snapToGrid w:val="0"/>
        </w:rPr>
        <w:t>.</w:t>
      </w:r>
      <w:r>
        <w:rPr>
          <w:snapToGrid w:val="0"/>
        </w:rPr>
        <w:tab/>
        <w:t>Disease of cattle in localised form</w:t>
      </w:r>
      <w:bookmarkEnd w:id="83"/>
      <w:bookmarkEnd w:id="84"/>
      <w:bookmarkEnd w:id="85"/>
      <w:bookmarkEnd w:id="86"/>
      <w:bookmarkEnd w:id="87"/>
    </w:p>
    <w:p>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pPr>
        <w:pStyle w:val="Heading5"/>
        <w:rPr>
          <w:snapToGrid w:val="0"/>
        </w:rPr>
      </w:pPr>
      <w:bookmarkStart w:id="88" w:name="_Toc378069654"/>
      <w:bookmarkStart w:id="89" w:name="_Toc425429780"/>
      <w:bookmarkStart w:id="90" w:name="_Toc421609840"/>
      <w:bookmarkStart w:id="91" w:name="_Toc36374419"/>
      <w:bookmarkStart w:id="92" w:name="_Toc180989340"/>
      <w:r>
        <w:rPr>
          <w:rStyle w:val="CharSectno"/>
        </w:rPr>
        <w:t>14</w:t>
      </w:r>
      <w:r>
        <w:rPr>
          <w:snapToGrid w:val="0"/>
        </w:rPr>
        <w:t>.</w:t>
      </w:r>
      <w:r>
        <w:rPr>
          <w:snapToGrid w:val="0"/>
        </w:rPr>
        <w:tab/>
        <w:t>Chief Inspector may direct cattle to be destroyed at specified abattoirs</w:t>
      </w:r>
      <w:bookmarkEnd w:id="88"/>
      <w:bookmarkEnd w:id="89"/>
      <w:bookmarkEnd w:id="90"/>
      <w:bookmarkEnd w:id="91"/>
      <w:bookmarkEnd w:id="92"/>
    </w:p>
    <w:p>
      <w:pPr>
        <w:pStyle w:val="Subsection"/>
        <w:rPr>
          <w:snapToGrid w:val="0"/>
        </w:rPr>
      </w:pPr>
      <w:r>
        <w:rPr>
          <w:snapToGrid w:val="0"/>
        </w:rPr>
        <w:tab/>
      </w:r>
      <w:r>
        <w:rPr>
          <w:snapToGrid w:val="0"/>
        </w:rPr>
        <w:tab/>
        <w:t>Where cattle are to be destroyed —</w:t>
      </w:r>
    </w:p>
    <w:p>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pPr>
        <w:pStyle w:val="Indenta"/>
        <w:rPr>
          <w:snapToGrid w:val="0"/>
        </w:rPr>
      </w:pPr>
      <w:r>
        <w:rPr>
          <w:snapToGrid w:val="0"/>
        </w:rPr>
        <w:tab/>
        <w:t>(b)</w:t>
      </w:r>
      <w:r>
        <w:rPr>
          <w:snapToGrid w:val="0"/>
        </w:rPr>
        <w:tab/>
        <w:t>with the consent of the Chief Inspector, where cattle are suffering from a disease or are suspected to be so suffering,</w:t>
      </w:r>
    </w:p>
    <w:p>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pPr>
        <w:pStyle w:val="Footnotesection"/>
      </w:pPr>
      <w:r>
        <w:tab/>
        <w:t>[Section 14 inserted by No. 45 of 1981 s. 4.]</w:t>
      </w:r>
    </w:p>
    <w:p>
      <w:pPr>
        <w:pStyle w:val="Heading2"/>
      </w:pPr>
      <w:bookmarkStart w:id="93" w:name="_Toc378069655"/>
      <w:bookmarkStart w:id="94" w:name="_Toc425429781"/>
      <w:bookmarkStart w:id="95" w:name="_Toc72570641"/>
      <w:bookmarkStart w:id="96" w:name="_Toc89236961"/>
      <w:bookmarkStart w:id="97" w:name="_Toc101932341"/>
      <w:bookmarkStart w:id="98" w:name="_Toc116806615"/>
      <w:bookmarkStart w:id="99" w:name="_Toc117653220"/>
      <w:bookmarkStart w:id="100" w:name="_Toc117910656"/>
      <w:bookmarkStart w:id="101" w:name="_Toc118166093"/>
      <w:bookmarkStart w:id="102" w:name="_Toc118526224"/>
      <w:bookmarkStart w:id="103" w:name="_Toc139428005"/>
      <w:bookmarkStart w:id="104" w:name="_Toc157836591"/>
      <w:bookmarkStart w:id="105" w:name="_Toc180989341"/>
      <w:r>
        <w:rPr>
          <w:rStyle w:val="CharPartNo"/>
        </w:rPr>
        <w:t>Part IIA</w:t>
      </w:r>
      <w:r>
        <w:rPr>
          <w:rStyle w:val="CharDivNo"/>
        </w:rPr>
        <w:t> </w:t>
      </w:r>
      <w:r>
        <w:t>—</w:t>
      </w:r>
      <w:r>
        <w:rPr>
          <w:rStyle w:val="CharDivText"/>
        </w:rPr>
        <w:t> </w:t>
      </w:r>
      <w:r>
        <w:rPr>
          <w:rStyle w:val="CharPartText"/>
        </w:rPr>
        <w:t>Infected cattle</w:t>
      </w:r>
      <w:bookmarkEnd w:id="93"/>
      <w:bookmarkEnd w:id="94"/>
      <w:bookmarkEnd w:id="95"/>
      <w:bookmarkEnd w:id="96"/>
      <w:bookmarkEnd w:id="97"/>
      <w:bookmarkEnd w:id="98"/>
      <w:bookmarkEnd w:id="99"/>
      <w:bookmarkEnd w:id="100"/>
      <w:bookmarkEnd w:id="101"/>
      <w:bookmarkEnd w:id="102"/>
      <w:bookmarkEnd w:id="103"/>
      <w:bookmarkEnd w:id="104"/>
      <w:bookmarkEnd w:id="105"/>
    </w:p>
    <w:p>
      <w:pPr>
        <w:pStyle w:val="Footnoteheading"/>
        <w:rPr>
          <w:snapToGrid w:val="0"/>
        </w:rPr>
      </w:pPr>
      <w:r>
        <w:rPr>
          <w:snapToGrid w:val="0"/>
        </w:rPr>
        <w:tab/>
        <w:t>[Heading inserted by No. 44 of 1988 s. 5.]</w:t>
      </w:r>
    </w:p>
    <w:p>
      <w:pPr>
        <w:pStyle w:val="Heading5"/>
        <w:rPr>
          <w:snapToGrid w:val="0"/>
        </w:rPr>
      </w:pPr>
      <w:bookmarkStart w:id="106" w:name="_Toc378069656"/>
      <w:bookmarkStart w:id="107" w:name="_Toc425429782"/>
      <w:bookmarkStart w:id="108" w:name="_Toc421609841"/>
      <w:bookmarkStart w:id="109" w:name="_Toc36374420"/>
      <w:bookmarkStart w:id="110" w:name="_Toc180989342"/>
      <w:r>
        <w:rPr>
          <w:rStyle w:val="CharSectno"/>
        </w:rPr>
        <w:t>14A</w:t>
      </w:r>
      <w:r>
        <w:rPr>
          <w:snapToGrid w:val="0"/>
        </w:rPr>
        <w:t>.</w:t>
      </w:r>
      <w:r>
        <w:rPr>
          <w:snapToGrid w:val="0"/>
        </w:rPr>
        <w:tab/>
        <w:t>Interpretation</w:t>
      </w:r>
      <w:bookmarkEnd w:id="106"/>
      <w:bookmarkEnd w:id="107"/>
      <w:bookmarkEnd w:id="108"/>
      <w:bookmarkEnd w:id="109"/>
      <w:bookmarkEnd w:id="110"/>
    </w:p>
    <w:p>
      <w:pPr>
        <w:pStyle w:val="Subsection"/>
        <w:rPr>
          <w:snapToGrid w:val="0"/>
        </w:rPr>
      </w:pPr>
      <w:r>
        <w:rPr>
          <w:snapToGrid w:val="0"/>
        </w:rPr>
        <w:tab/>
      </w:r>
      <w:r>
        <w:rPr>
          <w:snapToGrid w:val="0"/>
        </w:rPr>
        <w:tab/>
        <w:t>For the purposes of this Part —</w:t>
      </w:r>
    </w:p>
    <w:p>
      <w:pPr>
        <w:pStyle w:val="Defstart"/>
      </w:pPr>
      <w:r>
        <w:rPr>
          <w:b/>
        </w:rPr>
        <w:tab/>
      </w:r>
      <w:r>
        <w:rPr>
          <w:rStyle w:val="CharDefText"/>
        </w:rPr>
        <w:t>infected cattle</w:t>
      </w:r>
      <w:r>
        <w:t xml:space="preserve"> means diseased cattle or cattle which, in the opinion of an inspector, have been exposed to the risk of infection with disease or the cause of disease by reason of contact;</w:t>
      </w:r>
    </w:p>
    <w:p>
      <w:pPr>
        <w:pStyle w:val="Defstart"/>
      </w:pPr>
      <w:r>
        <w:rPr>
          <w:b/>
        </w:rPr>
        <w:tab/>
      </w:r>
      <w:r>
        <w:rPr>
          <w:rStyle w:val="CharDefText"/>
        </w:rPr>
        <w:t>property</w:t>
      </w:r>
      <w:r>
        <w:t xml:space="preserve"> means any run, station, farm, freehold or leasehold, or place where cattle are kept or pastured;</w:t>
      </w:r>
    </w:p>
    <w:p>
      <w:pPr>
        <w:pStyle w:val="Defstart"/>
      </w:pPr>
      <w:r>
        <w:rPr>
          <w:b/>
        </w:rPr>
        <w:tab/>
      </w:r>
      <w:r>
        <w:rPr>
          <w:rStyle w:val="CharDefText"/>
        </w:rPr>
        <w:t>specified</w:t>
      </w:r>
      <w:r>
        <w:t xml:space="preserve"> means specified in an order under section 14B.</w:t>
      </w:r>
    </w:p>
    <w:p>
      <w:pPr>
        <w:pStyle w:val="Footnotesection"/>
      </w:pPr>
      <w:r>
        <w:tab/>
        <w:t>[Section 14A inserted by No. 44 of 1988 s. 5.]</w:t>
      </w:r>
    </w:p>
    <w:p>
      <w:pPr>
        <w:pStyle w:val="Heading5"/>
        <w:rPr>
          <w:snapToGrid w:val="0"/>
        </w:rPr>
      </w:pPr>
      <w:bookmarkStart w:id="111" w:name="_Toc378069657"/>
      <w:bookmarkStart w:id="112" w:name="_Toc425429783"/>
      <w:bookmarkStart w:id="113" w:name="_Toc421609842"/>
      <w:bookmarkStart w:id="114" w:name="_Toc36374421"/>
      <w:bookmarkStart w:id="115" w:name="_Toc180989343"/>
      <w:r>
        <w:rPr>
          <w:rStyle w:val="CharSectno"/>
        </w:rPr>
        <w:t>14B</w:t>
      </w:r>
      <w:r>
        <w:rPr>
          <w:snapToGrid w:val="0"/>
        </w:rPr>
        <w:t>.</w:t>
      </w:r>
      <w:r>
        <w:rPr>
          <w:snapToGrid w:val="0"/>
        </w:rPr>
        <w:tab/>
        <w:t>Power to order destruction of infected cattle</w:t>
      </w:r>
      <w:bookmarkEnd w:id="111"/>
      <w:bookmarkEnd w:id="112"/>
      <w:bookmarkEnd w:id="113"/>
      <w:bookmarkEnd w:id="114"/>
      <w:bookmarkEnd w:id="115"/>
    </w:p>
    <w:p>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pPr>
        <w:pStyle w:val="Subsection"/>
        <w:rPr>
          <w:snapToGrid w:val="0"/>
        </w:rPr>
      </w:pPr>
      <w:r>
        <w:rPr>
          <w:snapToGrid w:val="0"/>
        </w:rPr>
        <w:tab/>
        <w:t>(2)</w:t>
      </w:r>
      <w:r>
        <w:rPr>
          <w:snapToGrid w:val="0"/>
        </w:rPr>
        <w:tab/>
        <w:t>An order under subsection (1) may prescribe —</w:t>
      </w:r>
    </w:p>
    <w:p>
      <w:pPr>
        <w:pStyle w:val="Indenta"/>
        <w:rPr>
          <w:snapToGrid w:val="0"/>
        </w:rPr>
      </w:pPr>
      <w:r>
        <w:rPr>
          <w:snapToGrid w:val="0"/>
        </w:rPr>
        <w:tab/>
        <w:t>(a)</w:t>
      </w:r>
      <w:r>
        <w:rPr>
          <w:snapToGrid w:val="0"/>
        </w:rPr>
        <w:tab/>
        <w:t>the manner in which;</w:t>
      </w:r>
    </w:p>
    <w:p>
      <w:pPr>
        <w:pStyle w:val="Indenta"/>
        <w:rPr>
          <w:snapToGrid w:val="0"/>
        </w:rPr>
      </w:pPr>
      <w:r>
        <w:rPr>
          <w:snapToGrid w:val="0"/>
        </w:rPr>
        <w:tab/>
        <w:t>(b)</w:t>
      </w:r>
      <w:r>
        <w:rPr>
          <w:snapToGrid w:val="0"/>
        </w:rPr>
        <w:tab/>
        <w:t>the time within which; and</w:t>
      </w:r>
    </w:p>
    <w:p>
      <w:pPr>
        <w:pStyle w:val="Indenta"/>
        <w:rPr>
          <w:snapToGrid w:val="0"/>
        </w:rPr>
      </w:pPr>
      <w:r>
        <w:rPr>
          <w:snapToGrid w:val="0"/>
        </w:rPr>
        <w:tab/>
        <w:t>(c)</w:t>
      </w:r>
      <w:r>
        <w:rPr>
          <w:snapToGrid w:val="0"/>
        </w:rPr>
        <w:tab/>
        <w:t>the person by whom,</w:t>
      </w:r>
    </w:p>
    <w:p>
      <w:pPr>
        <w:pStyle w:val="Subsection"/>
        <w:rPr>
          <w:snapToGrid w:val="0"/>
        </w:rPr>
      </w:pPr>
      <w:r>
        <w:rPr>
          <w:snapToGrid w:val="0"/>
        </w:rPr>
        <w:tab/>
      </w:r>
      <w:r>
        <w:rPr>
          <w:snapToGrid w:val="0"/>
        </w:rPr>
        <w:tab/>
        <w:t>the cattle shall be destroyed.</w:t>
      </w:r>
    </w:p>
    <w:p>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pPr>
        <w:pStyle w:val="Footnotesection"/>
      </w:pPr>
      <w:r>
        <w:tab/>
        <w:t>[Section 14B inserted by No. 44 of 1988 s. 5.]</w:t>
      </w:r>
    </w:p>
    <w:p>
      <w:pPr>
        <w:pStyle w:val="Heading5"/>
        <w:rPr>
          <w:snapToGrid w:val="0"/>
        </w:rPr>
      </w:pPr>
      <w:bookmarkStart w:id="116" w:name="_Toc378069658"/>
      <w:bookmarkStart w:id="117" w:name="_Toc425429784"/>
      <w:bookmarkStart w:id="118" w:name="_Toc421609843"/>
      <w:bookmarkStart w:id="119" w:name="_Toc36374422"/>
      <w:bookmarkStart w:id="120" w:name="_Toc180989344"/>
      <w:r>
        <w:rPr>
          <w:rStyle w:val="CharSectno"/>
        </w:rPr>
        <w:t>14C</w:t>
      </w:r>
      <w:r>
        <w:rPr>
          <w:snapToGrid w:val="0"/>
        </w:rPr>
        <w:t>.</w:t>
      </w:r>
      <w:r>
        <w:rPr>
          <w:snapToGrid w:val="0"/>
        </w:rPr>
        <w:tab/>
        <w:t>Procedure where owner fails to comply with order</w:t>
      </w:r>
      <w:bookmarkEnd w:id="116"/>
      <w:bookmarkEnd w:id="117"/>
      <w:bookmarkEnd w:id="118"/>
      <w:bookmarkEnd w:id="119"/>
      <w:bookmarkEnd w:id="120"/>
    </w:p>
    <w:p>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pPr>
        <w:pStyle w:val="Footnotesection"/>
      </w:pPr>
      <w:r>
        <w:tab/>
        <w:t>[Section 14C inserted by No. 44 of 1988 s. 5.]</w:t>
      </w:r>
    </w:p>
    <w:p>
      <w:pPr>
        <w:pStyle w:val="Heading5"/>
        <w:rPr>
          <w:snapToGrid w:val="0"/>
        </w:rPr>
      </w:pPr>
      <w:bookmarkStart w:id="121" w:name="_Toc378069659"/>
      <w:bookmarkStart w:id="122" w:name="_Toc425429785"/>
      <w:bookmarkStart w:id="123" w:name="_Toc421609844"/>
      <w:bookmarkStart w:id="124" w:name="_Toc36374423"/>
      <w:bookmarkStart w:id="125" w:name="_Toc180989345"/>
      <w:r>
        <w:rPr>
          <w:rStyle w:val="CharSectno"/>
        </w:rPr>
        <w:t>14D</w:t>
      </w:r>
      <w:r>
        <w:rPr>
          <w:snapToGrid w:val="0"/>
        </w:rPr>
        <w:t>.</w:t>
      </w:r>
      <w:r>
        <w:rPr>
          <w:snapToGrid w:val="0"/>
        </w:rPr>
        <w:tab/>
        <w:t>Expenses of destruction of cattle</w:t>
      </w:r>
      <w:bookmarkEnd w:id="121"/>
      <w:bookmarkEnd w:id="122"/>
      <w:bookmarkEnd w:id="123"/>
      <w:bookmarkEnd w:id="124"/>
      <w:bookmarkEnd w:id="125"/>
    </w:p>
    <w:p>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pPr>
        <w:pStyle w:val="Footnotesection"/>
      </w:pPr>
      <w:r>
        <w:tab/>
        <w:t>[Section 14D inserted by No. 44 of 1988 s. 5.]</w:t>
      </w:r>
    </w:p>
    <w:p>
      <w:pPr>
        <w:pStyle w:val="Heading5"/>
        <w:rPr>
          <w:snapToGrid w:val="0"/>
        </w:rPr>
      </w:pPr>
      <w:bookmarkStart w:id="126" w:name="_Toc378069660"/>
      <w:bookmarkStart w:id="127" w:name="_Toc425429786"/>
      <w:bookmarkStart w:id="128" w:name="_Toc421609845"/>
      <w:bookmarkStart w:id="129" w:name="_Toc36374424"/>
      <w:bookmarkStart w:id="130" w:name="_Toc180989346"/>
      <w:r>
        <w:rPr>
          <w:rStyle w:val="CharSectno"/>
        </w:rPr>
        <w:t>14E</w:t>
      </w:r>
      <w:r>
        <w:rPr>
          <w:snapToGrid w:val="0"/>
        </w:rPr>
        <w:t>.</w:t>
      </w:r>
      <w:r>
        <w:rPr>
          <w:snapToGrid w:val="0"/>
        </w:rPr>
        <w:tab/>
        <w:t>Unauthorised removal of specified cattle prohibited</w:t>
      </w:r>
      <w:bookmarkEnd w:id="126"/>
      <w:bookmarkEnd w:id="127"/>
      <w:bookmarkEnd w:id="128"/>
      <w:bookmarkEnd w:id="129"/>
      <w:bookmarkEnd w:id="130"/>
    </w:p>
    <w:p>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pPr>
        <w:pStyle w:val="Penstart"/>
        <w:rPr>
          <w:snapToGrid w:val="0"/>
        </w:rPr>
      </w:pPr>
      <w:r>
        <w:rPr>
          <w:snapToGrid w:val="0"/>
        </w:rPr>
        <w:tab/>
        <w:t>Penalty: $10 000.</w:t>
      </w:r>
    </w:p>
    <w:p>
      <w:pPr>
        <w:pStyle w:val="Footnotesection"/>
      </w:pPr>
      <w:r>
        <w:tab/>
        <w:t>[Section 14E inserted by No. 44 of 1988 s. 5.]</w:t>
      </w:r>
    </w:p>
    <w:p>
      <w:pPr>
        <w:pStyle w:val="Heading2"/>
      </w:pPr>
      <w:bookmarkStart w:id="131" w:name="_Toc378069661"/>
      <w:bookmarkStart w:id="132" w:name="_Toc425429787"/>
      <w:bookmarkStart w:id="133" w:name="_Toc72570647"/>
      <w:bookmarkStart w:id="134" w:name="_Toc89236967"/>
      <w:bookmarkStart w:id="135" w:name="_Toc101932347"/>
      <w:bookmarkStart w:id="136" w:name="_Toc116806621"/>
      <w:bookmarkStart w:id="137" w:name="_Toc117653226"/>
      <w:bookmarkStart w:id="138" w:name="_Toc117910662"/>
      <w:bookmarkStart w:id="139" w:name="_Toc118166099"/>
      <w:bookmarkStart w:id="140" w:name="_Toc118526230"/>
      <w:bookmarkStart w:id="141" w:name="_Toc139428011"/>
      <w:bookmarkStart w:id="142" w:name="_Toc157836597"/>
      <w:bookmarkStart w:id="143" w:name="_Toc180989347"/>
      <w:r>
        <w:rPr>
          <w:rStyle w:val="CharPartNo"/>
        </w:rPr>
        <w:t>Part III</w:t>
      </w:r>
      <w:r>
        <w:rPr>
          <w:rStyle w:val="CharDivNo"/>
        </w:rPr>
        <w:t> </w:t>
      </w:r>
      <w:r>
        <w:t>—</w:t>
      </w:r>
      <w:r>
        <w:rPr>
          <w:rStyle w:val="CharDivText"/>
        </w:rPr>
        <w:t> </w:t>
      </w:r>
      <w:r>
        <w:rPr>
          <w:rStyle w:val="CharPartText"/>
        </w:rPr>
        <w:t>Compensation for cattle</w:t>
      </w:r>
      <w:bookmarkEnd w:id="131"/>
      <w:bookmarkEnd w:id="132"/>
      <w:bookmarkEnd w:id="133"/>
      <w:bookmarkEnd w:id="134"/>
      <w:bookmarkEnd w:id="135"/>
      <w:bookmarkEnd w:id="136"/>
      <w:bookmarkEnd w:id="137"/>
      <w:bookmarkEnd w:id="138"/>
      <w:bookmarkEnd w:id="139"/>
      <w:bookmarkEnd w:id="140"/>
      <w:bookmarkEnd w:id="141"/>
      <w:bookmarkEnd w:id="142"/>
      <w:bookmarkEnd w:id="143"/>
    </w:p>
    <w:p>
      <w:pPr>
        <w:pStyle w:val="Heading5"/>
        <w:rPr>
          <w:snapToGrid w:val="0"/>
        </w:rPr>
      </w:pPr>
      <w:bookmarkStart w:id="144" w:name="_Toc378069662"/>
      <w:bookmarkStart w:id="145" w:name="_Toc425429788"/>
      <w:bookmarkStart w:id="146" w:name="_Toc421609846"/>
      <w:bookmarkStart w:id="147" w:name="_Toc36374425"/>
      <w:bookmarkStart w:id="148" w:name="_Toc180989348"/>
      <w:r>
        <w:rPr>
          <w:rStyle w:val="CharSectno"/>
        </w:rPr>
        <w:t>15</w:t>
      </w:r>
      <w:r>
        <w:rPr>
          <w:snapToGrid w:val="0"/>
        </w:rPr>
        <w:t>.</w:t>
      </w:r>
      <w:r>
        <w:rPr>
          <w:snapToGrid w:val="0"/>
        </w:rPr>
        <w:tab/>
        <w:t>Persons to whom compensation payable</w:t>
      </w:r>
      <w:bookmarkEnd w:id="144"/>
      <w:bookmarkEnd w:id="145"/>
      <w:bookmarkEnd w:id="146"/>
      <w:bookmarkEnd w:id="147"/>
      <w:bookmarkEnd w:id="148"/>
    </w:p>
    <w:p>
      <w:pPr>
        <w:pStyle w:val="Subsection"/>
        <w:rPr>
          <w:snapToGrid w:val="0"/>
        </w:rPr>
      </w:pPr>
      <w:r>
        <w:rPr>
          <w:snapToGrid w:val="0"/>
        </w:rPr>
        <w:tab/>
      </w:r>
      <w:r>
        <w:rPr>
          <w:snapToGrid w:val="0"/>
        </w:rPr>
        <w:tab/>
        <w:t>Subject to the provisions of this Act compensation is payable under this Act —</w:t>
      </w:r>
    </w:p>
    <w:p>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pPr>
        <w:pStyle w:val="Indenta"/>
        <w:rPr>
          <w:snapToGrid w:val="0"/>
        </w:rPr>
      </w:pPr>
      <w:r>
        <w:rPr>
          <w:snapToGrid w:val="0"/>
        </w:rPr>
        <w:tab/>
        <w:t>(ba)</w:t>
      </w:r>
      <w:r>
        <w:rPr>
          <w:snapToGrid w:val="0"/>
        </w:rPr>
        <w:tab/>
        <w:t>to the owner of any cattle destroyed by or by order of the Chief Inspector under section 14B;</w:t>
      </w:r>
    </w:p>
    <w:p>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pPr>
        <w:pStyle w:val="Footnotesection"/>
      </w:pPr>
      <w:r>
        <w:tab/>
        <w:t>[Section 15 amended by No. 45 of 1981 s. 5; No. 44 of 1988 s. 6.]</w:t>
      </w:r>
    </w:p>
    <w:p>
      <w:pPr>
        <w:pStyle w:val="Heading5"/>
        <w:rPr>
          <w:snapToGrid w:val="0"/>
        </w:rPr>
      </w:pPr>
      <w:bookmarkStart w:id="149" w:name="_Toc378069663"/>
      <w:bookmarkStart w:id="150" w:name="_Toc425429789"/>
      <w:bookmarkStart w:id="151" w:name="_Toc421609847"/>
      <w:bookmarkStart w:id="152" w:name="_Toc36374426"/>
      <w:bookmarkStart w:id="153" w:name="_Toc180989349"/>
      <w:r>
        <w:rPr>
          <w:rStyle w:val="CharSectno"/>
        </w:rPr>
        <w:t>16</w:t>
      </w:r>
      <w:r>
        <w:rPr>
          <w:snapToGrid w:val="0"/>
        </w:rPr>
        <w:t>.</w:t>
      </w:r>
      <w:r>
        <w:rPr>
          <w:snapToGrid w:val="0"/>
        </w:rPr>
        <w:tab/>
        <w:t>Amount of compensation</w:t>
      </w:r>
      <w:bookmarkEnd w:id="149"/>
      <w:bookmarkEnd w:id="150"/>
      <w:bookmarkEnd w:id="151"/>
      <w:bookmarkEnd w:id="152"/>
      <w:bookmarkEnd w:id="153"/>
    </w:p>
    <w:p>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pPr>
        <w:pStyle w:val="Footnotesection"/>
      </w:pPr>
      <w:r>
        <w:tab/>
        <w:t>[Section 16 amended by No. 45 of 1981 s. 6; No. 44 of 1988 s. 7.]</w:t>
      </w:r>
    </w:p>
    <w:p>
      <w:pPr>
        <w:pStyle w:val="Heading5"/>
        <w:rPr>
          <w:snapToGrid w:val="0"/>
        </w:rPr>
      </w:pPr>
      <w:bookmarkStart w:id="154" w:name="_Toc378069664"/>
      <w:bookmarkStart w:id="155" w:name="_Toc425429790"/>
      <w:bookmarkStart w:id="156" w:name="_Toc421609848"/>
      <w:bookmarkStart w:id="157" w:name="_Toc36374427"/>
      <w:bookmarkStart w:id="158" w:name="_Toc180989350"/>
      <w:r>
        <w:rPr>
          <w:rStyle w:val="CharSectno"/>
        </w:rPr>
        <w:t>17</w:t>
      </w:r>
      <w:r>
        <w:rPr>
          <w:snapToGrid w:val="0"/>
        </w:rPr>
        <w:t>.</w:t>
      </w:r>
      <w:r>
        <w:rPr>
          <w:snapToGrid w:val="0"/>
        </w:rPr>
        <w:tab/>
        <w:t>Determination of value of cattle</w:t>
      </w:r>
      <w:bookmarkEnd w:id="154"/>
      <w:bookmarkEnd w:id="155"/>
      <w:bookmarkEnd w:id="156"/>
      <w:bookmarkEnd w:id="157"/>
      <w:bookmarkEnd w:id="158"/>
    </w:p>
    <w:p>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pPr>
        <w:pStyle w:val="Subsection"/>
        <w:spacing w:before="120"/>
        <w:rPr>
          <w:snapToGrid w:val="0"/>
        </w:rPr>
      </w:pPr>
      <w:r>
        <w:rPr>
          <w:snapToGrid w:val="0"/>
        </w:rPr>
        <w:tab/>
        <w:t>(3)</w:t>
      </w:r>
      <w:r>
        <w:rPr>
          <w:snapToGrid w:val="0"/>
        </w:rPr>
        <w:tab/>
        <w:t>The proceeds of the disposal of any carcass or portion of a carcass to which this Act applies shall be credited to the Account.</w:t>
      </w:r>
    </w:p>
    <w:p>
      <w:pPr>
        <w:pStyle w:val="Subsection"/>
        <w:spacing w:before="120"/>
        <w:rPr>
          <w:snapToGrid w:val="0"/>
        </w:rPr>
      </w:pPr>
      <w:r>
        <w:rPr>
          <w:snapToGrid w:val="0"/>
        </w:rPr>
        <w:tab/>
        <w:t>(4)</w:t>
      </w:r>
      <w:r>
        <w:rPr>
          <w:snapToGrid w:val="0"/>
        </w:rPr>
        <w:tab/>
        <w:t>In subsection (1a) —</w:t>
      </w:r>
    </w:p>
    <w:p>
      <w:pPr>
        <w:pStyle w:val="Defstart"/>
      </w:pPr>
      <w:r>
        <w:rPr>
          <w:b/>
        </w:rPr>
        <w:tab/>
      </w:r>
      <w:r>
        <w:rPr>
          <w:rStyle w:val="CharDefText"/>
        </w:rPr>
        <w:t>inspector</w:t>
      </w:r>
      <w:r>
        <w:t xml:space="preserve"> includes the Chief Inspector.</w:t>
      </w:r>
    </w:p>
    <w:p>
      <w:pPr>
        <w:pStyle w:val="Footnotesection"/>
      </w:pPr>
      <w:r>
        <w:tab/>
        <w:t>[Section 17 amended by No. 45 of 1981 s. 7; No. 44 of 1988 s. 8; No. 49 of 1996 s. 64; No. 77 of 2006 s. 17.]</w:t>
      </w:r>
    </w:p>
    <w:p>
      <w:pPr>
        <w:pStyle w:val="Heading5"/>
        <w:rPr>
          <w:snapToGrid w:val="0"/>
        </w:rPr>
      </w:pPr>
      <w:bookmarkStart w:id="159" w:name="_Toc378069665"/>
      <w:bookmarkStart w:id="160" w:name="_Toc425429791"/>
      <w:bookmarkStart w:id="161" w:name="_Toc421609849"/>
      <w:bookmarkStart w:id="162" w:name="_Toc36374428"/>
      <w:bookmarkStart w:id="163" w:name="_Toc180989351"/>
      <w:r>
        <w:rPr>
          <w:rStyle w:val="CharSectno"/>
        </w:rPr>
        <w:t>17A</w:t>
      </w:r>
      <w:r>
        <w:rPr>
          <w:snapToGrid w:val="0"/>
        </w:rPr>
        <w:t>.</w:t>
      </w:r>
      <w:r>
        <w:rPr>
          <w:snapToGrid w:val="0"/>
        </w:rPr>
        <w:tab/>
        <w:t>Compensation for specified disease in specified area</w:t>
      </w:r>
      <w:bookmarkEnd w:id="159"/>
      <w:bookmarkEnd w:id="160"/>
      <w:bookmarkEnd w:id="161"/>
      <w:bookmarkEnd w:id="162"/>
      <w:bookmarkEnd w:id="163"/>
    </w:p>
    <w:p>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pPr>
        <w:pStyle w:val="Indenta"/>
        <w:rPr>
          <w:snapToGrid w:val="0"/>
        </w:rPr>
      </w:pPr>
      <w:r>
        <w:rPr>
          <w:snapToGrid w:val="0"/>
        </w:rPr>
        <w:tab/>
        <w:t>(a)</w:t>
      </w:r>
      <w:r>
        <w:rPr>
          <w:snapToGrid w:val="0"/>
        </w:rPr>
        <w:tab/>
        <w:t>from a disease specified in the notice;</w:t>
      </w:r>
    </w:p>
    <w:p>
      <w:pPr>
        <w:pStyle w:val="Indenta"/>
        <w:rPr>
          <w:snapToGrid w:val="0"/>
        </w:rPr>
      </w:pPr>
      <w:r>
        <w:rPr>
          <w:snapToGrid w:val="0"/>
        </w:rPr>
        <w:tab/>
        <w:t>(b)</w:t>
      </w:r>
      <w:r>
        <w:rPr>
          <w:snapToGrid w:val="0"/>
        </w:rPr>
        <w:tab/>
        <w:t>in an area of the State specified in the notice; and</w:t>
      </w:r>
    </w:p>
    <w:p>
      <w:pPr>
        <w:pStyle w:val="Indenta"/>
        <w:rPr>
          <w:snapToGrid w:val="0"/>
        </w:rPr>
      </w:pPr>
      <w:r>
        <w:rPr>
          <w:snapToGrid w:val="0"/>
        </w:rPr>
        <w:tab/>
        <w:t>(c)</w:t>
      </w:r>
      <w:r>
        <w:rPr>
          <w:snapToGrid w:val="0"/>
        </w:rPr>
        <w:tab/>
        <w:t>either —</w:t>
      </w:r>
    </w:p>
    <w:p>
      <w:pPr>
        <w:pStyle w:val="Indenti"/>
        <w:rPr>
          <w:snapToGrid w:val="0"/>
        </w:rPr>
      </w:pPr>
      <w:r>
        <w:rPr>
          <w:snapToGrid w:val="0"/>
        </w:rPr>
        <w:tab/>
        <w:t>(i)</w:t>
      </w:r>
      <w:r>
        <w:rPr>
          <w:snapToGrid w:val="0"/>
        </w:rPr>
        <w:tab/>
        <w:t>on or after a date specified in the notice; or</w:t>
      </w:r>
    </w:p>
    <w:p>
      <w:pPr>
        <w:pStyle w:val="Indenti"/>
        <w:rPr>
          <w:snapToGrid w:val="0"/>
        </w:rPr>
      </w:pPr>
      <w:r>
        <w:rPr>
          <w:snapToGrid w:val="0"/>
        </w:rPr>
        <w:tab/>
        <w:t>(ii)</w:t>
      </w:r>
      <w:r>
        <w:rPr>
          <w:snapToGrid w:val="0"/>
        </w:rPr>
        <w:tab/>
        <w:t>during a period specified in the notice,</w:t>
      </w:r>
    </w:p>
    <w:p>
      <w:pPr>
        <w:pStyle w:val="Indenta"/>
        <w:rPr>
          <w:snapToGrid w:val="0"/>
        </w:rPr>
      </w:pPr>
      <w:r>
        <w:rPr>
          <w:snapToGrid w:val="0"/>
        </w:rPr>
        <w:tab/>
      </w:r>
      <w:r>
        <w:rPr>
          <w:snapToGrid w:val="0"/>
        </w:rPr>
        <w:tab/>
        <w:t>which date or period, as the case requires, may be prior to the publication of the notice.</w:t>
      </w:r>
    </w:p>
    <w:p>
      <w:pPr>
        <w:pStyle w:val="Subsection"/>
        <w:rPr>
          <w:snapToGrid w:val="0"/>
        </w:rPr>
      </w:pPr>
      <w:r>
        <w:rPr>
          <w:snapToGrid w:val="0"/>
        </w:rPr>
        <w:tab/>
        <w:t>(2)</w:t>
      </w:r>
      <w:r>
        <w:rPr>
          <w:snapToGrid w:val="0"/>
        </w:rPr>
        <w:tab/>
        <w:t>A notice published under subsection (1) —</w:t>
      </w:r>
    </w:p>
    <w:p>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pPr>
        <w:pStyle w:val="Footnotesection"/>
      </w:pPr>
      <w:r>
        <w:tab/>
        <w:t>[Section 17A inserted by No. 45 of 1981 s. 8.]</w:t>
      </w:r>
    </w:p>
    <w:p>
      <w:pPr>
        <w:pStyle w:val="Heading5"/>
        <w:rPr>
          <w:snapToGrid w:val="0"/>
        </w:rPr>
      </w:pPr>
      <w:bookmarkStart w:id="164" w:name="_Toc378069666"/>
      <w:bookmarkStart w:id="165" w:name="_Toc425429792"/>
      <w:bookmarkStart w:id="166" w:name="_Toc421609850"/>
      <w:bookmarkStart w:id="167" w:name="_Toc36374429"/>
      <w:bookmarkStart w:id="168" w:name="_Toc180989352"/>
      <w:r>
        <w:rPr>
          <w:rStyle w:val="CharSectno"/>
        </w:rPr>
        <w:t>18</w:t>
      </w:r>
      <w:r>
        <w:rPr>
          <w:snapToGrid w:val="0"/>
        </w:rPr>
        <w:t>.</w:t>
      </w:r>
      <w:r>
        <w:rPr>
          <w:snapToGrid w:val="0"/>
        </w:rPr>
        <w:tab/>
        <w:t>Application for compensation</w:t>
      </w:r>
      <w:bookmarkEnd w:id="164"/>
      <w:bookmarkEnd w:id="165"/>
      <w:bookmarkEnd w:id="166"/>
      <w:bookmarkEnd w:id="167"/>
      <w:bookmarkEnd w:id="168"/>
    </w:p>
    <w:p>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pPr>
        <w:pStyle w:val="Footnotesection"/>
      </w:pPr>
      <w:r>
        <w:tab/>
        <w:t>[Section 18 amended by No. 52 of 1976 s. 2.]</w:t>
      </w:r>
    </w:p>
    <w:p>
      <w:pPr>
        <w:pStyle w:val="Heading5"/>
        <w:spacing w:before="120"/>
        <w:rPr>
          <w:snapToGrid w:val="0"/>
        </w:rPr>
      </w:pPr>
      <w:bookmarkStart w:id="169" w:name="_Toc378069667"/>
      <w:bookmarkStart w:id="170" w:name="_Toc425429793"/>
      <w:bookmarkStart w:id="171" w:name="_Toc421609851"/>
      <w:bookmarkStart w:id="172" w:name="_Toc36374430"/>
      <w:bookmarkStart w:id="173" w:name="_Toc180989353"/>
      <w:r>
        <w:rPr>
          <w:rStyle w:val="CharSectno"/>
        </w:rPr>
        <w:t>19</w:t>
      </w:r>
      <w:r>
        <w:rPr>
          <w:snapToGrid w:val="0"/>
        </w:rPr>
        <w:t>.</w:t>
      </w:r>
      <w:r>
        <w:rPr>
          <w:snapToGrid w:val="0"/>
        </w:rPr>
        <w:tab/>
        <w:t>Circumstances in which compensation not payable</w:t>
      </w:r>
      <w:bookmarkEnd w:id="169"/>
      <w:bookmarkEnd w:id="170"/>
      <w:bookmarkEnd w:id="171"/>
      <w:bookmarkEnd w:id="172"/>
      <w:bookmarkEnd w:id="173"/>
    </w:p>
    <w:p>
      <w:pPr>
        <w:pStyle w:val="Subsection"/>
        <w:rPr>
          <w:snapToGrid w:val="0"/>
        </w:rPr>
      </w:pPr>
      <w:r>
        <w:rPr>
          <w:snapToGrid w:val="0"/>
        </w:rPr>
        <w:tab/>
      </w:r>
      <w:r>
        <w:rPr>
          <w:snapToGrid w:val="0"/>
        </w:rPr>
        <w:tab/>
        <w:t>Compensation under this Act is not payable —</w:t>
      </w:r>
    </w:p>
    <w:p>
      <w:pPr>
        <w:pStyle w:val="Indenta"/>
        <w:rPr>
          <w:snapToGrid w:val="0"/>
        </w:rPr>
      </w:pPr>
      <w:r>
        <w:rPr>
          <w:snapToGrid w:val="0"/>
        </w:rPr>
        <w:tab/>
        <w:t>(a)</w:t>
      </w:r>
      <w:r>
        <w:rPr>
          <w:snapToGrid w:val="0"/>
        </w:rPr>
        <w:tab/>
        <w:t>if the head only of a carcass is condemned as unfit for human consumption because of disease or a specified disease;</w:t>
      </w:r>
    </w:p>
    <w:p>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pPr>
        <w:pStyle w:val="Indenta"/>
        <w:rPr>
          <w:snapToGrid w:val="0"/>
        </w:rPr>
      </w:pPr>
      <w:r>
        <w:rPr>
          <w:snapToGrid w:val="0"/>
        </w:rPr>
        <w:tab/>
        <w:t>(c)</w:t>
      </w:r>
      <w:r>
        <w:rPr>
          <w:snapToGrid w:val="0"/>
        </w:rPr>
        <w:tab/>
        <w:t>unless the Chief Inspector is satisfied —</w:t>
      </w:r>
    </w:p>
    <w:p>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pPr>
        <w:pStyle w:val="Indenta"/>
        <w:rPr>
          <w:snapToGrid w:val="0"/>
        </w:rPr>
      </w:pPr>
      <w:r>
        <w:rPr>
          <w:snapToGrid w:val="0"/>
        </w:rPr>
        <w:tab/>
        <w:t>(e)</w:t>
      </w:r>
      <w:r>
        <w:rPr>
          <w:snapToGrid w:val="0"/>
        </w:rPr>
        <w:tab/>
        <w:t>if the person making the claim for compensation is convicted of an offence under section 20 or section 37;</w:t>
      </w:r>
    </w:p>
    <w:p>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pPr>
        <w:pStyle w:val="Footnotesection"/>
      </w:pPr>
      <w:r>
        <w:tab/>
        <w:t>[Section 19 amended by No. 14 of 1969 s. 4; No. 45 of 1981 s. 9.]</w:t>
      </w:r>
    </w:p>
    <w:p>
      <w:pPr>
        <w:pStyle w:val="Heading5"/>
        <w:rPr>
          <w:snapToGrid w:val="0"/>
        </w:rPr>
      </w:pPr>
      <w:bookmarkStart w:id="174" w:name="_Toc378069668"/>
      <w:bookmarkStart w:id="175" w:name="_Toc425429794"/>
      <w:bookmarkStart w:id="176" w:name="_Toc421609852"/>
      <w:bookmarkStart w:id="177" w:name="_Toc36374431"/>
      <w:bookmarkStart w:id="178" w:name="_Toc180989354"/>
      <w:r>
        <w:rPr>
          <w:rStyle w:val="CharSectno"/>
        </w:rPr>
        <w:t>20</w:t>
      </w:r>
      <w:r>
        <w:rPr>
          <w:snapToGrid w:val="0"/>
        </w:rPr>
        <w:t>.</w:t>
      </w:r>
      <w:r>
        <w:rPr>
          <w:snapToGrid w:val="0"/>
        </w:rPr>
        <w:tab/>
        <w:t>Offence of dealing in diseased cattle to claim compensation</w:t>
      </w:r>
      <w:bookmarkEnd w:id="174"/>
      <w:bookmarkEnd w:id="175"/>
      <w:bookmarkEnd w:id="176"/>
      <w:bookmarkEnd w:id="177"/>
      <w:bookmarkEnd w:id="178"/>
    </w:p>
    <w:p>
      <w:pPr>
        <w:pStyle w:val="Subsection"/>
        <w:keepLines/>
        <w:rPr>
          <w:snapToGrid w:val="0"/>
        </w:rPr>
      </w:pPr>
      <w:r>
        <w:rPr>
          <w:snapToGrid w:val="0"/>
        </w:rPr>
        <w:tab/>
      </w:r>
      <w:r>
        <w:rPr>
          <w:snapToGrid w:val="0"/>
        </w:rPr>
        <w:tab/>
        <w:t>A person who —</w:t>
      </w:r>
    </w:p>
    <w:p>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pPr>
        <w:pStyle w:val="Subsection"/>
        <w:rPr>
          <w:snapToGrid w:val="0"/>
        </w:rPr>
      </w:pPr>
      <w:r>
        <w:rPr>
          <w:snapToGrid w:val="0"/>
        </w:rPr>
        <w:tab/>
      </w:r>
      <w:r>
        <w:rPr>
          <w:snapToGrid w:val="0"/>
        </w:rPr>
        <w:tab/>
        <w:t>commits an offence.</w:t>
      </w:r>
    </w:p>
    <w:p>
      <w:pPr>
        <w:pStyle w:val="Penstart"/>
        <w:rPr>
          <w:snapToGrid w:val="0"/>
        </w:rPr>
      </w:pPr>
      <w:r>
        <w:rPr>
          <w:snapToGrid w:val="0"/>
        </w:rPr>
        <w:tab/>
        <w:t>Penalty: $2 000 in respect of each animal or each carcass or portion of a carcass so bought or so sold or in respect of which the attempt is made, as the case may be.</w:t>
      </w:r>
    </w:p>
    <w:p>
      <w:pPr>
        <w:pStyle w:val="Footnotesection"/>
      </w:pPr>
      <w:r>
        <w:tab/>
        <w:t>[Section 20 amended by No. 113 of 1965 s. 8; No. 44 of 1988 s. 9; No. 20 of 1989 s. 3.]</w:t>
      </w:r>
    </w:p>
    <w:p>
      <w:pPr>
        <w:pStyle w:val="Heading5"/>
        <w:rPr>
          <w:snapToGrid w:val="0"/>
        </w:rPr>
      </w:pPr>
      <w:bookmarkStart w:id="179" w:name="_Toc421609853"/>
      <w:bookmarkStart w:id="180" w:name="_Toc36374432"/>
      <w:bookmarkStart w:id="181" w:name="_Toc378069669"/>
      <w:bookmarkStart w:id="182" w:name="_Toc425429795"/>
      <w:bookmarkStart w:id="183" w:name="_Toc180989355"/>
      <w:r>
        <w:rPr>
          <w:rStyle w:val="CharSectno"/>
        </w:rPr>
        <w:t>20A</w:t>
      </w:r>
      <w:r>
        <w:rPr>
          <w:snapToGrid w:val="0"/>
        </w:rPr>
        <w:t>.</w:t>
      </w:r>
      <w:r>
        <w:rPr>
          <w:snapToGrid w:val="0"/>
        </w:rPr>
        <w:tab/>
        <w:t xml:space="preserve">Certain costs of vaccination payable out of </w:t>
      </w:r>
      <w:bookmarkEnd w:id="179"/>
      <w:bookmarkEnd w:id="180"/>
      <w:r>
        <w:rPr>
          <w:snapToGrid w:val="0"/>
        </w:rPr>
        <w:t>Account</w:t>
      </w:r>
      <w:bookmarkEnd w:id="181"/>
      <w:bookmarkEnd w:id="182"/>
      <w:bookmarkEnd w:id="183"/>
    </w:p>
    <w:p>
      <w:pPr>
        <w:pStyle w:val="Subsection"/>
        <w:rPr>
          <w:snapToGrid w:val="0"/>
        </w:rPr>
      </w:pPr>
      <w:r>
        <w:rPr>
          <w:snapToGrid w:val="0"/>
        </w:rPr>
        <w:tab/>
      </w:r>
      <w:r>
        <w:rPr>
          <w:snapToGrid w:val="0"/>
        </w:rPr>
        <w:tab/>
        <w:t>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Account.</w:t>
      </w:r>
    </w:p>
    <w:p>
      <w:pPr>
        <w:pStyle w:val="Footnotesection"/>
      </w:pPr>
      <w:r>
        <w:tab/>
        <w:t>[Section 20A inserted by No. 14 of 1969 s. 5; amended by No. 49 of 1996 s. 64; No. 77 of 2006 s. 17.]</w:t>
      </w:r>
    </w:p>
    <w:p>
      <w:pPr>
        <w:pStyle w:val="Heading2"/>
      </w:pPr>
      <w:bookmarkStart w:id="184" w:name="_Toc72570656"/>
      <w:bookmarkStart w:id="185" w:name="_Toc89236976"/>
      <w:bookmarkStart w:id="186" w:name="_Toc101932356"/>
      <w:bookmarkStart w:id="187" w:name="_Toc116806630"/>
      <w:bookmarkStart w:id="188" w:name="_Toc117653235"/>
      <w:bookmarkStart w:id="189" w:name="_Toc117910671"/>
      <w:bookmarkStart w:id="190" w:name="_Toc118166108"/>
      <w:bookmarkStart w:id="191" w:name="_Toc118526239"/>
      <w:bookmarkStart w:id="192" w:name="_Toc139428020"/>
      <w:bookmarkStart w:id="193" w:name="_Toc378069670"/>
      <w:bookmarkStart w:id="194" w:name="_Toc425429796"/>
      <w:bookmarkStart w:id="195" w:name="_Toc157836606"/>
      <w:bookmarkStart w:id="196" w:name="_Toc180989356"/>
      <w:r>
        <w:rPr>
          <w:rStyle w:val="CharPartNo"/>
        </w:rPr>
        <w:t>Part IV</w:t>
      </w:r>
      <w:r>
        <w:rPr>
          <w:rStyle w:val="CharDivNo"/>
        </w:rPr>
        <w:t> </w:t>
      </w:r>
      <w:r>
        <w:t>—</w:t>
      </w:r>
      <w:r>
        <w:rPr>
          <w:rStyle w:val="CharDivText"/>
        </w:rPr>
        <w:t> </w:t>
      </w:r>
      <w:r>
        <w:rPr>
          <w:rStyle w:val="CharPartText"/>
        </w:rPr>
        <w:t xml:space="preserve">Cattle Industry Compensation </w:t>
      </w:r>
      <w:bookmarkEnd w:id="184"/>
      <w:bookmarkEnd w:id="185"/>
      <w:bookmarkEnd w:id="186"/>
      <w:bookmarkEnd w:id="187"/>
      <w:bookmarkEnd w:id="188"/>
      <w:bookmarkEnd w:id="189"/>
      <w:bookmarkEnd w:id="190"/>
      <w:bookmarkEnd w:id="191"/>
      <w:bookmarkEnd w:id="192"/>
      <w:r>
        <w:rPr>
          <w:rStyle w:val="CharPartText"/>
        </w:rPr>
        <w:t>Account</w:t>
      </w:r>
      <w:bookmarkEnd w:id="193"/>
      <w:bookmarkEnd w:id="194"/>
      <w:bookmarkEnd w:id="195"/>
      <w:bookmarkEnd w:id="196"/>
    </w:p>
    <w:p>
      <w:pPr>
        <w:pStyle w:val="Footnoteheading"/>
      </w:pPr>
      <w:r>
        <w:tab/>
        <w:t>[Heading amended by No. 77 of 2006 s. 17.]</w:t>
      </w:r>
    </w:p>
    <w:p>
      <w:pPr>
        <w:pStyle w:val="Heading5"/>
        <w:rPr>
          <w:snapToGrid w:val="0"/>
        </w:rPr>
      </w:pPr>
      <w:bookmarkStart w:id="197" w:name="_Toc378069671"/>
      <w:bookmarkStart w:id="198" w:name="_Toc425429797"/>
      <w:bookmarkStart w:id="199" w:name="_Toc421609854"/>
      <w:bookmarkStart w:id="200" w:name="_Toc36374433"/>
      <w:bookmarkStart w:id="201" w:name="_Toc180989357"/>
      <w:r>
        <w:rPr>
          <w:rStyle w:val="CharSectno"/>
        </w:rPr>
        <w:t>21</w:t>
      </w:r>
      <w:r>
        <w:rPr>
          <w:snapToGrid w:val="0"/>
        </w:rPr>
        <w:t>.</w:t>
      </w:r>
      <w:r>
        <w:rPr>
          <w:snapToGrid w:val="0"/>
        </w:rPr>
        <w:tab/>
        <w:t>Cattle Industry Compensation Account established</w:t>
      </w:r>
      <w:bookmarkEnd w:id="197"/>
      <w:bookmarkEnd w:id="198"/>
      <w:bookmarkEnd w:id="199"/>
      <w:bookmarkEnd w:id="200"/>
      <w:bookmarkEnd w:id="201"/>
    </w:p>
    <w:p>
      <w:pPr>
        <w:pStyle w:val="Subsection"/>
      </w:pPr>
      <w:r>
        <w:tab/>
        <w:t>(1)</w:t>
      </w:r>
      <w:r>
        <w:tab/>
        <w:t xml:space="preserve">For the purposes of administering this Act and paying compensation in accordance with the provisions of this Act, an agency special purpose account called the Cattle Industry Compensation Account </w:t>
      </w:r>
      <w:r>
        <w:rPr>
          <w:bCs/>
        </w:rPr>
        <w:t xml:space="preserve">is established under section 16 </w:t>
      </w:r>
      <w:r>
        <w:t xml:space="preserve">of the </w:t>
      </w:r>
      <w:r>
        <w:rPr>
          <w:i/>
          <w:iCs/>
        </w:rPr>
        <w:t>Financial Management Act 2006</w:t>
      </w:r>
      <w:r>
        <w:t>.</w:t>
      </w:r>
    </w:p>
    <w:p>
      <w:pPr>
        <w:pStyle w:val="Subsection"/>
        <w:rPr>
          <w:snapToGrid w:val="0"/>
        </w:rPr>
      </w:pPr>
      <w:r>
        <w:rPr>
          <w:snapToGrid w:val="0"/>
        </w:rPr>
        <w:tab/>
        <w:t>(2)</w:t>
      </w:r>
      <w:r>
        <w:rPr>
          <w:snapToGrid w:val="0"/>
        </w:rPr>
        <w:tab/>
        <w:t>The Account shall be controlled by the Director and may be operated upon for the purposes of this Act in such manner as the Treasurer approves and is hereby authorised to approve from time to time.</w:t>
      </w:r>
    </w:p>
    <w:p>
      <w:pPr>
        <w:pStyle w:val="Footnotesection"/>
      </w:pPr>
      <w:r>
        <w:tab/>
        <w:t>[Section 21 amended by No. 98 of 1985 s. 3; No. 49 of 1996 s. 64; No. 28 of 2006 s. 12; No. 77 of 2006 s. 17.]</w:t>
      </w:r>
    </w:p>
    <w:p>
      <w:pPr>
        <w:pStyle w:val="Heading5"/>
        <w:rPr>
          <w:snapToGrid w:val="0"/>
        </w:rPr>
      </w:pPr>
      <w:bookmarkStart w:id="202" w:name="_Toc421609855"/>
      <w:bookmarkStart w:id="203" w:name="_Toc36374434"/>
      <w:bookmarkStart w:id="204" w:name="_Toc378069672"/>
      <w:bookmarkStart w:id="205" w:name="_Toc425429798"/>
      <w:bookmarkStart w:id="206" w:name="_Toc180989358"/>
      <w:r>
        <w:rPr>
          <w:rStyle w:val="CharSectno"/>
        </w:rPr>
        <w:t>21A</w:t>
      </w:r>
      <w:r>
        <w:rPr>
          <w:snapToGrid w:val="0"/>
        </w:rPr>
        <w:t>.</w:t>
      </w:r>
      <w:r>
        <w:rPr>
          <w:snapToGrid w:val="0"/>
        </w:rPr>
        <w:tab/>
        <w:t xml:space="preserve">Application of </w:t>
      </w:r>
      <w:bookmarkEnd w:id="202"/>
      <w:bookmarkEnd w:id="203"/>
      <w:r>
        <w:rPr>
          <w:i/>
          <w:iCs/>
        </w:rPr>
        <w:t xml:space="preserve"> Financial Management Act 2006</w:t>
      </w:r>
      <w:r>
        <w:t xml:space="preserve"> and </w:t>
      </w:r>
      <w:r>
        <w:rPr>
          <w:i/>
          <w:iCs/>
        </w:rPr>
        <w:t>Auditor General Act 2006</w:t>
      </w:r>
      <w:bookmarkEnd w:id="204"/>
      <w:bookmarkEnd w:id="205"/>
      <w:bookmarkEnd w:id="206"/>
    </w:p>
    <w:p>
      <w:pPr>
        <w:pStyle w:val="Subsection"/>
        <w:rPr>
          <w:snapToGrid w:val="0"/>
        </w:rPr>
      </w:pPr>
      <w:r>
        <w:rPr>
          <w:snapToGrid w:val="0"/>
        </w:rPr>
        <w:tab/>
      </w:r>
      <w:r>
        <w:rPr>
          <w:snapToGrid w:val="0"/>
        </w:rPr>
        <w:tab/>
        <w:t xml:space="preserve">The provisions of the </w:t>
      </w:r>
      <w:r>
        <w:rPr>
          <w:i/>
          <w:iCs/>
        </w:rPr>
        <w:t>Financial Management Act 2006</w:t>
      </w:r>
      <w:r>
        <w:t xml:space="preserve"> and the </w:t>
      </w:r>
      <w:r>
        <w:rPr>
          <w:i/>
          <w:iCs/>
        </w:rPr>
        <w:t xml:space="preserve">Auditor General Act 2006 </w:t>
      </w:r>
      <w:r>
        <w:rPr>
          <w:snapToGrid w:val="0"/>
        </w:rPr>
        <w:t>regulating the financial administration, audit and reporting of departments apply to and in respect of the Department and the Account.</w:t>
      </w:r>
    </w:p>
    <w:p>
      <w:pPr>
        <w:pStyle w:val="Footnotesection"/>
        <w:spacing w:before="140"/>
        <w:ind w:left="890" w:hanging="890"/>
      </w:pPr>
      <w:r>
        <w:tab/>
        <w:t>[Section 21A inserted by No. 98 of 1985 s. 3; amended by No. 77 of 2006 s. 17.]</w:t>
      </w:r>
    </w:p>
    <w:p>
      <w:pPr>
        <w:pStyle w:val="Heading5"/>
        <w:rPr>
          <w:snapToGrid w:val="0"/>
        </w:rPr>
      </w:pPr>
      <w:bookmarkStart w:id="207" w:name="_Toc378069673"/>
      <w:bookmarkStart w:id="208" w:name="_Toc425429799"/>
      <w:bookmarkStart w:id="209" w:name="_Toc421609856"/>
      <w:bookmarkStart w:id="210" w:name="_Toc36374435"/>
      <w:bookmarkStart w:id="211" w:name="_Toc180989359"/>
      <w:r>
        <w:rPr>
          <w:rStyle w:val="CharSectno"/>
        </w:rPr>
        <w:t>22</w:t>
      </w:r>
      <w:r>
        <w:rPr>
          <w:snapToGrid w:val="0"/>
        </w:rPr>
        <w:t>.</w:t>
      </w:r>
      <w:r>
        <w:rPr>
          <w:snapToGrid w:val="0"/>
        </w:rPr>
        <w:tab/>
        <w:t>Closure of Compensation Funds established under Acts repealed by this Act</w:t>
      </w:r>
      <w:bookmarkEnd w:id="207"/>
      <w:bookmarkEnd w:id="208"/>
      <w:bookmarkEnd w:id="209"/>
      <w:bookmarkEnd w:id="210"/>
      <w:bookmarkEnd w:id="211"/>
    </w:p>
    <w:p>
      <w:pPr>
        <w:pStyle w:val="Subsection"/>
        <w:rPr>
          <w:snapToGrid w:val="0"/>
        </w:rPr>
      </w:pPr>
      <w:r>
        <w:rPr>
          <w:snapToGrid w:val="0"/>
        </w:rPr>
        <w:tab/>
        <w:t>(1)</w:t>
      </w:r>
      <w:r>
        <w:rPr>
          <w:snapToGrid w:val="0"/>
        </w:rPr>
        <w:tab/>
        <w:t>Upon the date of the coming into operation of this Act —</w:t>
      </w:r>
    </w:p>
    <w:p>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pPr>
        <w:pStyle w:val="Subsection"/>
        <w:rPr>
          <w:snapToGrid w:val="0"/>
        </w:rPr>
      </w:pPr>
      <w:r>
        <w:rPr>
          <w:snapToGrid w:val="0"/>
        </w:rPr>
        <w:tab/>
      </w:r>
      <w:r>
        <w:rPr>
          <w:snapToGrid w:val="0"/>
        </w:rPr>
        <w:tab/>
        <w:t>shall each be closed and not be further operated upon except as provided by this section.</w:t>
      </w:r>
    </w:p>
    <w:p>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pPr>
        <w:pStyle w:val="Heading5"/>
        <w:rPr>
          <w:snapToGrid w:val="0"/>
        </w:rPr>
      </w:pPr>
      <w:bookmarkStart w:id="212" w:name="_Toc421609857"/>
      <w:bookmarkStart w:id="213" w:name="_Toc36374436"/>
      <w:bookmarkStart w:id="214" w:name="_Toc378069674"/>
      <w:bookmarkStart w:id="215" w:name="_Toc425429800"/>
      <w:bookmarkStart w:id="216" w:name="_Toc180989360"/>
      <w:r>
        <w:rPr>
          <w:rStyle w:val="CharSectno"/>
        </w:rPr>
        <w:t>23</w:t>
      </w:r>
      <w:r>
        <w:rPr>
          <w:snapToGrid w:val="0"/>
        </w:rPr>
        <w:t>.</w:t>
      </w:r>
      <w:r>
        <w:rPr>
          <w:snapToGrid w:val="0"/>
        </w:rPr>
        <w:tab/>
        <w:t xml:space="preserve">Application of the </w:t>
      </w:r>
      <w:bookmarkEnd w:id="212"/>
      <w:bookmarkEnd w:id="213"/>
      <w:r>
        <w:rPr>
          <w:snapToGrid w:val="0"/>
        </w:rPr>
        <w:t xml:space="preserve"> Account</w:t>
      </w:r>
      <w:bookmarkEnd w:id="214"/>
      <w:bookmarkEnd w:id="215"/>
      <w:bookmarkEnd w:id="216"/>
    </w:p>
    <w:p>
      <w:pPr>
        <w:pStyle w:val="Subsection"/>
        <w:rPr>
          <w:snapToGrid w:val="0"/>
        </w:rPr>
      </w:pPr>
      <w:r>
        <w:rPr>
          <w:snapToGrid w:val="0"/>
        </w:rPr>
        <w:tab/>
        <w:t>(1)</w:t>
      </w:r>
      <w:r>
        <w:rPr>
          <w:snapToGrid w:val="0"/>
        </w:rPr>
        <w:tab/>
        <w:t>There shall be credited to the Account —</w:t>
      </w:r>
    </w:p>
    <w:p>
      <w:pPr>
        <w:pStyle w:val="Indenta"/>
        <w:rPr>
          <w:snapToGrid w:val="0"/>
        </w:rPr>
      </w:pPr>
      <w:r>
        <w:rPr>
          <w:snapToGrid w:val="0"/>
        </w:rPr>
        <w:tab/>
        <w:t>(a)</w:t>
      </w:r>
      <w:r>
        <w:rPr>
          <w:snapToGrid w:val="0"/>
        </w:rPr>
        <w:tab/>
        <w:t xml:space="preserve">the sum of $20 000 payable to the credit of the Account under and in pursuance of section 57(2)(a) of the </w:t>
      </w:r>
      <w:r>
        <w:rPr>
          <w:i/>
          <w:snapToGrid w:val="0"/>
        </w:rPr>
        <w:t>Milk Act 1946</w:t>
      </w:r>
      <w:r>
        <w:rPr>
          <w:snapToGrid w:val="0"/>
          <w:vertAlign w:val="superscript"/>
        </w:rPr>
        <w:t xml:space="preserve"> 4</w:t>
      </w:r>
      <w:r>
        <w:rPr>
          <w:snapToGrid w:val="0"/>
        </w:rPr>
        <w:t>;</w:t>
      </w:r>
    </w:p>
    <w:p>
      <w:pPr>
        <w:pStyle w:val="Indenta"/>
        <w:rPr>
          <w:snapToGrid w:val="0"/>
        </w:rPr>
      </w:pPr>
      <w:r>
        <w:rPr>
          <w:snapToGrid w:val="0"/>
        </w:rPr>
        <w:tab/>
        <w:t>(b)</w:t>
      </w:r>
      <w:r>
        <w:rPr>
          <w:snapToGrid w:val="0"/>
        </w:rPr>
        <w:tab/>
        <w:t>the moneys appropriated and applied by the Treasurer pursuant to section 22(2);</w:t>
      </w:r>
    </w:p>
    <w:p>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Account;</w:t>
      </w:r>
    </w:p>
    <w:p>
      <w:pPr>
        <w:pStyle w:val="Indenta"/>
      </w:pPr>
      <w:r>
        <w:tab/>
        <w:t>(ca)</w:t>
      </w:r>
      <w:r>
        <w:tab/>
        <w:t>all money received by the Minister in respect of returns made under Part IV;</w:t>
      </w:r>
    </w:p>
    <w:p>
      <w:pPr>
        <w:pStyle w:val="Indenta"/>
        <w:rPr>
          <w:snapToGrid w:val="0"/>
        </w:rPr>
      </w:pPr>
      <w:r>
        <w:rPr>
          <w:snapToGrid w:val="0"/>
        </w:rPr>
        <w:tab/>
        <w:t>(d)</w:t>
      </w:r>
      <w:r>
        <w:rPr>
          <w:snapToGrid w:val="0"/>
        </w:rPr>
        <w:tab/>
        <w:t>all moneys received from the Treasurer under the provisions of section 25;</w:t>
      </w:r>
    </w:p>
    <w:p>
      <w:pPr>
        <w:pStyle w:val="Indenta"/>
        <w:rPr>
          <w:snapToGrid w:val="0"/>
        </w:rPr>
      </w:pPr>
      <w:r>
        <w:rPr>
          <w:snapToGrid w:val="0"/>
        </w:rPr>
        <w:tab/>
        <w:t>(e)</w:t>
      </w:r>
      <w:r>
        <w:rPr>
          <w:snapToGrid w:val="0"/>
        </w:rPr>
        <w:tab/>
        <w:t>all moneys received for the residual value of cattle destroyed or of carcasses condemned pursuant to this Act, which moneys by force of this Act are appropriated to and form part of the Account;</w:t>
      </w:r>
    </w:p>
    <w:p>
      <w:pPr>
        <w:pStyle w:val="Indenta"/>
        <w:rPr>
          <w:snapToGrid w:val="0"/>
        </w:rPr>
      </w:pPr>
      <w:r>
        <w:rPr>
          <w:snapToGrid w:val="0"/>
        </w:rPr>
        <w:tab/>
        <w:t>(f)</w:t>
      </w:r>
      <w:r>
        <w:rPr>
          <w:snapToGrid w:val="0"/>
        </w:rPr>
        <w:tab/>
        <w:t>the proceeds of the disposal of any carcass or portion of a carcass to which this Act applies;</w:t>
      </w:r>
    </w:p>
    <w:p>
      <w:pPr>
        <w:pStyle w:val="Indenta"/>
        <w:rPr>
          <w:snapToGrid w:val="0"/>
        </w:rPr>
      </w:pPr>
      <w:r>
        <w:rPr>
          <w:snapToGrid w:val="0"/>
        </w:rPr>
        <w:tab/>
        <w:t>(g)</w:t>
      </w:r>
      <w:r>
        <w:rPr>
          <w:snapToGrid w:val="0"/>
        </w:rPr>
        <w:tab/>
        <w:t>moneys advanced to the Account under the authority of section 24;</w:t>
      </w:r>
    </w:p>
    <w:p>
      <w:pPr>
        <w:pStyle w:val="Indenta"/>
        <w:rPr>
          <w:snapToGrid w:val="0"/>
        </w:rPr>
      </w:pPr>
      <w:r>
        <w:rPr>
          <w:snapToGrid w:val="0"/>
        </w:rPr>
        <w:tab/>
        <w:t>(h)</w:t>
      </w:r>
      <w:r>
        <w:rPr>
          <w:snapToGrid w:val="0"/>
        </w:rPr>
        <w:tab/>
        <w:t>the amount of all penalties recovered under this Act in respect of offences against this Act; and</w:t>
      </w:r>
    </w:p>
    <w:p>
      <w:pPr>
        <w:pStyle w:val="Indenta"/>
        <w:rPr>
          <w:snapToGrid w:val="0"/>
        </w:rPr>
      </w:pPr>
      <w:r>
        <w:rPr>
          <w:snapToGrid w:val="0"/>
        </w:rPr>
        <w:tab/>
        <w:t>(i)</w:t>
      </w:r>
      <w:r>
        <w:rPr>
          <w:snapToGrid w:val="0"/>
        </w:rPr>
        <w:tab/>
        <w:t>any other moneys paid to the Director under this Act for payment to the Account.</w:t>
      </w:r>
    </w:p>
    <w:p>
      <w:pPr>
        <w:pStyle w:val="Subsection"/>
        <w:rPr>
          <w:snapToGrid w:val="0"/>
        </w:rPr>
      </w:pPr>
      <w:r>
        <w:rPr>
          <w:snapToGrid w:val="0"/>
        </w:rPr>
        <w:tab/>
        <w:t>(2)</w:t>
      </w:r>
      <w:r>
        <w:rPr>
          <w:snapToGrid w:val="0"/>
        </w:rPr>
        <w:tab/>
        <w:t>Subject to this Act, the Account shall be applied —</w:t>
      </w:r>
    </w:p>
    <w:p>
      <w:pPr>
        <w:pStyle w:val="Indenta"/>
        <w:rPr>
          <w:snapToGrid w:val="0"/>
        </w:rPr>
      </w:pPr>
      <w:r>
        <w:rPr>
          <w:snapToGrid w:val="0"/>
        </w:rPr>
        <w:tab/>
        <w:t>(a)</w:t>
      </w:r>
      <w:r>
        <w:rPr>
          <w:snapToGrid w:val="0"/>
        </w:rPr>
        <w:tab/>
        <w:t>for the purposes of administering this Act;</w:t>
      </w:r>
    </w:p>
    <w:p>
      <w:pPr>
        <w:pStyle w:val="Indenta"/>
        <w:rPr>
          <w:snapToGrid w:val="0"/>
        </w:rPr>
      </w:pPr>
      <w:r>
        <w:rPr>
          <w:snapToGrid w:val="0"/>
        </w:rPr>
        <w:tab/>
        <w:t>(b)</w:t>
      </w:r>
      <w:r>
        <w:rPr>
          <w:snapToGrid w:val="0"/>
        </w:rPr>
        <w:tab/>
        <w:t>to the payment pursuant to this Act of claims for compensation;</w:t>
      </w:r>
    </w:p>
    <w:p>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pPr>
        <w:pStyle w:val="Indenta"/>
        <w:rPr>
          <w:snapToGrid w:val="0"/>
        </w:rPr>
      </w:pPr>
      <w:r>
        <w:rPr>
          <w:snapToGrid w:val="0"/>
        </w:rPr>
        <w:tab/>
        <w:t>(d)</w:t>
      </w:r>
      <w:r>
        <w:rPr>
          <w:snapToGrid w:val="0"/>
        </w:rPr>
        <w:tab/>
        <w:t>any other purpose that, in the opinion of the Minister, will promote and encourage the cattle industry.</w:t>
      </w:r>
    </w:p>
    <w:p>
      <w:pPr>
        <w:pStyle w:val="Subsection"/>
        <w:rPr>
          <w:snapToGrid w:val="0"/>
        </w:rPr>
      </w:pPr>
      <w:r>
        <w:rPr>
          <w:snapToGrid w:val="0"/>
        </w:rPr>
        <w:tab/>
        <w:t>(3)</w:t>
      </w:r>
      <w:r>
        <w:rPr>
          <w:snapToGrid w:val="0"/>
        </w:rPr>
        <w:tab/>
        <w:t>Any moneys standing to the credit of the Account may, until required for the purposes of this Act, be temporarily invested at the request of the Director by the Treasurer in any securities approved by the Treasurer, and all interest derived from the investment shall be credited to the Account.</w:t>
      </w:r>
    </w:p>
    <w:p>
      <w:pPr>
        <w:pStyle w:val="Footnotesection"/>
        <w:keepLines w:val="0"/>
      </w:pPr>
      <w:r>
        <w:tab/>
        <w:t>[Section 23 amended by No. 113 of 1965 s. 8; No. 21 of 1970 s. 34; No. 14 of 1979 s. 3; No. 49 of 1996 s. 64; No. 45 of 2002 s. 9(3); No. 77 of 2006 s. 17.]</w:t>
      </w:r>
    </w:p>
    <w:p>
      <w:pPr>
        <w:pStyle w:val="Heading5"/>
        <w:rPr>
          <w:snapToGrid w:val="0"/>
        </w:rPr>
      </w:pPr>
      <w:bookmarkStart w:id="217" w:name="_Toc378069675"/>
      <w:bookmarkStart w:id="218" w:name="_Toc425429801"/>
      <w:bookmarkStart w:id="219" w:name="_Toc421609858"/>
      <w:bookmarkStart w:id="220" w:name="_Toc36374437"/>
      <w:bookmarkStart w:id="221" w:name="_Toc180989361"/>
      <w:r>
        <w:rPr>
          <w:rStyle w:val="CharSectno"/>
        </w:rPr>
        <w:t>24</w:t>
      </w:r>
      <w:r>
        <w:rPr>
          <w:snapToGrid w:val="0"/>
        </w:rPr>
        <w:t>.</w:t>
      </w:r>
      <w:r>
        <w:rPr>
          <w:snapToGrid w:val="0"/>
        </w:rPr>
        <w:tab/>
        <w:t>Treasurer may make advances to the Account in event of a deficiency</w:t>
      </w:r>
      <w:bookmarkEnd w:id="217"/>
      <w:bookmarkEnd w:id="218"/>
      <w:bookmarkEnd w:id="219"/>
      <w:bookmarkEnd w:id="220"/>
      <w:bookmarkEnd w:id="221"/>
    </w:p>
    <w:p>
      <w:pPr>
        <w:pStyle w:val="Subsection"/>
        <w:rPr>
          <w:snapToGrid w:val="0"/>
        </w:rPr>
      </w:pPr>
      <w:r>
        <w:rPr>
          <w:snapToGrid w:val="0"/>
        </w:rPr>
        <w:tab/>
        <w:t>(1)</w:t>
      </w:r>
      <w:r>
        <w:rPr>
          <w:snapToGrid w:val="0"/>
        </w:rPr>
        <w:tab/>
        <w:t>Where the Treasurer is of opinion that the moneys standing to the credit of the Account are at any time insufficient for the purposes of this Act, the Treasurer may advance to the Account moneys sufficient for the time being to make up the deficiency.</w:t>
      </w:r>
    </w:p>
    <w:p>
      <w:pPr>
        <w:pStyle w:val="Subsection"/>
        <w:rPr>
          <w:snapToGrid w:val="0"/>
        </w:rPr>
      </w:pPr>
      <w:r>
        <w:rPr>
          <w:snapToGrid w:val="0"/>
        </w:rPr>
        <w:tab/>
        <w:t>(2)</w:t>
      </w:r>
      <w:r>
        <w:rPr>
          <w:snapToGrid w:val="0"/>
        </w:rPr>
        <w:tab/>
        <w:t>Moneys advanced under subsection (1) shall be subsequently repaid to the Treasurer and charged to the Account by the Director as and when moneys are available to the Account to make repayment.</w:t>
      </w:r>
    </w:p>
    <w:p>
      <w:pPr>
        <w:pStyle w:val="Subsection"/>
        <w:rPr>
          <w:snapToGrid w:val="0"/>
        </w:rPr>
      </w:pPr>
      <w:r>
        <w:rPr>
          <w:snapToGrid w:val="0"/>
        </w:rPr>
        <w:tab/>
        <w:t>(3)</w:t>
      </w:r>
      <w:r>
        <w:rPr>
          <w:snapToGrid w:val="0"/>
        </w:rPr>
        <w:tab/>
        <w:t>Moneys advanced by the Treasurer under this section are so long as they remain unpaid a charge on the Account.</w:t>
      </w:r>
    </w:p>
    <w:p>
      <w:pPr>
        <w:pStyle w:val="Footnotesection"/>
      </w:pPr>
      <w:r>
        <w:tab/>
        <w:t>[Section 24 amended by No. 98 of 1985 s. 3; No. 49 of 1996 s. 64; No. 77 of 2006 s. 17.]</w:t>
      </w:r>
    </w:p>
    <w:p>
      <w:pPr>
        <w:pStyle w:val="Ednotesection"/>
      </w:pPr>
      <w:r>
        <w:t>[</w:t>
      </w:r>
      <w:r>
        <w:rPr>
          <w:b/>
        </w:rPr>
        <w:t>25.</w:t>
      </w:r>
      <w:r>
        <w:tab/>
        <w:t>Deleted by No. 24 of 2007 s. 85(4).]</w:t>
      </w:r>
    </w:p>
    <w:p>
      <w:pPr>
        <w:pStyle w:val="Ednotesection"/>
      </w:pPr>
      <w:bookmarkStart w:id="222" w:name="_Toc421609861"/>
      <w:bookmarkStart w:id="223" w:name="_Toc36374440"/>
      <w:r>
        <w:t>[</w:t>
      </w:r>
      <w:r>
        <w:rPr>
          <w:b/>
        </w:rPr>
        <w:t>26.</w:t>
      </w:r>
      <w:r>
        <w:tab/>
        <w:t>Deleted by No. 45 of 2002 s. 9(5).]</w:t>
      </w:r>
    </w:p>
    <w:p>
      <w:pPr>
        <w:pStyle w:val="Heading5"/>
        <w:rPr>
          <w:snapToGrid w:val="0"/>
        </w:rPr>
      </w:pPr>
      <w:bookmarkStart w:id="224" w:name="_Toc378069676"/>
      <w:bookmarkStart w:id="225" w:name="_Toc425429802"/>
      <w:bookmarkStart w:id="226" w:name="_Toc180989362"/>
      <w:r>
        <w:rPr>
          <w:rStyle w:val="CharSectno"/>
        </w:rPr>
        <w:t>27</w:t>
      </w:r>
      <w:r>
        <w:rPr>
          <w:snapToGrid w:val="0"/>
        </w:rPr>
        <w:t>.</w:t>
      </w:r>
      <w:r>
        <w:rPr>
          <w:snapToGrid w:val="0"/>
        </w:rPr>
        <w:tab/>
        <w:t>Statements on sales of cattle</w:t>
      </w:r>
      <w:bookmarkEnd w:id="224"/>
      <w:bookmarkEnd w:id="225"/>
      <w:bookmarkEnd w:id="222"/>
      <w:bookmarkEnd w:id="223"/>
      <w:bookmarkEnd w:id="226"/>
    </w:p>
    <w:p>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pPr>
        <w:pStyle w:val="Indenta"/>
      </w:pPr>
      <w:r>
        <w:tab/>
        <w:t>(b)</w:t>
      </w:r>
      <w:r>
        <w:tab/>
        <w:t>lodge the statement with the Commissioner of State Revenue within 14 days after the sale; and</w:t>
      </w:r>
    </w:p>
    <w:p>
      <w:pPr>
        <w:pStyle w:val="Indenta"/>
      </w:pPr>
      <w:r>
        <w:tab/>
        <w:t>(c)</w:t>
      </w:r>
      <w:r>
        <w:tab/>
        <w:t xml:space="preserve">when lodging the statement pay to the Commissioner the stamp duty payable on the statement under item 3 of the Second Schedule to the </w:t>
      </w:r>
      <w:r>
        <w:rPr>
          <w:i/>
        </w:rPr>
        <w:t>Stamp Act 1921</w:t>
      </w:r>
      <w:r>
        <w:t>.</w:t>
      </w:r>
    </w:p>
    <w:p>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pPr>
        <w:pStyle w:val="Footnotesection"/>
      </w:pPr>
      <w:r>
        <w:tab/>
        <w:t>[Section 27 amended by No. 21 of 1970 s. 36; No. 45 of 2002 s. 9(6).]</w:t>
      </w:r>
    </w:p>
    <w:p>
      <w:pPr>
        <w:pStyle w:val="Heading5"/>
        <w:rPr>
          <w:snapToGrid w:val="0"/>
        </w:rPr>
      </w:pPr>
      <w:bookmarkStart w:id="227" w:name="_Toc378069677"/>
      <w:bookmarkStart w:id="228" w:name="_Toc425429803"/>
      <w:bookmarkStart w:id="229" w:name="_Toc421609862"/>
      <w:bookmarkStart w:id="230" w:name="_Toc36374441"/>
      <w:bookmarkStart w:id="231" w:name="_Toc180989363"/>
      <w:r>
        <w:rPr>
          <w:rStyle w:val="CharSectno"/>
        </w:rPr>
        <w:t>28</w:t>
      </w:r>
      <w:r>
        <w:rPr>
          <w:snapToGrid w:val="0"/>
        </w:rPr>
        <w:t>.</w:t>
      </w:r>
      <w:r>
        <w:rPr>
          <w:snapToGrid w:val="0"/>
        </w:rPr>
        <w:tab/>
        <w:t>Minister may exempt agent from completing cattle sales statements</w:t>
      </w:r>
      <w:bookmarkEnd w:id="227"/>
      <w:bookmarkEnd w:id="228"/>
      <w:bookmarkEnd w:id="229"/>
      <w:bookmarkEnd w:id="230"/>
      <w:bookmarkEnd w:id="231"/>
    </w:p>
    <w:p>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pPr>
        <w:pStyle w:val="Indenta"/>
        <w:rPr>
          <w:snapToGrid w:val="0"/>
        </w:rPr>
      </w:pPr>
      <w:r>
        <w:rPr>
          <w:snapToGrid w:val="0"/>
        </w:rPr>
        <w:tab/>
        <w:t>(a)</w:t>
      </w:r>
      <w:r>
        <w:rPr>
          <w:snapToGrid w:val="0"/>
        </w:rPr>
        <w:tab/>
        <w:t>as to the manner, form, and time, of compiling and lodging returns and paying the duty; and</w:t>
      </w:r>
    </w:p>
    <w:p>
      <w:pPr>
        <w:pStyle w:val="Indenta"/>
        <w:rPr>
          <w:snapToGrid w:val="0"/>
        </w:rPr>
      </w:pPr>
      <w:r>
        <w:rPr>
          <w:snapToGrid w:val="0"/>
        </w:rPr>
        <w:tab/>
        <w:t>(b)</w:t>
      </w:r>
      <w:r>
        <w:rPr>
          <w:snapToGrid w:val="0"/>
        </w:rPr>
        <w:tab/>
        <w:t>limiting the period to which each return must relate.</w:t>
      </w:r>
    </w:p>
    <w:p>
      <w:pPr>
        <w:pStyle w:val="Subsection"/>
        <w:rPr>
          <w:snapToGrid w:val="0"/>
        </w:rPr>
      </w:pPr>
      <w:r>
        <w:rPr>
          <w:snapToGrid w:val="0"/>
        </w:rPr>
        <w:tab/>
        <w:t>(3)</w:t>
      </w:r>
      <w:r>
        <w:rPr>
          <w:snapToGrid w:val="0"/>
        </w:rPr>
        <w:tab/>
        <w:t>The Minister may, by notice in writing served on the holder of a permit issued under this section —</w:t>
      </w:r>
    </w:p>
    <w:p>
      <w:pPr>
        <w:pStyle w:val="Indenta"/>
        <w:rPr>
          <w:snapToGrid w:val="0"/>
        </w:rPr>
      </w:pPr>
      <w:r>
        <w:rPr>
          <w:snapToGrid w:val="0"/>
        </w:rPr>
        <w:tab/>
        <w:t>(a)</w:t>
      </w:r>
      <w:r>
        <w:rPr>
          <w:snapToGrid w:val="0"/>
        </w:rPr>
        <w:tab/>
        <w:t>from time to time alter any of the conditions contained in the permit; or</w:t>
      </w:r>
    </w:p>
    <w:p>
      <w:pPr>
        <w:pStyle w:val="Indenta"/>
        <w:rPr>
          <w:snapToGrid w:val="0"/>
        </w:rPr>
      </w:pPr>
      <w:r>
        <w:rPr>
          <w:snapToGrid w:val="0"/>
        </w:rPr>
        <w:tab/>
        <w:t>(b)</w:t>
      </w:r>
      <w:r>
        <w:rPr>
          <w:snapToGrid w:val="0"/>
        </w:rPr>
        <w:tab/>
        <w:t>cancel the permit,</w:t>
      </w:r>
    </w:p>
    <w:p>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pPr>
        <w:pStyle w:val="Footnotesection"/>
      </w:pPr>
      <w:r>
        <w:tab/>
        <w:t>[Section 28 amended by No. 21 of 1970 s. 37; No. 45 of 2002 s. 9(7) and (8); No. 74 of 2003 s. 32.]</w:t>
      </w:r>
    </w:p>
    <w:p>
      <w:pPr>
        <w:pStyle w:val="Heading5"/>
        <w:rPr>
          <w:snapToGrid w:val="0"/>
        </w:rPr>
      </w:pPr>
      <w:bookmarkStart w:id="232" w:name="_Toc378069678"/>
      <w:bookmarkStart w:id="233" w:name="_Toc425429804"/>
      <w:bookmarkStart w:id="234" w:name="_Toc421609863"/>
      <w:bookmarkStart w:id="235" w:name="_Toc36374442"/>
      <w:bookmarkStart w:id="236" w:name="_Toc180989364"/>
      <w:r>
        <w:rPr>
          <w:rStyle w:val="CharSectno"/>
        </w:rPr>
        <w:t>29</w:t>
      </w:r>
      <w:r>
        <w:rPr>
          <w:snapToGrid w:val="0"/>
        </w:rPr>
        <w:t>.</w:t>
      </w:r>
      <w:r>
        <w:rPr>
          <w:snapToGrid w:val="0"/>
        </w:rPr>
        <w:tab/>
        <w:t>Agent to pay to Minister duty out of purchase money</w:t>
      </w:r>
      <w:bookmarkEnd w:id="232"/>
      <w:bookmarkEnd w:id="233"/>
      <w:bookmarkEnd w:id="234"/>
      <w:bookmarkEnd w:id="235"/>
      <w:bookmarkEnd w:id="236"/>
    </w:p>
    <w:p>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pPr>
        <w:pStyle w:val="Footnotesection"/>
      </w:pPr>
      <w:r>
        <w:tab/>
        <w:t>[Section 29 amended by No. 21 of 1970 s. 38; No. 45 of 2002 s. 9(9) and (10).]</w:t>
      </w:r>
    </w:p>
    <w:p>
      <w:pPr>
        <w:pStyle w:val="Heading5"/>
        <w:rPr>
          <w:snapToGrid w:val="0"/>
        </w:rPr>
      </w:pPr>
      <w:bookmarkStart w:id="237" w:name="_Toc378069679"/>
      <w:bookmarkStart w:id="238" w:name="_Toc425429805"/>
      <w:bookmarkStart w:id="239" w:name="_Toc421609864"/>
      <w:bookmarkStart w:id="240" w:name="_Toc36374443"/>
      <w:bookmarkStart w:id="241" w:name="_Toc180989365"/>
      <w:r>
        <w:rPr>
          <w:rStyle w:val="CharSectno"/>
        </w:rPr>
        <w:t>30</w:t>
      </w:r>
      <w:r>
        <w:rPr>
          <w:snapToGrid w:val="0"/>
        </w:rPr>
        <w:t>.</w:t>
      </w:r>
      <w:r>
        <w:rPr>
          <w:snapToGrid w:val="0"/>
        </w:rPr>
        <w:tab/>
        <w:t>Contravention of section 27(1) or 28 an offence</w:t>
      </w:r>
      <w:bookmarkEnd w:id="237"/>
      <w:bookmarkEnd w:id="238"/>
      <w:bookmarkEnd w:id="239"/>
      <w:bookmarkEnd w:id="240"/>
      <w:bookmarkEnd w:id="241"/>
    </w:p>
    <w:p>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pPr>
        <w:pStyle w:val="Footnotesection"/>
      </w:pPr>
      <w:r>
        <w:tab/>
        <w:t>[Section 30 amended by No. 113 of 1965 s. 8; No. 20 of 1989 s. 3; No. 78 of 1995 s. 10; No. 45 of 2002 s. 9(11).]</w:t>
      </w:r>
    </w:p>
    <w:p>
      <w:pPr>
        <w:pStyle w:val="Heading5"/>
        <w:rPr>
          <w:snapToGrid w:val="0"/>
        </w:rPr>
      </w:pPr>
      <w:bookmarkStart w:id="242" w:name="_Toc378069680"/>
      <w:bookmarkStart w:id="243" w:name="_Toc425429806"/>
      <w:bookmarkStart w:id="244" w:name="_Toc421609865"/>
      <w:bookmarkStart w:id="245" w:name="_Toc36374444"/>
      <w:bookmarkStart w:id="246" w:name="_Toc180989366"/>
      <w:r>
        <w:rPr>
          <w:rStyle w:val="CharSectno"/>
        </w:rPr>
        <w:t>31</w:t>
      </w:r>
      <w:r>
        <w:rPr>
          <w:snapToGrid w:val="0"/>
        </w:rPr>
        <w:t>.</w:t>
      </w:r>
      <w:r>
        <w:rPr>
          <w:snapToGrid w:val="0"/>
        </w:rPr>
        <w:tab/>
        <w:t>Sale of carcass of animal slaughtered after sale</w:t>
      </w:r>
      <w:bookmarkEnd w:id="242"/>
      <w:bookmarkEnd w:id="243"/>
      <w:bookmarkEnd w:id="244"/>
      <w:bookmarkEnd w:id="245"/>
      <w:bookmarkEnd w:id="246"/>
    </w:p>
    <w:p>
      <w:pPr>
        <w:pStyle w:val="Subsection"/>
        <w:rPr>
          <w:snapToGrid w:val="0"/>
        </w:rPr>
      </w:pPr>
      <w:r>
        <w:rPr>
          <w:snapToGrid w:val="0"/>
        </w:rPr>
        <w:tab/>
      </w:r>
      <w:r>
        <w:rPr>
          <w:snapToGrid w:val="0"/>
        </w:rPr>
        <w:tab/>
        <w:t>If —</w:t>
      </w:r>
    </w:p>
    <w:p>
      <w:pPr>
        <w:pStyle w:val="Indenta"/>
      </w:pPr>
      <w:r>
        <w:tab/>
        <w:t>(a)</w:t>
      </w:r>
      <w:r>
        <w:tab/>
        <w:t>any head of cattle is sold and a cattle sales statement in respect of the sale, or a return that includes the sale (as the case requires) has been stamped;</w:t>
      </w:r>
    </w:p>
    <w:p>
      <w:pPr>
        <w:pStyle w:val="Indenta"/>
        <w:rPr>
          <w:snapToGrid w:val="0"/>
        </w:rPr>
      </w:pPr>
      <w:r>
        <w:rPr>
          <w:snapToGrid w:val="0"/>
        </w:rPr>
        <w:tab/>
        <w:t>(b)</w:t>
      </w:r>
      <w:r>
        <w:rPr>
          <w:snapToGrid w:val="0"/>
        </w:rPr>
        <w:tab/>
        <w:t>within 14 days after the sale the animal is slaughtered; and</w:t>
      </w:r>
    </w:p>
    <w:p>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pPr>
        <w:pStyle w:val="Subsection"/>
        <w:rPr>
          <w:snapToGrid w:val="0"/>
        </w:rPr>
      </w:pPr>
      <w:r>
        <w:rPr>
          <w:snapToGrid w:val="0"/>
        </w:rPr>
        <w:tab/>
      </w:r>
      <w:r>
        <w:rPr>
          <w:snapToGrid w:val="0"/>
        </w:rPr>
        <w:tab/>
      </w:r>
      <w:r>
        <w:t>no stamp duty is payable on the sale of the carcass.</w:t>
      </w:r>
    </w:p>
    <w:p>
      <w:pPr>
        <w:pStyle w:val="Footnotesection"/>
      </w:pPr>
      <w:bookmarkStart w:id="247" w:name="_Toc421609866"/>
      <w:bookmarkStart w:id="248" w:name="_Toc36374445"/>
      <w:r>
        <w:tab/>
        <w:t>[Section 31 amended by No. 45 of 2002 s. 9(12).]</w:t>
      </w:r>
    </w:p>
    <w:p>
      <w:pPr>
        <w:pStyle w:val="Heading5"/>
        <w:rPr>
          <w:snapToGrid w:val="0"/>
        </w:rPr>
      </w:pPr>
      <w:bookmarkStart w:id="249" w:name="_Toc378069681"/>
      <w:bookmarkStart w:id="250" w:name="_Toc425429807"/>
      <w:bookmarkStart w:id="251" w:name="_Toc180989367"/>
      <w:r>
        <w:rPr>
          <w:rStyle w:val="CharSectno"/>
        </w:rPr>
        <w:t>32</w:t>
      </w:r>
      <w:r>
        <w:rPr>
          <w:snapToGrid w:val="0"/>
        </w:rPr>
        <w:t>.</w:t>
      </w:r>
      <w:r>
        <w:rPr>
          <w:snapToGrid w:val="0"/>
        </w:rPr>
        <w:tab/>
        <w:t>Permit holder to notify particulars of sale to purchaser in certain circumstances</w:t>
      </w:r>
      <w:bookmarkEnd w:id="249"/>
      <w:bookmarkEnd w:id="250"/>
      <w:bookmarkEnd w:id="247"/>
      <w:bookmarkEnd w:id="248"/>
      <w:bookmarkEnd w:id="251"/>
    </w:p>
    <w:p>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pPr>
        <w:pStyle w:val="Footnotesection"/>
      </w:pPr>
      <w:bookmarkStart w:id="252" w:name="_Toc421609867"/>
      <w:bookmarkStart w:id="253" w:name="_Toc36374446"/>
      <w:r>
        <w:tab/>
        <w:t>[Section 32 amended by No. 45 of 2002 s. 9(13).]</w:t>
      </w:r>
    </w:p>
    <w:p>
      <w:pPr>
        <w:pStyle w:val="Heading5"/>
        <w:rPr>
          <w:snapToGrid w:val="0"/>
        </w:rPr>
      </w:pPr>
      <w:bookmarkStart w:id="254" w:name="_Toc378069682"/>
      <w:bookmarkStart w:id="255" w:name="_Toc425429808"/>
      <w:bookmarkStart w:id="256" w:name="_Toc180989368"/>
      <w:r>
        <w:rPr>
          <w:rStyle w:val="CharSectno"/>
        </w:rPr>
        <w:t>33</w:t>
      </w:r>
      <w:r>
        <w:rPr>
          <w:snapToGrid w:val="0"/>
        </w:rPr>
        <w:t>.</w:t>
      </w:r>
      <w:r>
        <w:rPr>
          <w:snapToGrid w:val="0"/>
        </w:rPr>
        <w:tab/>
        <w:t>Permit to processing company</w:t>
      </w:r>
      <w:bookmarkEnd w:id="254"/>
      <w:bookmarkEnd w:id="255"/>
      <w:bookmarkEnd w:id="252"/>
      <w:bookmarkEnd w:id="253"/>
      <w:bookmarkEnd w:id="256"/>
    </w:p>
    <w:p>
      <w:pPr>
        <w:pStyle w:val="Subsection"/>
        <w:rPr>
          <w:snapToGrid w:val="0"/>
        </w:rPr>
      </w:pPr>
      <w:r>
        <w:rPr>
          <w:snapToGrid w:val="0"/>
        </w:rPr>
        <w:tab/>
        <w:t>(1)</w:t>
      </w:r>
      <w:r>
        <w:rPr>
          <w:snapToGrid w:val="0"/>
        </w:rPr>
        <w:tab/>
        <w:t>A processing company may apply in writing to the Minister for a permit —</w:t>
      </w:r>
    </w:p>
    <w:p>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The provisions of section 28(2), (3) and (4) apply to an application made under and a permit issued under subsection (1).</w:t>
      </w:r>
    </w:p>
    <w:p>
      <w:pPr>
        <w:pStyle w:val="Footnotesection"/>
      </w:pPr>
      <w:bookmarkStart w:id="257" w:name="_Toc421609868"/>
      <w:bookmarkStart w:id="258" w:name="_Toc36374447"/>
      <w:r>
        <w:tab/>
        <w:t>[Section 33 amended by No. 45 of 2002 s. 9(14).]</w:t>
      </w:r>
    </w:p>
    <w:p>
      <w:pPr>
        <w:pStyle w:val="Heading5"/>
        <w:rPr>
          <w:snapToGrid w:val="0"/>
        </w:rPr>
      </w:pPr>
      <w:bookmarkStart w:id="259" w:name="_Toc378069683"/>
      <w:bookmarkStart w:id="260" w:name="_Toc425429809"/>
      <w:bookmarkStart w:id="261" w:name="_Toc180989369"/>
      <w:r>
        <w:rPr>
          <w:rStyle w:val="CharSectno"/>
        </w:rPr>
        <w:t>34</w:t>
      </w:r>
      <w:r>
        <w:rPr>
          <w:snapToGrid w:val="0"/>
        </w:rPr>
        <w:t>.</w:t>
      </w:r>
      <w:r>
        <w:rPr>
          <w:snapToGrid w:val="0"/>
        </w:rPr>
        <w:tab/>
        <w:t>Processing company to pay to Minister duty out of purchase money</w:t>
      </w:r>
      <w:bookmarkEnd w:id="259"/>
      <w:bookmarkEnd w:id="260"/>
      <w:bookmarkEnd w:id="257"/>
      <w:bookmarkEnd w:id="258"/>
      <w:bookmarkEnd w:id="261"/>
    </w:p>
    <w:p>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pPr>
        <w:pStyle w:val="Footnotesection"/>
      </w:pPr>
      <w:r>
        <w:tab/>
        <w:t>[Section 34 amended by No. 21 of 1970 s. 39; No. 78 of 1995 s. 10; No. 45 of 2002 s. 9(15), (16) and (17).]</w:t>
      </w:r>
    </w:p>
    <w:p>
      <w:pPr>
        <w:pStyle w:val="Ednotesection"/>
      </w:pPr>
      <w:bookmarkStart w:id="262" w:name="_Toc421609871"/>
      <w:bookmarkStart w:id="263" w:name="_Toc36374450"/>
      <w:r>
        <w:t>[</w:t>
      </w:r>
      <w:r>
        <w:rPr>
          <w:b/>
        </w:rPr>
        <w:t>35, 36.</w:t>
      </w:r>
      <w:r>
        <w:tab/>
        <w:t>Deleted by No. 45 of 2002 s. 9(18).]</w:t>
      </w:r>
    </w:p>
    <w:p>
      <w:pPr>
        <w:pStyle w:val="Heading5"/>
        <w:rPr>
          <w:snapToGrid w:val="0"/>
        </w:rPr>
      </w:pPr>
      <w:bookmarkStart w:id="264" w:name="_Toc378069684"/>
      <w:bookmarkStart w:id="265" w:name="_Toc425429810"/>
      <w:bookmarkStart w:id="266" w:name="_Toc180989370"/>
      <w:r>
        <w:rPr>
          <w:rStyle w:val="CharSectno"/>
        </w:rPr>
        <w:t>37</w:t>
      </w:r>
      <w:r>
        <w:rPr>
          <w:snapToGrid w:val="0"/>
        </w:rPr>
        <w:t>.</w:t>
      </w:r>
      <w:r>
        <w:rPr>
          <w:snapToGrid w:val="0"/>
        </w:rPr>
        <w:tab/>
        <w:t>Fraudulent act an offence</w:t>
      </w:r>
      <w:bookmarkEnd w:id="264"/>
      <w:bookmarkEnd w:id="265"/>
      <w:bookmarkEnd w:id="262"/>
      <w:bookmarkEnd w:id="263"/>
      <w:bookmarkEnd w:id="266"/>
    </w:p>
    <w:p>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pPr>
        <w:pStyle w:val="Penstart"/>
        <w:rPr>
          <w:snapToGrid w:val="0"/>
        </w:rPr>
      </w:pPr>
      <w:r>
        <w:rPr>
          <w:snapToGrid w:val="0"/>
        </w:rPr>
        <w:tab/>
      </w:r>
      <w:r>
        <w:t>Penalty: $3 000.</w:t>
      </w:r>
    </w:p>
    <w:p>
      <w:pPr>
        <w:pStyle w:val="Subsection"/>
        <w:keepNext/>
      </w:pPr>
      <w:r>
        <w:tab/>
        <w:t>(2)</w:t>
      </w:r>
      <w:r>
        <w:tab/>
        <w:t>A court of summary jurisdiction dealing with an offence under this Act is to be constituted by a magistrate.</w:t>
      </w:r>
    </w:p>
    <w:p>
      <w:pPr>
        <w:pStyle w:val="Footnotesection"/>
      </w:pPr>
      <w:r>
        <w:tab/>
        <w:t>[Section 37 amended by No. 113 of 1965 s. 8; No. 20 of 1989 s. 3; No. 45 of 2002 s. 9(19); No. 50 of 2003 s. 42(2); No. 59 of 2004 s. 141.]</w:t>
      </w:r>
    </w:p>
    <w:p>
      <w:pPr>
        <w:pStyle w:val="Ednotesection"/>
      </w:pPr>
      <w:r>
        <w:t>[</w:t>
      </w:r>
      <w:r>
        <w:rPr>
          <w:b/>
        </w:rPr>
        <w:t>38.</w:t>
      </w:r>
      <w:r>
        <w:tab/>
        <w:t>Deleted by No. 45 of 2002 s. 9(20).]</w:t>
      </w:r>
    </w:p>
    <w:p>
      <w:pPr>
        <w:pStyle w:val="Heading2"/>
      </w:pPr>
      <w:bookmarkStart w:id="267" w:name="_Toc378069685"/>
      <w:bookmarkStart w:id="268" w:name="_Toc425429811"/>
      <w:bookmarkStart w:id="269" w:name="_Toc72570672"/>
      <w:bookmarkStart w:id="270" w:name="_Toc89236992"/>
      <w:bookmarkStart w:id="271" w:name="_Toc101932372"/>
      <w:bookmarkStart w:id="272" w:name="_Toc116806646"/>
      <w:bookmarkStart w:id="273" w:name="_Toc117653251"/>
      <w:bookmarkStart w:id="274" w:name="_Toc117910687"/>
      <w:bookmarkStart w:id="275" w:name="_Toc118166124"/>
      <w:bookmarkStart w:id="276" w:name="_Toc118526255"/>
      <w:bookmarkStart w:id="277" w:name="_Toc139428036"/>
      <w:bookmarkStart w:id="278" w:name="_Toc157836622"/>
      <w:bookmarkStart w:id="279" w:name="_Toc180989371"/>
      <w:r>
        <w:rPr>
          <w:rStyle w:val="CharPartNo"/>
        </w:rPr>
        <w:t>Part V</w:t>
      </w:r>
      <w:r>
        <w:rPr>
          <w:rStyle w:val="CharDivNo"/>
        </w:rPr>
        <w:t> </w:t>
      </w:r>
      <w:r>
        <w:t>—</w:t>
      </w:r>
      <w:r>
        <w:rPr>
          <w:rStyle w:val="CharDivText"/>
        </w:rPr>
        <w:t> </w:t>
      </w:r>
      <w:r>
        <w:rPr>
          <w:rStyle w:val="CharPartText"/>
        </w:rPr>
        <w:t>Miscellaneous</w:t>
      </w:r>
      <w:bookmarkEnd w:id="267"/>
      <w:bookmarkEnd w:id="268"/>
      <w:bookmarkEnd w:id="269"/>
      <w:bookmarkEnd w:id="270"/>
      <w:bookmarkEnd w:id="271"/>
      <w:bookmarkEnd w:id="272"/>
      <w:bookmarkEnd w:id="273"/>
      <w:bookmarkEnd w:id="274"/>
      <w:bookmarkEnd w:id="275"/>
      <w:bookmarkEnd w:id="276"/>
      <w:bookmarkEnd w:id="277"/>
      <w:bookmarkEnd w:id="278"/>
      <w:bookmarkEnd w:id="279"/>
    </w:p>
    <w:p>
      <w:pPr>
        <w:pStyle w:val="Heading5"/>
        <w:rPr>
          <w:snapToGrid w:val="0"/>
        </w:rPr>
      </w:pPr>
      <w:bookmarkStart w:id="280" w:name="_Toc378069686"/>
      <w:bookmarkStart w:id="281" w:name="_Toc425429812"/>
      <w:bookmarkStart w:id="282" w:name="_Toc421609873"/>
      <w:bookmarkStart w:id="283" w:name="_Toc36374452"/>
      <w:bookmarkStart w:id="284" w:name="_Toc180989372"/>
      <w:r>
        <w:rPr>
          <w:rStyle w:val="CharSectno"/>
        </w:rPr>
        <w:t>39</w:t>
      </w:r>
      <w:r>
        <w:rPr>
          <w:snapToGrid w:val="0"/>
        </w:rPr>
        <w:t>.</w:t>
      </w:r>
      <w:r>
        <w:rPr>
          <w:snapToGrid w:val="0"/>
        </w:rPr>
        <w:tab/>
        <w:t>Making charges for insurance, etc., on sale of cattle an offence</w:t>
      </w:r>
      <w:bookmarkEnd w:id="280"/>
      <w:bookmarkEnd w:id="281"/>
      <w:bookmarkEnd w:id="282"/>
      <w:bookmarkEnd w:id="283"/>
      <w:bookmarkEnd w:id="284"/>
    </w:p>
    <w:p>
      <w:pPr>
        <w:pStyle w:val="Subsection"/>
        <w:rPr>
          <w:snapToGrid w:val="0"/>
        </w:rPr>
      </w:pPr>
      <w:r>
        <w:rPr>
          <w:snapToGrid w:val="0"/>
        </w:rPr>
        <w:tab/>
      </w:r>
      <w:r>
        <w:rPr>
          <w:snapToGrid w:val="0"/>
        </w:rPr>
        <w:tab/>
        <w:t>If on the sale of any cattle to any person, whether sold singly or as part of a lot, that person or his agent —</w:t>
      </w:r>
    </w:p>
    <w:p>
      <w:pPr>
        <w:pStyle w:val="Indenta"/>
        <w:rPr>
          <w:snapToGrid w:val="0"/>
        </w:rPr>
      </w:pPr>
      <w:r>
        <w:rPr>
          <w:snapToGrid w:val="0"/>
        </w:rPr>
        <w:tab/>
        <w:t>(a)</w:t>
      </w:r>
      <w:r>
        <w:rPr>
          <w:snapToGrid w:val="0"/>
        </w:rPr>
        <w:tab/>
        <w:t>makes any charge to the vendor; or</w:t>
      </w:r>
    </w:p>
    <w:p>
      <w:pPr>
        <w:pStyle w:val="Indenta"/>
        <w:rPr>
          <w:snapToGrid w:val="0"/>
        </w:rPr>
      </w:pPr>
      <w:r>
        <w:rPr>
          <w:snapToGrid w:val="0"/>
        </w:rPr>
        <w:tab/>
        <w:t>(b)</w:t>
      </w:r>
      <w:r>
        <w:rPr>
          <w:snapToGrid w:val="0"/>
        </w:rPr>
        <w:tab/>
        <w:t>deducts any amount from the purchase money payable in respect of the sale,</w:t>
      </w:r>
    </w:p>
    <w:p>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pPr>
        <w:pStyle w:val="Penstart"/>
        <w:rPr>
          <w:snapToGrid w:val="0"/>
        </w:rPr>
      </w:pPr>
      <w:r>
        <w:rPr>
          <w:snapToGrid w:val="0"/>
        </w:rPr>
        <w:tab/>
        <w:t>Penalty: $2 000.</w:t>
      </w:r>
    </w:p>
    <w:p>
      <w:pPr>
        <w:pStyle w:val="Footnotesection"/>
      </w:pPr>
      <w:r>
        <w:tab/>
        <w:t>[Section 39 amended by No. 113 of 1965 s. 8; No. 20 of 1989 s. 3.]</w:t>
      </w:r>
    </w:p>
    <w:p>
      <w:pPr>
        <w:pStyle w:val="Heading5"/>
        <w:rPr>
          <w:snapToGrid w:val="0"/>
        </w:rPr>
      </w:pPr>
      <w:bookmarkStart w:id="285" w:name="_Toc378069687"/>
      <w:bookmarkStart w:id="286" w:name="_Toc425429813"/>
      <w:bookmarkStart w:id="287" w:name="_Toc421609874"/>
      <w:bookmarkStart w:id="288" w:name="_Toc36374453"/>
      <w:bookmarkStart w:id="289" w:name="_Toc180989373"/>
      <w:r>
        <w:rPr>
          <w:rStyle w:val="CharSectno"/>
        </w:rPr>
        <w:t>40</w:t>
      </w:r>
      <w:r>
        <w:rPr>
          <w:snapToGrid w:val="0"/>
        </w:rPr>
        <w:t>.</w:t>
      </w:r>
      <w:r>
        <w:rPr>
          <w:snapToGrid w:val="0"/>
        </w:rPr>
        <w:tab/>
        <w:t>Certain conditions in contracts to be inoperative</w:t>
      </w:r>
      <w:bookmarkEnd w:id="285"/>
      <w:bookmarkEnd w:id="286"/>
      <w:bookmarkEnd w:id="287"/>
      <w:bookmarkEnd w:id="288"/>
      <w:bookmarkEnd w:id="289"/>
    </w:p>
    <w:p>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pPr>
        <w:pStyle w:val="Indenta"/>
        <w:rPr>
          <w:snapToGrid w:val="0"/>
        </w:rPr>
      </w:pPr>
      <w:r>
        <w:rPr>
          <w:snapToGrid w:val="0"/>
        </w:rPr>
        <w:tab/>
        <w:t>(a)</w:t>
      </w:r>
      <w:r>
        <w:rPr>
          <w:snapToGrid w:val="0"/>
        </w:rPr>
        <w:tab/>
        <w:t>if made after the coming into operation of this Act, be void and of no effect; or</w:t>
      </w:r>
    </w:p>
    <w:p>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pPr>
        <w:pStyle w:val="Heading5"/>
        <w:rPr>
          <w:snapToGrid w:val="0"/>
        </w:rPr>
      </w:pPr>
      <w:bookmarkStart w:id="290" w:name="_Toc378069688"/>
      <w:bookmarkStart w:id="291" w:name="_Toc425429814"/>
      <w:bookmarkStart w:id="292" w:name="_Toc421609875"/>
      <w:bookmarkStart w:id="293" w:name="_Toc36374454"/>
      <w:bookmarkStart w:id="294" w:name="_Toc180989374"/>
      <w:r>
        <w:rPr>
          <w:rStyle w:val="CharSectno"/>
        </w:rPr>
        <w:t>41</w:t>
      </w:r>
      <w:r>
        <w:rPr>
          <w:snapToGrid w:val="0"/>
        </w:rPr>
        <w:t>.</w:t>
      </w:r>
      <w:r>
        <w:rPr>
          <w:snapToGrid w:val="0"/>
        </w:rPr>
        <w:tab/>
        <w:t>Obstructing officers, etc., an offence</w:t>
      </w:r>
      <w:bookmarkEnd w:id="290"/>
      <w:bookmarkEnd w:id="291"/>
      <w:bookmarkEnd w:id="292"/>
      <w:bookmarkEnd w:id="293"/>
      <w:bookmarkEnd w:id="294"/>
    </w:p>
    <w:p>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pPr>
        <w:pStyle w:val="Penstart"/>
        <w:rPr>
          <w:snapToGrid w:val="0"/>
        </w:rPr>
      </w:pPr>
      <w:r>
        <w:rPr>
          <w:snapToGrid w:val="0"/>
        </w:rPr>
        <w:tab/>
        <w:t>Penalty: $2 000.</w:t>
      </w:r>
    </w:p>
    <w:p>
      <w:pPr>
        <w:pStyle w:val="Footnotesection"/>
      </w:pPr>
      <w:r>
        <w:tab/>
        <w:t>[Section 41 amended by No. 113 of 1965 s. 8; No. 20 of 1989 s. 3.]</w:t>
      </w:r>
    </w:p>
    <w:p>
      <w:pPr>
        <w:pStyle w:val="Heading5"/>
        <w:rPr>
          <w:snapToGrid w:val="0"/>
        </w:rPr>
      </w:pPr>
      <w:bookmarkStart w:id="295" w:name="_Toc378069689"/>
      <w:bookmarkStart w:id="296" w:name="_Toc425429815"/>
      <w:bookmarkStart w:id="297" w:name="_Toc421609876"/>
      <w:bookmarkStart w:id="298" w:name="_Toc36374455"/>
      <w:bookmarkStart w:id="299" w:name="_Toc180989375"/>
      <w:r>
        <w:rPr>
          <w:rStyle w:val="CharSectno"/>
        </w:rPr>
        <w:t>42</w:t>
      </w:r>
      <w:r>
        <w:rPr>
          <w:snapToGrid w:val="0"/>
        </w:rPr>
        <w:t>.</w:t>
      </w:r>
      <w:r>
        <w:rPr>
          <w:snapToGrid w:val="0"/>
        </w:rPr>
        <w:tab/>
        <w:t>Proclamation may be cancelled etc.</w:t>
      </w:r>
      <w:bookmarkEnd w:id="295"/>
      <w:bookmarkEnd w:id="296"/>
      <w:bookmarkEnd w:id="297"/>
      <w:bookmarkEnd w:id="298"/>
      <w:bookmarkEnd w:id="299"/>
    </w:p>
    <w:p>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pPr>
        <w:pStyle w:val="Ednotesection"/>
      </w:pPr>
      <w:r>
        <w:t>[</w:t>
      </w:r>
      <w:r>
        <w:rPr>
          <w:b/>
          <w:bCs/>
        </w:rPr>
        <w:t>43.</w:t>
      </w:r>
      <w:r>
        <w:rPr>
          <w:b/>
          <w:bCs/>
        </w:rPr>
        <w:tab/>
      </w:r>
      <w:r>
        <w:t>Deleted by No. 59 of 2004 s. 141.]</w:t>
      </w:r>
    </w:p>
    <w:p>
      <w:pPr>
        <w:pStyle w:val="Heading5"/>
        <w:rPr>
          <w:snapToGrid w:val="0"/>
        </w:rPr>
      </w:pPr>
      <w:bookmarkStart w:id="300" w:name="_Toc378069690"/>
      <w:bookmarkStart w:id="301" w:name="_Toc425429816"/>
      <w:bookmarkStart w:id="302" w:name="_Toc421609878"/>
      <w:bookmarkStart w:id="303" w:name="_Toc36374457"/>
      <w:bookmarkStart w:id="304" w:name="_Toc180989376"/>
      <w:r>
        <w:rPr>
          <w:rStyle w:val="CharSectno"/>
        </w:rPr>
        <w:t>44</w:t>
      </w:r>
      <w:r>
        <w:rPr>
          <w:snapToGrid w:val="0"/>
        </w:rPr>
        <w:t>.</w:t>
      </w:r>
      <w:r>
        <w:rPr>
          <w:snapToGrid w:val="0"/>
        </w:rPr>
        <w:tab/>
        <w:t>Evidence and judicial notice</w:t>
      </w:r>
      <w:bookmarkEnd w:id="300"/>
      <w:bookmarkEnd w:id="301"/>
      <w:bookmarkEnd w:id="302"/>
      <w:bookmarkEnd w:id="303"/>
      <w:bookmarkEnd w:id="304"/>
    </w:p>
    <w:p>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pPr>
        <w:pStyle w:val="Heading5"/>
        <w:rPr>
          <w:snapToGrid w:val="0"/>
        </w:rPr>
      </w:pPr>
      <w:bookmarkStart w:id="305" w:name="_Toc378069691"/>
      <w:bookmarkStart w:id="306" w:name="_Toc425429817"/>
      <w:bookmarkStart w:id="307" w:name="_Toc421609879"/>
      <w:bookmarkStart w:id="308" w:name="_Toc36374458"/>
      <w:bookmarkStart w:id="309" w:name="_Toc180989377"/>
      <w:r>
        <w:rPr>
          <w:rStyle w:val="CharSectno"/>
        </w:rPr>
        <w:t>45</w:t>
      </w:r>
      <w:r>
        <w:rPr>
          <w:snapToGrid w:val="0"/>
        </w:rPr>
        <w:t>.</w:t>
      </w:r>
      <w:r>
        <w:rPr>
          <w:snapToGrid w:val="0"/>
        </w:rPr>
        <w:tab/>
        <w:t>General penalties</w:t>
      </w:r>
      <w:bookmarkEnd w:id="305"/>
      <w:bookmarkEnd w:id="306"/>
      <w:bookmarkEnd w:id="307"/>
      <w:bookmarkEnd w:id="308"/>
      <w:bookmarkEnd w:id="309"/>
    </w:p>
    <w:p>
      <w:pPr>
        <w:pStyle w:val="Subsection"/>
        <w:spacing w:before="140"/>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does that which by or under this Act he is forbidden to do; or</w:t>
      </w:r>
    </w:p>
    <w:p>
      <w:pPr>
        <w:pStyle w:val="Indenta"/>
        <w:rPr>
          <w:snapToGrid w:val="0"/>
        </w:rPr>
      </w:pPr>
      <w:r>
        <w:rPr>
          <w:snapToGrid w:val="0"/>
        </w:rPr>
        <w:tab/>
        <w:t>(b)</w:t>
      </w:r>
      <w:r>
        <w:rPr>
          <w:snapToGrid w:val="0"/>
        </w:rPr>
        <w:tab/>
        <w:t>does not do that which by or under this Act he is required or directed to do; or</w:t>
      </w:r>
    </w:p>
    <w:p>
      <w:pPr>
        <w:pStyle w:val="Indenta"/>
        <w:rPr>
          <w:snapToGrid w:val="0"/>
        </w:rPr>
      </w:pPr>
      <w:r>
        <w:rPr>
          <w:snapToGrid w:val="0"/>
        </w:rPr>
        <w:tab/>
        <w:t>(c)</w:t>
      </w:r>
      <w:r>
        <w:rPr>
          <w:snapToGrid w:val="0"/>
        </w:rPr>
        <w:tab/>
        <w:t>otherwise contravenes or fails to comply with any provision of this Act,</w:t>
      </w:r>
    </w:p>
    <w:p>
      <w:pPr>
        <w:pStyle w:val="Subsection"/>
        <w:spacing w:before="80"/>
        <w:rPr>
          <w:snapToGrid w:val="0"/>
        </w:rPr>
      </w:pPr>
      <w:r>
        <w:rPr>
          <w:snapToGrid w:val="0"/>
        </w:rPr>
        <w:tab/>
      </w:r>
      <w:r>
        <w:rPr>
          <w:snapToGrid w:val="0"/>
        </w:rPr>
        <w:tab/>
        <w:t>commits an offence against this Act.</w:t>
      </w:r>
    </w:p>
    <w:p>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pPr>
        <w:pStyle w:val="Footnotesection"/>
      </w:pPr>
      <w:r>
        <w:tab/>
        <w:t>[Section 45 amended by No. 113 of 1965 s. 8; No. 20 of 1989 s. 3.]</w:t>
      </w:r>
    </w:p>
    <w:p>
      <w:pPr>
        <w:pStyle w:val="Heading5"/>
        <w:rPr>
          <w:snapToGrid w:val="0"/>
        </w:rPr>
      </w:pPr>
      <w:bookmarkStart w:id="310" w:name="_Toc421609880"/>
      <w:bookmarkStart w:id="311" w:name="_Toc378069692"/>
      <w:bookmarkStart w:id="312" w:name="_Toc425429818"/>
      <w:bookmarkStart w:id="313" w:name="_Toc36374459"/>
      <w:bookmarkStart w:id="314" w:name="_Toc180989378"/>
      <w:r>
        <w:rPr>
          <w:rStyle w:val="CharSectno"/>
        </w:rPr>
        <w:t>46</w:t>
      </w:r>
      <w:r>
        <w:rPr>
          <w:snapToGrid w:val="0"/>
        </w:rPr>
        <w:t>.</w:t>
      </w:r>
      <w:r>
        <w:rPr>
          <w:snapToGrid w:val="0"/>
        </w:rPr>
        <w:tab/>
        <w:t>Regulation</w:t>
      </w:r>
      <w:bookmarkEnd w:id="310"/>
      <w:r>
        <w:rPr>
          <w:snapToGrid w:val="0"/>
        </w:rPr>
        <w:t>s</w:t>
      </w:r>
      <w:bookmarkEnd w:id="311"/>
      <w:bookmarkEnd w:id="312"/>
      <w:bookmarkEnd w:id="313"/>
      <w:bookmarkEnd w:id="314"/>
    </w:p>
    <w:p>
      <w:pPr>
        <w:pStyle w:val="Subsection"/>
        <w:rPr>
          <w:snapToGrid w:val="0"/>
        </w:rPr>
      </w:pPr>
      <w:r>
        <w:rPr>
          <w:snapToGrid w:val="0"/>
        </w:rPr>
        <w:tab/>
      </w:r>
      <w:r>
        <w:rPr>
          <w:snapToGrid w:val="0"/>
        </w:rPr>
        <w:tab/>
        <w:t>The Governor may make regulations —</w:t>
      </w:r>
    </w:p>
    <w:p>
      <w:pPr>
        <w:pStyle w:val="Indenta"/>
        <w:rPr>
          <w:snapToGrid w:val="0"/>
        </w:rPr>
      </w:pPr>
      <w:r>
        <w:rPr>
          <w:snapToGrid w:val="0"/>
        </w:rPr>
        <w:tab/>
        <w:t>(a)</w:t>
      </w:r>
      <w:r>
        <w:rPr>
          <w:snapToGrid w:val="0"/>
        </w:rPr>
        <w:tab/>
        <w:t>prescribing the manner of making and dealing with applications for compensation under this Act and the verification thereof;</w:t>
      </w:r>
    </w:p>
    <w:p>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pPr>
        <w:pStyle w:val="Indenta"/>
        <w:rPr>
          <w:snapToGrid w:val="0"/>
        </w:rPr>
      </w:pPr>
      <w:r>
        <w:rPr>
          <w:snapToGrid w:val="0"/>
        </w:rPr>
        <w:tab/>
        <w:t>(bb)</w:t>
      </w:r>
      <w:r>
        <w:rPr>
          <w:snapToGrid w:val="0"/>
        </w:rPr>
        <w:tab/>
        <w:t>prescribing the manner in which an inspector may direct the movement, mustering or yarding of cattle;</w:t>
      </w:r>
    </w:p>
    <w:p>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pPr>
        <w:pStyle w:val="Indenta"/>
        <w:rPr>
          <w:snapToGrid w:val="0"/>
        </w:rPr>
      </w:pPr>
      <w:r>
        <w:rPr>
          <w:snapToGrid w:val="0"/>
        </w:rPr>
        <w:tab/>
        <w:t>(d)</w:t>
      </w:r>
      <w:r>
        <w:rPr>
          <w:snapToGrid w:val="0"/>
        </w:rPr>
        <w:tab/>
        <w:t>for safeguarding the Account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pPr>
        <w:pStyle w:val="Indenta"/>
        <w:rPr>
          <w:snapToGrid w:val="0"/>
        </w:rPr>
      </w:pPr>
      <w:r>
        <w:rPr>
          <w:snapToGrid w:val="0"/>
        </w:rPr>
        <w:tab/>
        <w:t>(e)</w:t>
      </w:r>
      <w:r>
        <w:rPr>
          <w:snapToGrid w:val="0"/>
        </w:rPr>
        <w:tab/>
        <w:t>prescribing all matters and things necessary or convenient to be prescribed with respect to the Account and the administration thereof;</w:t>
      </w:r>
    </w:p>
    <w:p>
      <w:pPr>
        <w:pStyle w:val="Indenta"/>
        <w:rPr>
          <w:snapToGrid w:val="0"/>
        </w:rPr>
      </w:pPr>
      <w:r>
        <w:rPr>
          <w:snapToGrid w:val="0"/>
        </w:rPr>
        <w:tab/>
        <w:t>(f)</w:t>
      </w:r>
      <w:r>
        <w:rPr>
          <w:snapToGrid w:val="0"/>
        </w:rPr>
        <w:tab/>
        <w:t>prescribing forms and fees for the purposes of this Act;</w:t>
      </w:r>
    </w:p>
    <w:p>
      <w:pPr>
        <w:pStyle w:val="Indenta"/>
        <w:rPr>
          <w:snapToGrid w:val="0"/>
        </w:rPr>
      </w:pPr>
      <w:r>
        <w:rPr>
          <w:snapToGrid w:val="0"/>
        </w:rPr>
        <w:tab/>
        <w:t>(g)</w:t>
      </w:r>
      <w:r>
        <w:rPr>
          <w:snapToGrid w:val="0"/>
        </w:rPr>
        <w:tab/>
        <w:t>prescribing penalties, not exceeding $2 000 in any case, for any contravention of or failure to comply with the regulations; and</w:t>
      </w:r>
    </w:p>
    <w:p>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pPr>
        <w:pStyle w:val="Footnotesection"/>
      </w:pPr>
      <w:r>
        <w:tab/>
        <w:t>[Section 46 amended by No. 113 of 1965 s. 8; No. 45 of 1981 s. 10; No. 44 of 1989 s. 10; No. 20 of 1989 s. 3; No. 77 of 2006 s. 17.]</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315" w:name="_Toc378069693"/>
      <w:bookmarkStart w:id="316" w:name="_Toc425429819"/>
      <w:bookmarkStart w:id="317" w:name="_Toc117653259"/>
      <w:bookmarkStart w:id="318" w:name="_Toc117910695"/>
      <w:bookmarkStart w:id="319" w:name="_Toc118166132"/>
      <w:bookmarkStart w:id="320" w:name="_Toc118526263"/>
      <w:bookmarkStart w:id="321" w:name="_Toc139428044"/>
      <w:bookmarkStart w:id="322" w:name="_Toc157836630"/>
      <w:bookmarkStart w:id="323" w:name="_Toc180989379"/>
      <w:r>
        <w:rPr>
          <w:rStyle w:val="CharSchNo"/>
        </w:rPr>
        <w:t>Schedule</w:t>
      </w:r>
      <w:bookmarkEnd w:id="315"/>
      <w:bookmarkEnd w:id="316"/>
      <w:bookmarkEnd w:id="317"/>
      <w:bookmarkEnd w:id="318"/>
      <w:bookmarkEnd w:id="319"/>
      <w:bookmarkEnd w:id="320"/>
      <w:bookmarkEnd w:id="321"/>
      <w:bookmarkEnd w:id="322"/>
      <w:bookmarkEnd w:id="323"/>
    </w:p>
    <w:p>
      <w:pPr>
        <w:pStyle w:val="yShoulderClause"/>
        <w:rPr>
          <w:snapToGrid w:val="0"/>
        </w:rPr>
      </w:pPr>
      <w:r>
        <w:rPr>
          <w:snapToGrid w:val="0"/>
        </w:rPr>
        <w:t>[Section 4]</w:t>
      </w:r>
    </w:p>
    <w:p>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trPr>
          <w:trHeight w:val="345"/>
          <w:tblHeader/>
        </w:trPr>
        <w:tc>
          <w:tcPr>
            <w:tcW w:w="4361" w:type="dxa"/>
          </w:tcPr>
          <w:p>
            <w:pPr>
              <w:rPr>
                <w:b/>
                <w:snapToGrid w:val="0"/>
                <w:sz w:val="20"/>
              </w:rPr>
            </w:pPr>
            <w:r>
              <w:rPr>
                <w:b/>
                <w:snapToGrid w:val="0"/>
                <w:sz w:val="20"/>
              </w:rPr>
              <w:t>Title of Act</w:t>
            </w:r>
          </w:p>
        </w:tc>
        <w:tc>
          <w:tcPr>
            <w:tcW w:w="2943" w:type="dxa"/>
          </w:tcPr>
          <w:p>
            <w:pPr>
              <w:rPr>
                <w:b/>
                <w:snapToGrid w:val="0"/>
                <w:sz w:val="20"/>
              </w:rPr>
            </w:pPr>
            <w:r>
              <w:rPr>
                <w:b/>
                <w:snapToGrid w:val="0"/>
                <w:sz w:val="20"/>
              </w:rPr>
              <w:t>Extent of repeal</w:t>
            </w:r>
          </w:p>
        </w:tc>
      </w:tr>
      <w:tr>
        <w:trPr>
          <w:trHeight w:val="345"/>
        </w:trPr>
        <w:tc>
          <w:tcPr>
            <w:tcW w:w="4361" w:type="dxa"/>
          </w:tcPr>
          <w:p>
            <w:pPr>
              <w:rPr>
                <w:snapToGrid w:val="0"/>
                <w:sz w:val="20"/>
              </w:rPr>
            </w:pPr>
            <w:r>
              <w:rPr>
                <w:i/>
                <w:snapToGrid w:val="0"/>
                <w:sz w:val="20"/>
              </w:rPr>
              <w:t>Dairy Cattle Industry Compensation Act 1960</w:t>
            </w:r>
            <w:r>
              <w:rPr>
                <w:snapToGrid w:val="0"/>
                <w:sz w:val="20"/>
              </w:rPr>
              <w:t xml:space="preserve"> </w:t>
            </w:r>
          </w:p>
        </w:tc>
        <w:tc>
          <w:tcPr>
            <w:tcW w:w="2943" w:type="dxa"/>
          </w:tcPr>
          <w:p>
            <w:pPr>
              <w:rPr>
                <w:snapToGrid w:val="0"/>
                <w:sz w:val="20"/>
              </w:rPr>
            </w:pPr>
            <w:r>
              <w:rPr>
                <w:snapToGrid w:val="0"/>
                <w:sz w:val="20"/>
              </w:rPr>
              <w:t>The whole Act</w:t>
            </w:r>
          </w:p>
        </w:tc>
      </w:tr>
      <w:tr>
        <w:trPr>
          <w:trHeight w:val="345"/>
        </w:trPr>
        <w:tc>
          <w:tcPr>
            <w:tcW w:w="4361" w:type="dxa"/>
          </w:tcPr>
          <w:p>
            <w:pPr>
              <w:rPr>
                <w:snapToGrid w:val="0"/>
                <w:sz w:val="20"/>
              </w:rPr>
            </w:pPr>
            <w:r>
              <w:rPr>
                <w:i/>
                <w:snapToGrid w:val="0"/>
                <w:sz w:val="20"/>
              </w:rPr>
              <w:t>Beef Cattle Industry Compensation Act 1963</w:t>
            </w:r>
            <w:r>
              <w:rPr>
                <w:snapToGrid w:val="0"/>
                <w:sz w:val="20"/>
              </w:rPr>
              <w:t xml:space="preserve"> </w:t>
            </w:r>
          </w:p>
        </w:tc>
        <w:tc>
          <w:tcPr>
            <w:tcW w:w="2943" w:type="dxa"/>
          </w:tcPr>
          <w:p>
            <w:pPr>
              <w:rPr>
                <w:snapToGrid w:val="0"/>
                <w:sz w:val="20"/>
              </w:rPr>
            </w:pPr>
            <w:r>
              <w:rPr>
                <w:snapToGrid w:val="0"/>
                <w:sz w:val="20"/>
              </w:rPr>
              <w:t>The whole Act</w:t>
            </w:r>
          </w:p>
        </w:tc>
      </w:tr>
    </w:tbl>
    <w:p>
      <w:pPr>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nHeading2"/>
      </w:pPr>
      <w:bookmarkStart w:id="325" w:name="_Toc378069694"/>
      <w:bookmarkStart w:id="326" w:name="_Toc425429820"/>
      <w:bookmarkStart w:id="327" w:name="_Toc72570682"/>
      <w:bookmarkStart w:id="328" w:name="_Toc89237002"/>
      <w:bookmarkStart w:id="329" w:name="_Toc101932382"/>
      <w:bookmarkStart w:id="330" w:name="_Toc116806655"/>
      <w:bookmarkStart w:id="331" w:name="_Toc117653260"/>
      <w:bookmarkStart w:id="332" w:name="_Toc117910696"/>
      <w:bookmarkStart w:id="333" w:name="_Toc118166133"/>
      <w:bookmarkStart w:id="334" w:name="_Toc118526264"/>
      <w:bookmarkStart w:id="335" w:name="_Toc139428045"/>
      <w:bookmarkStart w:id="336" w:name="_Toc157836631"/>
      <w:bookmarkStart w:id="337" w:name="_Toc180989380"/>
      <w:r>
        <w:t>Notes</w:t>
      </w:r>
      <w:bookmarkEnd w:id="325"/>
      <w:bookmarkEnd w:id="326"/>
      <w:bookmarkEnd w:id="327"/>
      <w:bookmarkEnd w:id="328"/>
      <w:bookmarkEnd w:id="329"/>
      <w:bookmarkEnd w:id="330"/>
      <w:bookmarkEnd w:id="331"/>
      <w:bookmarkEnd w:id="332"/>
      <w:bookmarkEnd w:id="333"/>
      <w:bookmarkEnd w:id="334"/>
      <w:bookmarkEnd w:id="335"/>
      <w:bookmarkEnd w:id="336"/>
      <w:bookmarkEnd w:id="337"/>
    </w:p>
    <w:p>
      <w:pPr>
        <w:pStyle w:val="nSubsection"/>
        <w:rPr>
          <w:snapToGrid w:val="0"/>
        </w:rPr>
      </w:pPr>
      <w:r>
        <w:rPr>
          <w:snapToGrid w:val="0"/>
          <w:vertAlign w:val="superscript"/>
        </w:rPr>
        <w:t>1</w:t>
      </w:r>
      <w:r>
        <w:rPr>
          <w:snapToGrid w:val="0"/>
        </w:rPr>
        <w:tab/>
        <w:t xml:space="preserve">This is a compilation of the </w:t>
      </w:r>
      <w:r>
        <w:rPr>
          <w:i/>
          <w:noProof/>
          <w:snapToGrid w:val="0"/>
        </w:rPr>
        <w:t>Cattle Industry Compensation Act 1965</w:t>
      </w:r>
      <w:r>
        <w:rPr>
          <w:snapToGrid w:val="0"/>
        </w:rPr>
        <w:t xml:space="preserve"> and includes the amendments made by the other written laws referred to in the following table </w:t>
      </w:r>
      <w:r>
        <w:rPr>
          <w:vertAlign w:val="superscript"/>
        </w:rPr>
        <w:t>1a</w:t>
      </w:r>
      <w:r>
        <w:rPr>
          <w:snapToGrid w:val="0"/>
        </w:rPr>
        <w:t>.  The table also contains information about any reprint.</w:t>
      </w:r>
    </w:p>
    <w:p>
      <w:pPr>
        <w:pStyle w:val="nHeading3"/>
      </w:pPr>
      <w:bookmarkStart w:id="338" w:name="_Toc378069695"/>
      <w:bookmarkStart w:id="339" w:name="_Toc425429821"/>
      <w:bookmarkStart w:id="340" w:name="_Toc180989381"/>
      <w:r>
        <w:t>Compilation table</w:t>
      </w:r>
      <w:bookmarkEnd w:id="338"/>
      <w:bookmarkEnd w:id="339"/>
      <w:bookmarkEnd w:id="34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Cattle Industry Compensation Act 1965</w:t>
            </w:r>
          </w:p>
        </w:tc>
        <w:tc>
          <w:tcPr>
            <w:tcW w:w="1134" w:type="dxa"/>
            <w:tcBorders>
              <w:top w:val="single" w:sz="8" w:space="0" w:color="auto"/>
            </w:tcBorders>
          </w:tcPr>
          <w:p>
            <w:pPr>
              <w:pStyle w:val="nTable"/>
              <w:spacing w:after="40"/>
            </w:pPr>
            <w:r>
              <w:t>41 of 1965</w:t>
            </w:r>
          </w:p>
        </w:tc>
        <w:tc>
          <w:tcPr>
            <w:tcW w:w="1134" w:type="dxa"/>
            <w:tcBorders>
              <w:top w:val="single" w:sz="8" w:space="0" w:color="auto"/>
            </w:tcBorders>
          </w:tcPr>
          <w:p>
            <w:pPr>
              <w:pStyle w:val="nTable"/>
              <w:spacing w:after="40"/>
            </w:pPr>
            <w:r>
              <w:t>8 Nov 1965</w:t>
            </w:r>
          </w:p>
        </w:tc>
        <w:tc>
          <w:tcPr>
            <w:tcW w:w="2552" w:type="dxa"/>
            <w:tcBorders>
              <w:top w:val="single" w:sz="8" w:space="0" w:color="auto"/>
            </w:tcBorders>
          </w:tcPr>
          <w:p>
            <w:pPr>
              <w:pStyle w:val="nTable"/>
              <w:spacing w:after="40"/>
            </w:pPr>
            <w:r>
              <w:t xml:space="preserve">14 Feb 1966 (see s. 2 and </w:t>
            </w:r>
            <w:r>
              <w:rPr>
                <w:i/>
              </w:rPr>
              <w:t>Gazette</w:t>
            </w:r>
            <w:r>
              <w:t xml:space="preserve"> 11 Feb 1966 p. 437)</w:t>
            </w:r>
          </w:p>
        </w:tc>
      </w:tr>
      <w:tr>
        <w:trPr>
          <w:cantSplit/>
        </w:trPr>
        <w:tc>
          <w:tcPr>
            <w:tcW w:w="2268" w:type="dxa"/>
          </w:tcPr>
          <w:p>
            <w:pPr>
              <w:pStyle w:val="nTable"/>
              <w:spacing w:after="40"/>
              <w:ind w:right="113"/>
              <w:rPr>
                <w:i/>
              </w:rPr>
            </w:pPr>
            <w:r>
              <w:rPr>
                <w:i/>
              </w:rPr>
              <w:t>Decimal Currency Act 1965</w:t>
            </w:r>
          </w:p>
        </w:tc>
        <w:tc>
          <w:tcPr>
            <w:tcW w:w="1134" w:type="dxa"/>
          </w:tcPr>
          <w:p>
            <w:pPr>
              <w:pStyle w:val="nTable"/>
              <w:spacing w:after="40"/>
            </w:pPr>
            <w:r>
              <w:t>113 of 1965</w:t>
            </w:r>
          </w:p>
        </w:tc>
        <w:tc>
          <w:tcPr>
            <w:tcW w:w="1134" w:type="dxa"/>
          </w:tcPr>
          <w:p>
            <w:pPr>
              <w:pStyle w:val="nTable"/>
              <w:spacing w:after="40"/>
            </w:pPr>
            <w:r>
              <w:t>21 Dec 1965</w:t>
            </w:r>
          </w:p>
        </w:tc>
        <w:tc>
          <w:tcPr>
            <w:tcW w:w="2552" w:type="dxa"/>
          </w:tcPr>
          <w:p>
            <w:pPr>
              <w:pStyle w:val="nTable"/>
              <w:spacing w:after="40"/>
            </w:pPr>
            <w:r>
              <w:t>Act other than s. 4-9: 21 Dec 1965 (see s. 2(1));</w:t>
            </w:r>
            <w:r>
              <w:br/>
              <w:t>s. 4</w:t>
            </w:r>
            <w:r>
              <w:noBreakHyphen/>
              <w:t>9: 14 Feb 1966 (see s. 2(2))</w:t>
            </w:r>
          </w:p>
        </w:tc>
      </w:tr>
      <w:tr>
        <w:trPr>
          <w:cantSplit/>
        </w:trPr>
        <w:tc>
          <w:tcPr>
            <w:tcW w:w="2268" w:type="dxa"/>
          </w:tcPr>
          <w:p>
            <w:pPr>
              <w:pStyle w:val="nTable"/>
              <w:spacing w:after="40"/>
              <w:ind w:right="113"/>
            </w:pPr>
            <w:r>
              <w:rPr>
                <w:i/>
              </w:rPr>
              <w:t>Cattle Industry Compensation Act Amendment Act 1969</w:t>
            </w:r>
          </w:p>
        </w:tc>
        <w:tc>
          <w:tcPr>
            <w:tcW w:w="1134" w:type="dxa"/>
          </w:tcPr>
          <w:p>
            <w:pPr>
              <w:pStyle w:val="nTable"/>
              <w:spacing w:after="40"/>
            </w:pPr>
            <w:r>
              <w:t>14 of 1969</w:t>
            </w:r>
          </w:p>
        </w:tc>
        <w:tc>
          <w:tcPr>
            <w:tcW w:w="1134" w:type="dxa"/>
          </w:tcPr>
          <w:p>
            <w:pPr>
              <w:pStyle w:val="nTable"/>
              <w:spacing w:after="40"/>
            </w:pPr>
            <w:r>
              <w:t>6 May 1969</w:t>
            </w:r>
          </w:p>
        </w:tc>
        <w:tc>
          <w:tcPr>
            <w:tcW w:w="2552" w:type="dxa"/>
          </w:tcPr>
          <w:p>
            <w:pPr>
              <w:pStyle w:val="nTable"/>
              <w:spacing w:after="40"/>
            </w:pPr>
            <w:r>
              <w:t>6 May 1969</w:t>
            </w:r>
          </w:p>
        </w:tc>
      </w:tr>
      <w:tr>
        <w:trPr>
          <w:cantSplit/>
        </w:trPr>
        <w:tc>
          <w:tcPr>
            <w:tcW w:w="2268" w:type="dxa"/>
          </w:tcPr>
          <w:p>
            <w:pPr>
              <w:pStyle w:val="nTable"/>
              <w:spacing w:after="40"/>
              <w:ind w:right="113"/>
            </w:pPr>
            <w:r>
              <w:rPr>
                <w:i/>
              </w:rPr>
              <w:t>Acts Amendment (Commissioner of State Taxation) Act 1970</w:t>
            </w:r>
            <w:r>
              <w:t xml:space="preserve"> Pt. VII</w:t>
            </w:r>
          </w:p>
        </w:tc>
        <w:tc>
          <w:tcPr>
            <w:tcW w:w="1134" w:type="dxa"/>
          </w:tcPr>
          <w:p>
            <w:pPr>
              <w:pStyle w:val="nTable"/>
              <w:spacing w:after="40"/>
            </w:pPr>
            <w:r>
              <w:t>21 of 1970</w:t>
            </w:r>
          </w:p>
        </w:tc>
        <w:tc>
          <w:tcPr>
            <w:tcW w:w="1134" w:type="dxa"/>
          </w:tcPr>
          <w:p>
            <w:pPr>
              <w:pStyle w:val="nTable"/>
              <w:spacing w:after="40"/>
            </w:pPr>
            <w:r>
              <w:t>8 May 1970</w:t>
            </w:r>
          </w:p>
        </w:tc>
        <w:tc>
          <w:tcPr>
            <w:tcW w:w="2552" w:type="dxa"/>
          </w:tcPr>
          <w:p>
            <w:pPr>
              <w:pStyle w:val="nTable"/>
              <w:spacing w:after="40"/>
            </w:pPr>
            <w:r>
              <w:t xml:space="preserve">1 Jul 1970 (see s. 2 and </w:t>
            </w:r>
            <w:r>
              <w:rPr>
                <w:i/>
              </w:rPr>
              <w:t>Gazette</w:t>
            </w:r>
            <w:r>
              <w:t xml:space="preserve"> 26 Jun 1970 p. 1831)</w:t>
            </w:r>
          </w:p>
        </w:tc>
      </w:tr>
      <w:tr>
        <w:trPr>
          <w:cantSplit/>
        </w:trPr>
        <w:tc>
          <w:tcPr>
            <w:tcW w:w="7088" w:type="dxa"/>
            <w:gridSpan w:val="4"/>
          </w:tcPr>
          <w:p>
            <w:pPr>
              <w:pStyle w:val="nTable"/>
              <w:spacing w:after="40"/>
            </w:pPr>
            <w:r>
              <w:rPr>
                <w:b/>
                <w:bCs/>
              </w:rPr>
              <w:t xml:space="preserve">Reprint of the </w:t>
            </w:r>
            <w:r>
              <w:rPr>
                <w:b/>
                <w:bCs/>
                <w:i/>
              </w:rPr>
              <w:t>Cattle Industry Compensation Act 1965</w:t>
            </w:r>
            <w:r>
              <w:rPr>
                <w:b/>
                <w:bCs/>
              </w:rPr>
              <w:t xml:space="preserve"> approved 30 Mar 1971</w:t>
            </w:r>
            <w:r>
              <w:t xml:space="preserve"> (includes amendments listed above)</w:t>
            </w:r>
          </w:p>
        </w:tc>
      </w:tr>
      <w:tr>
        <w:trPr>
          <w:cantSplit/>
        </w:trPr>
        <w:tc>
          <w:tcPr>
            <w:tcW w:w="2268" w:type="dxa"/>
          </w:tcPr>
          <w:p>
            <w:pPr>
              <w:pStyle w:val="nTable"/>
              <w:spacing w:after="40"/>
              <w:ind w:right="113"/>
            </w:pPr>
            <w:r>
              <w:rPr>
                <w:i/>
              </w:rPr>
              <w:t>Cattle Industry Compensation Act Amendment Act 1976</w:t>
            </w:r>
          </w:p>
        </w:tc>
        <w:tc>
          <w:tcPr>
            <w:tcW w:w="1134" w:type="dxa"/>
          </w:tcPr>
          <w:p>
            <w:pPr>
              <w:pStyle w:val="nTable"/>
              <w:spacing w:after="40"/>
            </w:pPr>
            <w:r>
              <w:t>52 of 1976</w:t>
            </w:r>
          </w:p>
        </w:tc>
        <w:tc>
          <w:tcPr>
            <w:tcW w:w="1134" w:type="dxa"/>
          </w:tcPr>
          <w:p>
            <w:pPr>
              <w:pStyle w:val="nTable"/>
              <w:spacing w:after="40"/>
            </w:pPr>
            <w:r>
              <w:t>10 Sep 1976</w:t>
            </w:r>
          </w:p>
        </w:tc>
        <w:tc>
          <w:tcPr>
            <w:tcW w:w="2552" w:type="dxa"/>
          </w:tcPr>
          <w:p>
            <w:pPr>
              <w:pStyle w:val="nTable"/>
              <w:spacing w:after="40"/>
            </w:pPr>
            <w:r>
              <w:t>10 Sep 1976</w:t>
            </w:r>
          </w:p>
        </w:tc>
      </w:tr>
      <w:tr>
        <w:trPr>
          <w:cantSplit/>
        </w:trPr>
        <w:tc>
          <w:tcPr>
            <w:tcW w:w="2268" w:type="dxa"/>
          </w:tcPr>
          <w:p>
            <w:pPr>
              <w:pStyle w:val="nTable"/>
              <w:spacing w:after="40"/>
              <w:ind w:right="113"/>
            </w:pPr>
            <w:r>
              <w:rPr>
                <w:i/>
              </w:rPr>
              <w:t>Cattle Industry Compensation Act Amendment Act 1979</w:t>
            </w:r>
          </w:p>
        </w:tc>
        <w:tc>
          <w:tcPr>
            <w:tcW w:w="1134" w:type="dxa"/>
          </w:tcPr>
          <w:p>
            <w:pPr>
              <w:pStyle w:val="nTable"/>
              <w:spacing w:after="40"/>
            </w:pPr>
            <w:r>
              <w:t>14 of 1979</w:t>
            </w:r>
          </w:p>
        </w:tc>
        <w:tc>
          <w:tcPr>
            <w:tcW w:w="1134" w:type="dxa"/>
          </w:tcPr>
          <w:p>
            <w:pPr>
              <w:pStyle w:val="nTable"/>
              <w:spacing w:after="40"/>
            </w:pPr>
            <w:r>
              <w:t>30 Aug 1979</w:t>
            </w:r>
          </w:p>
        </w:tc>
        <w:tc>
          <w:tcPr>
            <w:tcW w:w="2552" w:type="dxa"/>
          </w:tcPr>
          <w:p>
            <w:pPr>
              <w:pStyle w:val="nTable"/>
              <w:spacing w:after="40"/>
            </w:pPr>
            <w:r>
              <w:t>30 Aug 1979</w:t>
            </w:r>
          </w:p>
        </w:tc>
      </w:tr>
      <w:tr>
        <w:trPr>
          <w:cantSplit/>
        </w:trPr>
        <w:tc>
          <w:tcPr>
            <w:tcW w:w="2268" w:type="dxa"/>
          </w:tcPr>
          <w:p>
            <w:pPr>
              <w:pStyle w:val="nTable"/>
              <w:spacing w:after="40"/>
              <w:ind w:right="113"/>
            </w:pPr>
            <w:r>
              <w:rPr>
                <w:i/>
              </w:rPr>
              <w:t>Cattle Industry Compensation Amendment Act 1981</w:t>
            </w:r>
          </w:p>
        </w:tc>
        <w:tc>
          <w:tcPr>
            <w:tcW w:w="1134" w:type="dxa"/>
          </w:tcPr>
          <w:p>
            <w:pPr>
              <w:pStyle w:val="nTable"/>
              <w:spacing w:after="40"/>
            </w:pPr>
            <w:r>
              <w:t>45 of 1981</w:t>
            </w:r>
          </w:p>
        </w:tc>
        <w:tc>
          <w:tcPr>
            <w:tcW w:w="1134" w:type="dxa"/>
          </w:tcPr>
          <w:p>
            <w:pPr>
              <w:pStyle w:val="nTable"/>
              <w:spacing w:after="40"/>
            </w:pPr>
            <w:r>
              <w:t>1 Sep 1981</w:t>
            </w:r>
          </w:p>
        </w:tc>
        <w:tc>
          <w:tcPr>
            <w:tcW w:w="2552" w:type="dxa"/>
          </w:tcPr>
          <w:p>
            <w:pPr>
              <w:pStyle w:val="nTable"/>
              <w:spacing w:after="40"/>
            </w:pPr>
            <w:r>
              <w:t>1 Sep 1981</w:t>
            </w:r>
          </w:p>
        </w:tc>
      </w:tr>
      <w:tr>
        <w:trPr>
          <w:cantSplit/>
        </w:trPr>
        <w:tc>
          <w:tcPr>
            <w:tcW w:w="2268"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cantSplit/>
        </w:trPr>
        <w:tc>
          <w:tcPr>
            <w:tcW w:w="2268" w:type="dxa"/>
          </w:tcPr>
          <w:p>
            <w:pPr>
              <w:pStyle w:val="nTable"/>
              <w:spacing w:after="40"/>
              <w:ind w:right="113"/>
            </w:pPr>
            <w:r>
              <w:rPr>
                <w:i/>
              </w:rPr>
              <w:t>Acts Amendment (Stock Diseases) Act 1988</w:t>
            </w:r>
            <w:r>
              <w:t xml:space="preserve"> Pt. 2</w:t>
            </w:r>
          </w:p>
        </w:tc>
        <w:tc>
          <w:tcPr>
            <w:tcW w:w="1134" w:type="dxa"/>
          </w:tcPr>
          <w:p>
            <w:pPr>
              <w:pStyle w:val="nTable"/>
              <w:spacing w:after="40"/>
            </w:pPr>
            <w:r>
              <w:t>44 of 1988</w:t>
            </w:r>
          </w:p>
        </w:tc>
        <w:tc>
          <w:tcPr>
            <w:tcW w:w="1134" w:type="dxa"/>
          </w:tcPr>
          <w:p>
            <w:pPr>
              <w:pStyle w:val="nTable"/>
              <w:spacing w:after="40"/>
            </w:pPr>
            <w:r>
              <w:t>30 Nov 1988</w:t>
            </w:r>
          </w:p>
        </w:tc>
        <w:tc>
          <w:tcPr>
            <w:tcW w:w="2552" w:type="dxa"/>
          </w:tcPr>
          <w:p>
            <w:pPr>
              <w:pStyle w:val="nTable"/>
              <w:spacing w:after="40"/>
            </w:pPr>
            <w:r>
              <w:t xml:space="preserve">13 Jan 1989 (see s. 2 and </w:t>
            </w:r>
            <w:r>
              <w:rPr>
                <w:i/>
              </w:rPr>
              <w:t>Gazette</w:t>
            </w:r>
            <w:r>
              <w:t xml:space="preserve"> 13 Jan 1989 p. 62)</w:t>
            </w:r>
          </w:p>
        </w:tc>
      </w:tr>
      <w:tr>
        <w:trPr>
          <w:cantSplit/>
        </w:trPr>
        <w:tc>
          <w:tcPr>
            <w:tcW w:w="2268" w:type="dxa"/>
          </w:tcPr>
          <w:p>
            <w:pPr>
              <w:pStyle w:val="nTable"/>
              <w:spacing w:after="40"/>
              <w:ind w:right="113"/>
            </w:pPr>
            <w:r>
              <w:rPr>
                <w:i/>
              </w:rPr>
              <w:t>Agricultural Legislation (Penalties) Amendment Act 1989</w:t>
            </w:r>
            <w:r>
              <w:t xml:space="preserve"> s. 3</w:t>
            </w:r>
          </w:p>
        </w:tc>
        <w:tc>
          <w:tcPr>
            <w:tcW w:w="1134" w:type="dxa"/>
          </w:tcPr>
          <w:p>
            <w:pPr>
              <w:pStyle w:val="nTable"/>
              <w:spacing w:after="40"/>
            </w:pPr>
            <w:r>
              <w:t>20 of 1989</w:t>
            </w:r>
          </w:p>
        </w:tc>
        <w:tc>
          <w:tcPr>
            <w:tcW w:w="1134" w:type="dxa"/>
          </w:tcPr>
          <w:p>
            <w:pPr>
              <w:pStyle w:val="nTable"/>
              <w:spacing w:after="40"/>
            </w:pPr>
            <w:r>
              <w:t>1 Dec 1989</w:t>
            </w:r>
          </w:p>
        </w:tc>
        <w:tc>
          <w:tcPr>
            <w:tcW w:w="2552" w:type="dxa"/>
          </w:tcPr>
          <w:p>
            <w:pPr>
              <w:pStyle w:val="nTable"/>
              <w:spacing w:after="40"/>
            </w:pPr>
            <w:r>
              <w:t xml:space="preserve">15 Dec 1989 (see s. 2 and </w:t>
            </w:r>
            <w:r>
              <w:rPr>
                <w:i/>
              </w:rPr>
              <w:t>Gazette</w:t>
            </w:r>
            <w:r>
              <w:t xml:space="preserve"> 15 Dec 1989 p. 4513)</w:t>
            </w:r>
          </w:p>
        </w:tc>
      </w:tr>
      <w:tr>
        <w:trPr>
          <w:cantSplit/>
        </w:trPr>
        <w:tc>
          <w:tcPr>
            <w:tcW w:w="2268" w:type="dxa"/>
          </w:tcPr>
          <w:p>
            <w:pPr>
              <w:pStyle w:val="nTable"/>
              <w:spacing w:after="40"/>
              <w:ind w:right="113"/>
            </w:pPr>
            <w:r>
              <w:rPr>
                <w:i/>
              </w:rPr>
              <w:t>Sentencing (Consequential Provisions) Act 1995</w:t>
            </w:r>
            <w:r>
              <w:t xml:space="preserve"> Pt. 7</w:t>
            </w:r>
          </w:p>
        </w:tc>
        <w:tc>
          <w:tcPr>
            <w:tcW w:w="1134" w:type="dxa"/>
          </w:tcPr>
          <w:p>
            <w:pPr>
              <w:pStyle w:val="nTable"/>
              <w:spacing w:after="40"/>
            </w:pPr>
            <w:r>
              <w:t>78 of 1995</w:t>
            </w:r>
          </w:p>
        </w:tc>
        <w:tc>
          <w:tcPr>
            <w:tcW w:w="1134" w:type="dxa"/>
          </w:tcPr>
          <w:p>
            <w:pPr>
              <w:pStyle w:val="nTable"/>
              <w:spacing w:after="40"/>
            </w:pPr>
            <w:r>
              <w:t>16 Jan 1995</w:t>
            </w:r>
          </w:p>
        </w:tc>
        <w:tc>
          <w:tcPr>
            <w:tcW w:w="2552" w:type="dxa"/>
          </w:tcPr>
          <w:p>
            <w:pPr>
              <w:pStyle w:val="nTable"/>
              <w:spacing w:after="40"/>
            </w:pPr>
            <w:r>
              <w:t xml:space="preserve">4 Nov 1996 (see s. 2 and </w:t>
            </w:r>
            <w:r>
              <w:rPr>
                <w:i/>
              </w:rPr>
              <w:t>Gazette</w:t>
            </w:r>
            <w:r>
              <w:t xml:space="preserve"> 25 Oct 1996 p. 5632)</w:t>
            </w:r>
          </w:p>
        </w:tc>
      </w:tr>
      <w:tr>
        <w:trPr>
          <w:cantSplit/>
        </w:trPr>
        <w:tc>
          <w:tcPr>
            <w:tcW w:w="2268"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tcPr>
          <w:p>
            <w:pPr>
              <w:pStyle w:val="nTable"/>
              <w:spacing w:after="40"/>
            </w:pPr>
            <w:r>
              <w:t xml:space="preserve">25 Oct 1996 </w:t>
            </w:r>
          </w:p>
        </w:tc>
        <w:tc>
          <w:tcPr>
            <w:tcW w:w="2552" w:type="dxa"/>
          </w:tcPr>
          <w:p>
            <w:pPr>
              <w:pStyle w:val="nTable"/>
              <w:spacing w:after="40"/>
            </w:pPr>
            <w:r>
              <w:t>25 Oct 1996 (see s. 2(1))</w:t>
            </w:r>
          </w:p>
        </w:tc>
      </w:tr>
      <w:tr>
        <w:trPr>
          <w:cantSplit/>
        </w:trPr>
        <w:tc>
          <w:tcPr>
            <w:tcW w:w="2268" w:type="dxa"/>
          </w:tcPr>
          <w:p>
            <w:pPr>
              <w:pStyle w:val="nTable"/>
              <w:spacing w:after="40"/>
              <w:ind w:right="113"/>
            </w:pPr>
            <w:r>
              <w:rPr>
                <w:i/>
              </w:rPr>
              <w:t>Acts Amendment (Land Administration) Act 1997</w:t>
            </w:r>
            <w:r>
              <w:t xml:space="preserve"> Pt. 11</w:t>
            </w:r>
          </w:p>
        </w:tc>
        <w:tc>
          <w:tcPr>
            <w:tcW w:w="1134" w:type="dxa"/>
          </w:tcPr>
          <w:p>
            <w:pPr>
              <w:pStyle w:val="nTable"/>
              <w:spacing w:after="40"/>
            </w:pPr>
            <w:r>
              <w:t>31 of 1997</w:t>
            </w:r>
          </w:p>
        </w:tc>
        <w:tc>
          <w:tcPr>
            <w:tcW w:w="1134"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7088" w:type="dxa"/>
            <w:gridSpan w:val="4"/>
          </w:tcPr>
          <w:p>
            <w:pPr>
              <w:pStyle w:val="nTable"/>
              <w:spacing w:after="40"/>
            </w:pPr>
            <w:r>
              <w:rPr>
                <w:b/>
                <w:bCs/>
              </w:rPr>
              <w:t xml:space="preserve">Reprint of the </w:t>
            </w:r>
            <w:r>
              <w:rPr>
                <w:b/>
                <w:bCs/>
                <w:i/>
              </w:rPr>
              <w:t>Cattle Industry Compensation Act 1965</w:t>
            </w:r>
            <w:r>
              <w:rPr>
                <w:b/>
                <w:bCs/>
              </w:rPr>
              <w:t xml:space="preserve"> as at 20 Aug 1999</w:t>
            </w:r>
            <w:r>
              <w:t xml:space="preserve"> (includes amendments listed above)</w:t>
            </w:r>
          </w:p>
        </w:tc>
      </w:tr>
      <w:tr>
        <w:trPr>
          <w:cantSplit/>
        </w:trPr>
        <w:tc>
          <w:tcPr>
            <w:tcW w:w="2268" w:type="dxa"/>
          </w:tcPr>
          <w:p>
            <w:pPr>
              <w:pStyle w:val="nTable"/>
              <w:spacing w:after="40"/>
              <w:ind w:right="113"/>
              <w:rPr>
                <w:i/>
              </w:rPr>
            </w:pPr>
            <w:r>
              <w:rPr>
                <w:i/>
              </w:rPr>
              <w:t>Taxation Administration (Consequential Provisions) Act 2002</w:t>
            </w:r>
            <w:r>
              <w:t xml:space="preserve"> s. 9</w:t>
            </w:r>
            <w:r>
              <w:rPr>
                <w:vertAlign w:val="superscript"/>
              </w:rPr>
              <w:t> 5</w:t>
            </w:r>
          </w:p>
        </w:tc>
        <w:tc>
          <w:tcPr>
            <w:tcW w:w="1134" w:type="dxa"/>
          </w:tcPr>
          <w:p>
            <w:pPr>
              <w:pStyle w:val="nTable"/>
              <w:spacing w:after="40"/>
            </w:pPr>
            <w:r>
              <w:t>45 of 2002</w:t>
            </w:r>
          </w:p>
        </w:tc>
        <w:tc>
          <w:tcPr>
            <w:tcW w:w="1134" w:type="dxa"/>
          </w:tcPr>
          <w:p>
            <w:pPr>
              <w:pStyle w:val="nTable"/>
              <w:spacing w:after="40"/>
            </w:pPr>
            <w:r>
              <w:t>20 Mar 2003</w:t>
            </w:r>
          </w:p>
        </w:tc>
        <w:tc>
          <w:tcPr>
            <w:tcW w:w="2552" w:type="dxa"/>
          </w:tcPr>
          <w:p>
            <w:pPr>
              <w:pStyle w:val="nTable"/>
              <w:spacing w:after="40"/>
            </w:pPr>
            <w:r>
              <w:t xml:space="preserve">1 Jul 2003 (see s. 2 and </w:t>
            </w:r>
            <w:r>
              <w:rPr>
                <w:i/>
              </w:rPr>
              <w:t>Gazette</w:t>
            </w:r>
            <w:r>
              <w:t xml:space="preserve"> 27 Jun 2003 p. 2383)</w:t>
            </w:r>
          </w:p>
        </w:tc>
      </w:tr>
      <w:tr>
        <w:trPr>
          <w:cantSplit/>
        </w:trPr>
        <w:tc>
          <w:tcPr>
            <w:tcW w:w="2268" w:type="dxa"/>
          </w:tcPr>
          <w:p>
            <w:pPr>
              <w:pStyle w:val="nTable"/>
              <w:spacing w:after="40"/>
              <w:ind w:right="113"/>
              <w:rPr>
                <w:i/>
              </w:rPr>
            </w:pPr>
            <w:r>
              <w:rPr>
                <w:i/>
              </w:rPr>
              <w:t xml:space="preserve">Sentencing Legislation Amendment and Repeal Act 2003 </w:t>
            </w:r>
            <w:r>
              <w:t>s. 42</w:t>
            </w:r>
          </w:p>
        </w:tc>
        <w:tc>
          <w:tcPr>
            <w:tcW w:w="1134" w:type="dxa"/>
          </w:tcPr>
          <w:p>
            <w:pPr>
              <w:pStyle w:val="nTable"/>
              <w:spacing w:after="40"/>
            </w:pPr>
            <w:r>
              <w:t>50 of 2003</w:t>
            </w:r>
          </w:p>
        </w:tc>
        <w:tc>
          <w:tcPr>
            <w:tcW w:w="1134" w:type="dxa"/>
          </w:tcPr>
          <w:p>
            <w:pPr>
              <w:pStyle w:val="nTable"/>
              <w:spacing w:after="40"/>
            </w:pPr>
            <w:r>
              <w:t>9 Jul 2003</w:t>
            </w:r>
          </w:p>
        </w:tc>
        <w:tc>
          <w:tcPr>
            <w:tcW w:w="2552" w:type="dxa"/>
          </w:tcPr>
          <w:p>
            <w:pPr>
              <w:pStyle w:val="nTable"/>
              <w:spacing w:after="40"/>
              <w:rPr>
                <w:spacing w:val="-2"/>
              </w:rPr>
            </w:pPr>
            <w:r>
              <w:rPr>
                <w:spacing w:val="-2"/>
              </w:rPr>
              <w:t>15</w:t>
            </w:r>
            <w:r>
              <w:rPr>
                <w:i/>
                <w:spacing w:val="-2"/>
              </w:rPr>
              <w:t> </w:t>
            </w:r>
            <w:r>
              <w:rPr>
                <w:spacing w:val="-2"/>
              </w:rPr>
              <w:t>May 2004 (see s. 2 and</w:t>
            </w:r>
            <w:r>
              <w:rPr>
                <w:i/>
                <w:spacing w:val="-2"/>
              </w:rPr>
              <w:t xml:space="preserve"> Gazette </w:t>
            </w:r>
            <w:r>
              <w:rPr>
                <w:spacing w:val="-2"/>
              </w:rPr>
              <w:t>14 May 2004 p. 1445)</w:t>
            </w:r>
          </w:p>
        </w:tc>
      </w:tr>
      <w:tr>
        <w:trPr>
          <w:cantSplit/>
        </w:trPr>
        <w:tc>
          <w:tcPr>
            <w:tcW w:w="2268" w:type="dxa"/>
          </w:tcPr>
          <w:p>
            <w:pPr>
              <w:pStyle w:val="nTable"/>
              <w:spacing w:after="40"/>
              <w:ind w:right="113"/>
            </w:pPr>
            <w:r>
              <w:rPr>
                <w:i/>
              </w:rPr>
              <w:t>Statutes (Repeals and Minor Amendments) Act 2003</w:t>
            </w:r>
            <w:r>
              <w:t xml:space="preserve"> s. 32</w:t>
            </w:r>
          </w:p>
        </w:tc>
        <w:tc>
          <w:tcPr>
            <w:tcW w:w="1134" w:type="dxa"/>
          </w:tcPr>
          <w:p>
            <w:pPr>
              <w:pStyle w:val="nTable"/>
              <w:spacing w:after="40"/>
            </w:pPr>
            <w:r>
              <w:t>74 of 2003</w:t>
            </w:r>
          </w:p>
        </w:tc>
        <w:tc>
          <w:tcPr>
            <w:tcW w:w="1134" w:type="dxa"/>
          </w:tcPr>
          <w:p>
            <w:pPr>
              <w:pStyle w:val="nTable"/>
              <w:spacing w:after="40"/>
            </w:pPr>
            <w:r>
              <w:t>15 Dec 2003</w:t>
            </w:r>
          </w:p>
        </w:tc>
        <w:tc>
          <w:tcPr>
            <w:tcW w:w="2552" w:type="dxa"/>
          </w:tcPr>
          <w:p>
            <w:pPr>
              <w:pStyle w:val="nTable"/>
              <w:spacing w:after="40"/>
            </w:pPr>
            <w:r>
              <w:rPr>
                <w:spacing w:val="-2"/>
              </w:rPr>
              <w:t>15 Dec 2003 (see s. 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rPr>
                <w:spacing w:val="-2"/>
              </w:rPr>
            </w:pPr>
            <w:r>
              <w:t xml:space="preserve">1 May 2005 (see s. 2 and </w:t>
            </w:r>
            <w:r>
              <w:rPr>
                <w:i/>
                <w:iCs/>
              </w:rPr>
              <w:t>Gazette</w:t>
            </w:r>
            <w:r>
              <w:t xml:space="preserve"> 31 Dec 2004 p. 7128)</w:t>
            </w:r>
          </w:p>
        </w:tc>
      </w:tr>
      <w:tr>
        <w:trPr>
          <w:cantSplit/>
        </w:trPr>
        <w:tc>
          <w:tcPr>
            <w:tcW w:w="7088" w:type="dxa"/>
            <w:gridSpan w:val="4"/>
          </w:tcPr>
          <w:p>
            <w:pPr>
              <w:pStyle w:val="nTable"/>
              <w:spacing w:after="40"/>
            </w:pPr>
            <w:r>
              <w:rPr>
                <w:b/>
                <w:bCs/>
              </w:rPr>
              <w:t xml:space="preserve">Reprint 3: The </w:t>
            </w:r>
            <w:r>
              <w:rPr>
                <w:b/>
                <w:bCs/>
                <w:i/>
              </w:rPr>
              <w:t>Cattle Industry Compensation Act 1965</w:t>
            </w:r>
            <w:r>
              <w:rPr>
                <w:b/>
                <w:bCs/>
              </w:rPr>
              <w:t xml:space="preserve"> as at 4 Nov 2005</w:t>
            </w:r>
            <w:r>
              <w:t xml:space="preserve"> (includes amendments listed above)</w:t>
            </w:r>
          </w:p>
        </w:tc>
      </w:tr>
      <w:tr>
        <w:trPr>
          <w:cantSplit/>
        </w:trPr>
        <w:tc>
          <w:tcPr>
            <w:tcW w:w="2268" w:type="dxa"/>
          </w:tcPr>
          <w:p>
            <w:pPr>
              <w:pStyle w:val="nTable"/>
              <w:spacing w:after="40"/>
              <w:ind w:right="113"/>
              <w:rPr>
                <w:i/>
              </w:rPr>
            </w:pPr>
            <w:r>
              <w:rPr>
                <w:i/>
              </w:rPr>
              <w:t>Machinery of Government (Miscellaneous Amendments) Act 2006</w:t>
            </w:r>
            <w:r>
              <w:rPr>
                <w:i/>
                <w:iCs/>
              </w:rPr>
              <w:t xml:space="preserve"> </w:t>
            </w:r>
            <w:r>
              <w:t>Pt. 2 Div. 3</w:t>
            </w:r>
          </w:p>
        </w:tc>
        <w:tc>
          <w:tcPr>
            <w:tcW w:w="1134" w:type="dxa"/>
          </w:tcPr>
          <w:p>
            <w:pPr>
              <w:pStyle w:val="nTable"/>
              <w:spacing w:after="40"/>
            </w:pPr>
            <w:r>
              <w:t>28 of 2006</w:t>
            </w:r>
          </w:p>
        </w:tc>
        <w:tc>
          <w:tcPr>
            <w:tcW w:w="1134" w:type="dxa"/>
          </w:tcPr>
          <w:p>
            <w:pPr>
              <w:pStyle w:val="nTable"/>
              <w:spacing w:after="40"/>
            </w:pPr>
            <w:r>
              <w:t>26 Jun 2006</w:t>
            </w:r>
          </w:p>
        </w:tc>
        <w:tc>
          <w:tcPr>
            <w:tcW w:w="2552" w:type="dxa"/>
          </w:tcPr>
          <w:p>
            <w:pPr>
              <w:pStyle w:val="nTable"/>
              <w:spacing w:after="40"/>
              <w:rPr>
                <w:spacing w:val="-2"/>
              </w:rPr>
            </w:pPr>
            <w:r>
              <w:rPr>
                <w:spacing w:val="-2"/>
              </w:rPr>
              <w:t xml:space="preserve">1 Jul 2006 (see s. 2 and </w:t>
            </w:r>
            <w:r>
              <w:rPr>
                <w:i/>
                <w:iCs/>
                <w:spacing w:val="-2"/>
              </w:rPr>
              <w:t>Gazette</w:t>
            </w:r>
            <w:r>
              <w:rPr>
                <w:spacing w:val="-2"/>
              </w:rPr>
              <w:t xml:space="preserve"> 27 Jun 2006 p. 2347)</w:t>
            </w:r>
          </w:p>
        </w:tc>
      </w:tr>
      <w:tr>
        <w:trPr>
          <w:cantSplit/>
        </w:trPr>
        <w:tc>
          <w:tcPr>
            <w:tcW w:w="2268" w:type="dxa"/>
          </w:tcPr>
          <w:p>
            <w:pPr>
              <w:pStyle w:val="nTable"/>
              <w:spacing w:after="40"/>
              <w:ind w:right="113"/>
              <w:rPr>
                <w:i/>
              </w:rPr>
            </w:pPr>
            <w:r>
              <w:rPr>
                <w:i/>
                <w:snapToGrid w:val="0"/>
              </w:rPr>
              <w:t xml:space="preserve">Financial Legislation Amendment and Repeal Act 2006 </w:t>
            </w:r>
            <w:r>
              <w:rPr>
                <w:iCs/>
                <w:snapToGrid w:val="0"/>
              </w:rPr>
              <w:t>s. 17</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 and </w:t>
            </w:r>
            <w:r>
              <w:rPr>
                <w:i/>
                <w:iCs/>
                <w:snapToGrid w:val="0"/>
              </w:rPr>
              <w:t>Gazette</w:t>
            </w:r>
            <w:r>
              <w:rPr>
                <w:snapToGrid w:val="0"/>
              </w:rPr>
              <w:t xml:space="preserve"> 19 Jan 2007 p. 137)</w:t>
            </w:r>
          </w:p>
        </w:tc>
      </w:tr>
      <w:tr>
        <w:trPr>
          <w:cantSplit/>
        </w:trPr>
        <w:tc>
          <w:tcPr>
            <w:tcW w:w="2268" w:type="dxa"/>
          </w:tcPr>
          <w:p>
            <w:pPr>
              <w:pStyle w:val="nTable"/>
              <w:spacing w:after="40"/>
              <w:ind w:right="113"/>
              <w:rPr>
                <w:i/>
                <w:snapToGrid w:val="0"/>
              </w:rPr>
            </w:pPr>
            <w:r>
              <w:rPr>
                <w:i/>
                <w:snapToGrid w:val="0"/>
              </w:rPr>
              <w:t>Biosecurity and Agriculture Management (Repeal and Consequential Provisions) Act 2007</w:t>
            </w:r>
            <w:r>
              <w:rPr>
                <w:iCs/>
                <w:snapToGrid w:val="0"/>
              </w:rPr>
              <w:t xml:space="preserve"> s. 85(4) </w:t>
            </w:r>
            <w:r>
              <w:rPr>
                <w:iCs/>
                <w:snapToGrid w:val="0"/>
                <w:vertAlign w:val="superscript"/>
              </w:rPr>
              <w:t>6</w:t>
            </w:r>
          </w:p>
        </w:tc>
        <w:tc>
          <w:tcPr>
            <w:tcW w:w="1134" w:type="dxa"/>
          </w:tcPr>
          <w:p>
            <w:pPr>
              <w:pStyle w:val="nTable"/>
              <w:spacing w:after="40"/>
              <w:rPr>
                <w:snapToGrid w:val="0"/>
              </w:rPr>
            </w:pPr>
            <w:r>
              <w:rPr>
                <w:snapToGrid w:val="0"/>
              </w:rPr>
              <w:t>24 of 2007</w:t>
            </w:r>
          </w:p>
        </w:tc>
        <w:tc>
          <w:tcPr>
            <w:tcW w:w="1134" w:type="dxa"/>
          </w:tcPr>
          <w:p>
            <w:pPr>
              <w:pStyle w:val="nTable"/>
              <w:spacing w:after="40"/>
              <w:rPr>
                <w:snapToGrid w:val="0"/>
              </w:rPr>
            </w:pPr>
            <w:r>
              <w:rPr>
                <w:snapToGrid w:val="0"/>
              </w:rPr>
              <w:t>12 Oct 2007</w:t>
            </w:r>
          </w:p>
        </w:tc>
        <w:tc>
          <w:tcPr>
            <w:tcW w:w="2552" w:type="dxa"/>
          </w:tcPr>
          <w:p>
            <w:pPr>
              <w:pStyle w:val="nTable"/>
              <w:spacing w:after="40"/>
              <w:rPr>
                <w:snapToGrid w:val="0"/>
              </w:rPr>
            </w:pPr>
            <w:r>
              <w:rPr>
                <w:snapToGrid w:val="0"/>
              </w:rPr>
              <w:t xml:space="preserve">24 Oct 2007 (see s. 2 and </w:t>
            </w:r>
            <w:r>
              <w:rPr>
                <w:i/>
                <w:iCs/>
                <w:snapToGrid w:val="0"/>
              </w:rPr>
              <w:t>Gazette</w:t>
            </w:r>
            <w:r>
              <w:rPr>
                <w:snapToGrid w:val="0"/>
              </w:rPr>
              <w:t xml:space="preserve"> 23 Oct 2007 p. 5645)</w:t>
            </w:r>
          </w:p>
        </w:tc>
      </w:tr>
      <w:tr>
        <w:trPr>
          <w:cantSplit/>
          <w:ins w:id="341" w:author="svcMRProcess" w:date="2019-06-14T11:11:00Z"/>
        </w:trPr>
        <w:tc>
          <w:tcPr>
            <w:tcW w:w="7088" w:type="dxa"/>
            <w:gridSpan w:val="4"/>
            <w:tcBorders>
              <w:bottom w:val="single" w:sz="4" w:space="0" w:color="auto"/>
            </w:tcBorders>
          </w:tcPr>
          <w:p>
            <w:pPr>
              <w:pStyle w:val="nTable"/>
              <w:spacing w:after="40"/>
              <w:rPr>
                <w:ins w:id="342" w:author="svcMRProcess" w:date="2019-06-14T11:11:00Z"/>
                <w:b/>
                <w:bCs/>
                <w:iCs/>
                <w:snapToGrid w:val="0"/>
                <w:color w:val="FF0000"/>
              </w:rPr>
            </w:pPr>
            <w:ins w:id="343" w:author="svcMRProcess" w:date="2019-06-14T11:11:00Z">
              <w:r>
                <w:rPr>
                  <w:b/>
                  <w:bCs/>
                  <w:snapToGrid w:val="0"/>
                  <w:color w:val="FF0000"/>
                </w:rPr>
                <w:t xml:space="preserve">This Act was repealed by the </w:t>
              </w:r>
              <w:r>
                <w:rPr>
                  <w:b/>
                  <w:bCs/>
                  <w:i/>
                  <w:snapToGrid w:val="0"/>
                  <w:color w:val="FF0000"/>
                </w:rPr>
                <w:t>Biosecurity and Agriculture Management (Repeal and Consequential Provisions) Act 2007</w:t>
              </w:r>
              <w:r>
                <w:rPr>
                  <w:b/>
                  <w:bCs/>
                  <w:iCs/>
                  <w:snapToGrid w:val="0"/>
                  <w:color w:val="FF0000"/>
                </w:rPr>
                <w:t xml:space="preserve"> s. 53 (No. 24 of 2007) as at 14 Aug 2010 (see s. 2(1) and (4) and </w:t>
              </w:r>
              <w:r>
                <w:rPr>
                  <w:b/>
                  <w:bCs/>
                  <w:i/>
                  <w:snapToGrid w:val="0"/>
                  <w:color w:val="FF0000"/>
                </w:rPr>
                <w:t>Gazette</w:t>
              </w:r>
              <w:r>
                <w:rPr>
                  <w:b/>
                  <w:bCs/>
                  <w:iCs/>
                  <w:snapToGrid w:val="0"/>
                  <w:color w:val="FF0000"/>
                </w:rPr>
                <w:t xml:space="preserve"> 13 Aug 2010 p. 4021 and Notice published in </w:t>
              </w:r>
              <w:r>
                <w:rPr>
                  <w:b/>
                  <w:bCs/>
                  <w:i/>
                  <w:snapToGrid w:val="0"/>
                  <w:color w:val="FF0000"/>
                </w:rPr>
                <w:t>Gazette</w:t>
              </w:r>
              <w:r>
                <w:rPr>
                  <w:b/>
                  <w:bCs/>
                  <w:iCs/>
                  <w:snapToGrid w:val="0"/>
                  <w:color w:val="FF0000"/>
                </w:rPr>
                <w:t xml:space="preserve"> 13 Aug 2010 p. 4028)</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44" w:name="_Toc378069696"/>
      <w:bookmarkStart w:id="345" w:name="_Toc425429822"/>
      <w:bookmarkStart w:id="346" w:name="_Toc7405065"/>
      <w:bookmarkStart w:id="347" w:name="_Toc180989382"/>
      <w:r>
        <w:t>Provisions that have not come into operation</w:t>
      </w:r>
      <w:bookmarkEnd w:id="344"/>
      <w:bookmarkEnd w:id="345"/>
      <w:bookmarkEnd w:id="346"/>
      <w:bookmarkEnd w:id="34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bottom w:val="single" w:sz="4" w:space="0" w:color="auto"/>
            </w:tcBorders>
          </w:tcPr>
          <w:p>
            <w:pPr>
              <w:pStyle w:val="nTable"/>
              <w:spacing w:after="40"/>
            </w:pPr>
            <w:r>
              <w:rPr>
                <w:i/>
                <w:snapToGrid w:val="0"/>
              </w:rPr>
              <w:t>Biosecurity and Agriculture Management (Repeal and Consequential Provisions) Act 2007</w:t>
            </w:r>
            <w:r>
              <w:rPr>
                <w:iCs/>
                <w:snapToGrid w:val="0"/>
              </w:rPr>
              <w:t xml:space="preserve"> </w:t>
            </w:r>
            <w:del w:id="348" w:author="svcMRProcess" w:date="2019-06-14T11:11:00Z">
              <w:r>
                <w:rPr>
                  <w:iCs/>
                  <w:snapToGrid w:val="0"/>
                  <w:lang w:val="en-US"/>
                </w:rPr>
                <w:delText xml:space="preserve">s. 53, </w:delText>
              </w:r>
            </w:del>
            <w:r>
              <w:rPr>
                <w:iCs/>
                <w:snapToGrid w:val="0"/>
              </w:rPr>
              <w:t>56</w:t>
            </w:r>
            <w:r>
              <w:rPr>
                <w:iCs/>
                <w:snapToGrid w:val="0"/>
              </w:rPr>
              <w:noBreakHyphen/>
              <w:t>59, 78 and 85(1</w:t>
            </w:r>
            <w:r>
              <w:rPr>
                <w:iCs/>
                <w:snapToGrid w:val="0"/>
              </w:rPr>
              <w:noBreakHyphen/>
              <w:t>3) </w:t>
            </w:r>
            <w:r>
              <w:rPr>
                <w:iCs/>
                <w:snapToGrid w:val="0"/>
                <w:vertAlign w:val="superscript"/>
              </w:rPr>
              <w:t>6</w:t>
            </w:r>
          </w:p>
        </w:tc>
        <w:tc>
          <w:tcPr>
            <w:tcW w:w="1134" w:type="dxa"/>
            <w:tcBorders>
              <w:top w:val="single" w:sz="8" w:space="0" w:color="auto"/>
              <w:bottom w:val="single" w:sz="4" w:space="0" w:color="auto"/>
            </w:tcBorders>
          </w:tcPr>
          <w:p>
            <w:pPr>
              <w:pStyle w:val="nTable"/>
              <w:spacing w:after="40"/>
            </w:pPr>
            <w:r>
              <w:rPr>
                <w:snapToGrid w:val="0"/>
              </w:rPr>
              <w:t>24 of 2007</w:t>
            </w:r>
          </w:p>
        </w:tc>
        <w:tc>
          <w:tcPr>
            <w:tcW w:w="1134" w:type="dxa"/>
            <w:tcBorders>
              <w:top w:val="single" w:sz="8" w:space="0" w:color="auto"/>
              <w:bottom w:val="single" w:sz="4" w:space="0" w:color="auto"/>
            </w:tcBorders>
          </w:tcPr>
          <w:p>
            <w:pPr>
              <w:pStyle w:val="nTable"/>
              <w:spacing w:after="40"/>
            </w:pPr>
            <w:r>
              <w:rPr>
                <w:snapToGrid w:val="0"/>
              </w:rPr>
              <w:t>12 Oct 2007</w:t>
            </w:r>
          </w:p>
        </w:tc>
        <w:tc>
          <w:tcPr>
            <w:tcW w:w="2552" w:type="dxa"/>
            <w:tcBorders>
              <w:top w:val="single" w:sz="8" w:space="0" w:color="auto"/>
              <w:bottom w:val="single" w:sz="4" w:space="0" w:color="auto"/>
            </w:tcBorders>
          </w:tcPr>
          <w:p>
            <w:pPr>
              <w:pStyle w:val="nTable"/>
              <w:spacing w:after="40"/>
            </w:pPr>
            <w:r>
              <w:rPr>
                <w:snapToGrid w:val="0"/>
              </w:rPr>
              <w:t>To be proclaimed (s. 2(2))</w:t>
            </w:r>
          </w:p>
        </w:tc>
      </w:tr>
    </w:tbl>
    <w:p>
      <w:pPr>
        <w:pStyle w:val="nSubsection"/>
      </w:pPr>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pPr>
        <w:pStyle w:val="nSubsection"/>
        <w:keepNext/>
      </w:pPr>
      <w:r>
        <w:rPr>
          <w:vertAlign w:val="superscript"/>
        </w:rPr>
        <w:t>3</w:t>
      </w:r>
      <w:r>
        <w:tab/>
        <w:t>Repealed by this Act, s. 4.</w:t>
      </w:r>
    </w:p>
    <w:p>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pPr>
        <w:pStyle w:val="nSubsection"/>
      </w:pPr>
      <w:r>
        <w:rPr>
          <w:vertAlign w:val="superscript"/>
        </w:rPr>
        <w:t>5</w:t>
      </w:r>
      <w:r>
        <w:tab/>
        <w:t xml:space="preserve">The </w:t>
      </w:r>
      <w:r>
        <w:rPr>
          <w:i/>
        </w:rPr>
        <w:t>Taxation Administration (Consequential Provisions) Act 2002</w:t>
      </w:r>
      <w:r>
        <w:t xml:space="preserve"> s. 3 and 4 and Pt. 4 read as follows:</w:t>
      </w:r>
    </w:p>
    <w:p>
      <w:pPr>
        <w:pStyle w:val="MiscOpen"/>
      </w:pPr>
      <w:r>
        <w:t>“</w:t>
      </w:r>
    </w:p>
    <w:p>
      <w:pPr>
        <w:pStyle w:val="nzHeading5"/>
      </w:pPr>
      <w:bookmarkStart w:id="349" w:name="_Toc528569730"/>
      <w:bookmarkStart w:id="350" w:name="_Toc6163318"/>
      <w:r>
        <w:rPr>
          <w:rStyle w:val="CharSectno"/>
        </w:rPr>
        <w:t>3</w:t>
      </w:r>
      <w:r>
        <w:t>.</w:t>
      </w:r>
      <w:r>
        <w:tab/>
        <w:t>Relationship with other Acts</w:t>
      </w:r>
      <w:bookmarkEnd w:id="349"/>
      <w:bookmarkEnd w:id="350"/>
    </w:p>
    <w:p>
      <w:pPr>
        <w:pStyle w:val="nzSubsection"/>
      </w:pPr>
      <w:r>
        <w:tab/>
      </w:r>
      <w:r>
        <w:tab/>
        <w:t xml:space="preserve">The </w:t>
      </w:r>
      <w:r>
        <w:rPr>
          <w:i/>
        </w:rPr>
        <w:t>Taxation Administration Act 2003</w:t>
      </w:r>
      <w:r>
        <w:t xml:space="preserve"> is to be read with this Act as if they formed a single Act.</w:t>
      </w:r>
    </w:p>
    <w:p>
      <w:pPr>
        <w:pStyle w:val="nzHeading5"/>
      </w:pPr>
      <w:bookmarkStart w:id="351" w:name="_Toc528569731"/>
      <w:bookmarkStart w:id="352" w:name="_Toc6163319"/>
      <w:r>
        <w:rPr>
          <w:rStyle w:val="CharSectno"/>
        </w:rPr>
        <w:t>4</w:t>
      </w:r>
      <w:r>
        <w:t>.</w:t>
      </w:r>
      <w:r>
        <w:tab/>
        <w:t>Meaning of terms used in this Act</w:t>
      </w:r>
      <w:bookmarkEnd w:id="351"/>
      <w:bookmarkEnd w:id="352"/>
    </w:p>
    <w:p>
      <w:pPr>
        <w:pStyle w:val="nzSubsection"/>
      </w:pPr>
      <w:r>
        <w:tab/>
      </w:r>
      <w:bookmarkStart w:id="353" w:name="_Hlt528057531"/>
      <w:bookmarkEnd w:id="353"/>
      <w:r>
        <w:tab/>
        <w:t xml:space="preserve">The Glossary at the end of the </w:t>
      </w:r>
      <w:r>
        <w:rPr>
          <w:i/>
        </w:rPr>
        <w:t xml:space="preserve">Taxation Administration Act 2003 </w:t>
      </w:r>
      <w:r>
        <w:t>defines or affects the meaning of some of the words and expressions used in this Act and also affects the operation of other provisions.</w:t>
      </w:r>
    </w:p>
    <w:p>
      <w:pPr>
        <w:pStyle w:val="nzHeading2"/>
      </w:pPr>
      <w:r>
        <w:rPr>
          <w:rStyle w:val="CharPartNo"/>
        </w:rPr>
        <w:t>Part 4</w:t>
      </w:r>
      <w:r>
        <w:t xml:space="preserve"> — </w:t>
      </w:r>
      <w:r>
        <w:rPr>
          <w:rStyle w:val="CharPartText"/>
        </w:rPr>
        <w:t>Transitional provisions</w:t>
      </w:r>
    </w:p>
    <w:p>
      <w:pPr>
        <w:pStyle w:val="nzHeading3"/>
      </w:pPr>
      <w:r>
        <w:rPr>
          <w:rStyle w:val="CharDivNo"/>
        </w:rPr>
        <w:t>Division 1</w:t>
      </w:r>
      <w:r>
        <w:t xml:space="preserve"> — </w:t>
      </w:r>
      <w:r>
        <w:rPr>
          <w:rStyle w:val="CharDivText"/>
        </w:rPr>
        <w:t>Interpretation</w:t>
      </w:r>
    </w:p>
    <w:p>
      <w:pPr>
        <w:pStyle w:val="nzHeading5"/>
      </w:pPr>
      <w:bookmarkStart w:id="354" w:name="_Hlt529933443"/>
      <w:bookmarkStart w:id="355" w:name="_Hlt529932130"/>
      <w:bookmarkStart w:id="356" w:name="_Hlt523729657"/>
      <w:bookmarkStart w:id="357" w:name="_Hlt523729676"/>
      <w:bookmarkStart w:id="358" w:name="_Hlt523729726"/>
      <w:bookmarkStart w:id="359" w:name="_Toc6163348"/>
      <w:bookmarkEnd w:id="354"/>
      <w:bookmarkEnd w:id="355"/>
      <w:bookmarkEnd w:id="356"/>
      <w:bookmarkEnd w:id="357"/>
      <w:bookmarkEnd w:id="358"/>
      <w:r>
        <w:rPr>
          <w:rStyle w:val="CharSectno"/>
        </w:rPr>
        <w:t>33</w:t>
      </w:r>
      <w:r>
        <w:t>.</w:t>
      </w:r>
      <w:r>
        <w:tab/>
        <w:t>Definitions</w:t>
      </w:r>
      <w:bookmarkEnd w:id="359"/>
    </w:p>
    <w:p>
      <w:pPr>
        <w:pStyle w:val="nzSubsection"/>
      </w:pPr>
      <w:r>
        <w:tab/>
      </w:r>
      <w:r>
        <w:tab/>
        <w:t>In this Part —</w:t>
      </w:r>
    </w:p>
    <w:p>
      <w:pPr>
        <w:pStyle w:val="nzDefstart"/>
      </w:pPr>
      <w:r>
        <w:tab/>
      </w:r>
      <w:r>
        <w:rPr>
          <w:rStyle w:val="CharDefText"/>
        </w:rPr>
        <w:t>commencement day</w:t>
      </w:r>
      <w:r>
        <w:t xml:space="preserve"> means the day on which the </w:t>
      </w:r>
      <w:r>
        <w:rPr>
          <w:i/>
        </w:rPr>
        <w:t>Taxation Administration Act 2003</w:t>
      </w:r>
      <w:r>
        <w:t xml:space="preserve"> comes into operation;</w:t>
      </w:r>
    </w:p>
    <w:p>
      <w:pPr>
        <w:pStyle w:val="nzDefstart"/>
      </w:pPr>
      <w:r>
        <w:tab/>
      </w:r>
      <w:r>
        <w:rPr>
          <w:rStyle w:val="CharDefText"/>
        </w:rPr>
        <w:t>old Act</w:t>
      </w:r>
      <w:r>
        <w:t xml:space="preserve"> means —</w:t>
      </w:r>
    </w:p>
    <w:p>
      <w:pPr>
        <w:pStyle w:val="nzDefpara"/>
      </w:pPr>
      <w:r>
        <w:tab/>
        <w:t>(a)</w:t>
      </w:r>
      <w:r>
        <w:tab/>
        <w:t>an Act repealed by section 5;</w:t>
      </w:r>
    </w:p>
    <w:p>
      <w:pPr>
        <w:pStyle w:val="nzDefpara"/>
      </w:pPr>
      <w:r>
        <w:tab/>
        <w:t>(b)</w:t>
      </w:r>
      <w:r>
        <w:tab/>
        <w:t>the old Stamp Act; or</w:t>
      </w:r>
    </w:p>
    <w:p>
      <w:pPr>
        <w:pStyle w:val="nzDefpara"/>
      </w:pPr>
      <w:r>
        <w:tab/>
        <w:t>(c)</w:t>
      </w:r>
      <w:r>
        <w:tab/>
        <w:t xml:space="preserve">section 41 of the </w:t>
      </w:r>
      <w:r>
        <w:rPr>
          <w:i/>
        </w:rPr>
        <w:t>Metropolitan Region Town Planning Scheme Act 1959</w:t>
      </w:r>
      <w:r>
        <w:t xml:space="preserve"> as in force immediately before the commencement day;</w:t>
      </w:r>
    </w:p>
    <w:p>
      <w:pPr>
        <w:pStyle w:val="nzDefstart"/>
      </w:pPr>
      <w:r>
        <w:tab/>
      </w:r>
      <w:r>
        <w:rPr>
          <w:rStyle w:val="CharDefText"/>
        </w:rPr>
        <w:t>old Stamp Act</w:t>
      </w:r>
      <w:r>
        <w:t xml:space="preserve"> means the </w:t>
      </w:r>
      <w:r>
        <w:rPr>
          <w:i/>
        </w:rPr>
        <w:t>Stamp Act 1921</w:t>
      </w:r>
      <w:r>
        <w:t xml:space="preserve"> as in force immediately before the commencement day;</w:t>
      </w:r>
    </w:p>
    <w:p>
      <w:pPr>
        <w:pStyle w:val="nzDefstart"/>
      </w:pPr>
      <w:r>
        <w:tab/>
      </w:r>
      <w:r>
        <w:rPr>
          <w:rStyle w:val="CharDefText"/>
        </w:rPr>
        <w:t>substantive provisions</w:t>
      </w:r>
      <w:r>
        <w:t xml:space="preserve">, in relation to an old Act, means the provisions of the old Act other than those dealing with matters dealt with in the </w:t>
      </w:r>
      <w:r>
        <w:rPr>
          <w:i/>
        </w:rPr>
        <w:t>Taxation Administration Act 2003</w:t>
      </w:r>
      <w:r>
        <w:t>.</w:t>
      </w:r>
    </w:p>
    <w:p>
      <w:pPr>
        <w:pStyle w:val="nzHeading3"/>
      </w:pPr>
      <w:r>
        <w:rPr>
          <w:rStyle w:val="CharDivNo"/>
        </w:rPr>
        <w:t>Division 2</w:t>
      </w:r>
      <w:r>
        <w:t xml:space="preserve"> — </w:t>
      </w:r>
      <w:r>
        <w:rPr>
          <w:rStyle w:val="CharDivText"/>
        </w:rPr>
        <w:t>General transitional provisions</w:t>
      </w:r>
    </w:p>
    <w:p>
      <w:pPr>
        <w:pStyle w:val="nzHeading5"/>
      </w:pPr>
      <w:bookmarkStart w:id="360" w:name="_Toc6163349"/>
      <w:r>
        <w:rPr>
          <w:rStyle w:val="CharSectno"/>
        </w:rPr>
        <w:t>34</w:t>
      </w:r>
      <w:r>
        <w:t>.</w:t>
      </w:r>
      <w:r>
        <w:tab/>
        <w:t>General transitional arrangements</w:t>
      </w:r>
      <w:bookmarkEnd w:id="360"/>
    </w:p>
    <w:p>
      <w:pPr>
        <w:pStyle w:val="nzSubsection"/>
      </w:pPr>
      <w:r>
        <w:tab/>
        <w:t>(1)</w:t>
      </w:r>
      <w:r>
        <w:tab/>
        <w:t xml:space="preserve">Section 37(1) of the </w:t>
      </w:r>
      <w:r>
        <w:rPr>
          <w:i/>
        </w:rPr>
        <w:t>Interpretation Act 1984</w:t>
      </w:r>
      <w:r>
        <w:t>, except paragraphs (a) and (b), does not apply in relation to the repeal of an old Act.</w:t>
      </w:r>
    </w:p>
    <w:p>
      <w:pPr>
        <w:pStyle w:val="nzSubsection"/>
      </w:pPr>
      <w:r>
        <w:tab/>
        <w:t>(2)</w:t>
      </w:r>
      <w:r>
        <w:tab/>
        <w:t>The repeal of an old Act does not, unless the contrary intention appears —</w:t>
      </w:r>
    </w:p>
    <w:p>
      <w:pPr>
        <w:pStyle w:val="nzIndenta"/>
      </w:pPr>
      <w:r>
        <w:tab/>
        <w:t>(a)</w:t>
      </w:r>
      <w:r>
        <w:tab/>
        <w:t>affect any right, interest, title, power or privilege created, acquired, accrued, established or exercisable or any status or capacity existing prior to the repeal;</w:t>
      </w:r>
    </w:p>
    <w:p>
      <w:pPr>
        <w:pStyle w:val="nzIndenta"/>
      </w:pPr>
      <w:r>
        <w:tab/>
        <w:t>(b)</w:t>
      </w:r>
      <w:r>
        <w:tab/>
        <w:t>affect any duty, obligation, liability, or burden of proof imposed, created, or incurred prior to the repeal;</w:t>
      </w:r>
    </w:p>
    <w:p>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pPr>
        <w:pStyle w:val="nzIndenta"/>
      </w:pPr>
      <w:r>
        <w:tab/>
        <w:t>(d)</w:t>
      </w:r>
      <w:r>
        <w:tab/>
        <w:t>affect any investigation, legal proceeding or remedy in respect of any such right, interest, title, power, privilege, status, capacity, duty, obligation, liability, burden of proof, penalty or forfeiture.</w:t>
      </w:r>
    </w:p>
    <w:p>
      <w:pPr>
        <w:pStyle w:val="nzSubsection"/>
      </w:pPr>
      <w:r>
        <w:tab/>
        <w:t>(3)</w:t>
      </w:r>
      <w:r>
        <w:tab/>
        <w:t>Subject to subsections (4) and (5) —</w:t>
      </w:r>
    </w:p>
    <w:p>
      <w:pPr>
        <w:pStyle w:val="nzIndenta"/>
      </w:pPr>
      <w:r>
        <w:tab/>
        <w:t>(a)</w:t>
      </w:r>
      <w:r>
        <w:tab/>
        <w:t>a right, interest, title, power, privilege, duty, obligation, liability or burden of proof referred to in subsection (2)(a) or (b) may be exercised or enforced;</w:t>
      </w:r>
    </w:p>
    <w:p>
      <w:pPr>
        <w:pStyle w:val="nzIndenta"/>
      </w:pPr>
      <w:r>
        <w:tab/>
        <w:t>(b)</w:t>
      </w:r>
      <w:r>
        <w:tab/>
        <w:t>a penalty or forfeiture referred to in subsection (2)(c) may be imposed and enforced; and</w:t>
      </w:r>
    </w:p>
    <w:p>
      <w:pPr>
        <w:pStyle w:val="nzIndenta"/>
      </w:pPr>
      <w:r>
        <w:tab/>
        <w:t>(c)</w:t>
      </w:r>
      <w:r>
        <w:tab/>
        <w:t>an investigation, legal proceeding or remedy referred to in subsection (2)(d) may be instituted, continued, or enforced,</w:t>
      </w:r>
    </w:p>
    <w:p>
      <w:pPr>
        <w:pStyle w:val="nzSubsection"/>
      </w:pPr>
      <w:r>
        <w:tab/>
      </w:r>
      <w:r>
        <w:tab/>
        <w:t>as if the substantive provisions of the relevant old Act —</w:t>
      </w:r>
    </w:p>
    <w:p>
      <w:pPr>
        <w:pStyle w:val="nzIndenta"/>
      </w:pPr>
      <w:r>
        <w:tab/>
        <w:t>(d)</w:t>
      </w:r>
      <w:r>
        <w:tab/>
        <w:t>had not been repealed;</w:t>
      </w:r>
    </w:p>
    <w:p>
      <w:pPr>
        <w:pStyle w:val="nzIndenta"/>
      </w:pPr>
      <w:r>
        <w:tab/>
        <w:t>(e)</w:t>
      </w:r>
      <w:r>
        <w:tab/>
        <w:t xml:space="preserve">were a taxation Act for the purposes of the </w:t>
      </w:r>
      <w:r>
        <w:rPr>
          <w:i/>
        </w:rPr>
        <w:t>Taxation Administration Act 2003</w:t>
      </w:r>
      <w:r>
        <w:t>; and</w:t>
      </w:r>
    </w:p>
    <w:p>
      <w:pPr>
        <w:pStyle w:val="nzIndenta"/>
      </w:pPr>
      <w:r>
        <w:tab/>
        <w:t>(f)</w:t>
      </w:r>
      <w:r>
        <w:tab/>
        <w:t>had been amended to make any modifications necessary for this section to have effect.</w:t>
      </w:r>
    </w:p>
    <w:p>
      <w:pPr>
        <w:pStyle w:val="nzSubsection"/>
      </w:pPr>
      <w:r>
        <w:tab/>
        <w:t>(4)</w:t>
      </w:r>
      <w:r>
        <w:tab/>
        <w:t xml:space="preserve">If an objection, appeal or other legal proceeding (the </w:t>
      </w:r>
      <w:r>
        <w:rPr>
          <w:rStyle w:val="CharDefText"/>
        </w:rPr>
        <w:t>action</w:t>
      </w:r>
      <w:r>
        <w:t>) was instituted under an old Act and was not finally determined before the commencement day —</w:t>
      </w:r>
    </w:p>
    <w:p>
      <w:pPr>
        <w:pStyle w:val="nzIndenta"/>
      </w:pPr>
      <w:r>
        <w:tab/>
        <w:t>(a)</w:t>
      </w:r>
      <w:r>
        <w:tab/>
        <w:t>the action may be continued;</w:t>
      </w:r>
    </w:p>
    <w:p>
      <w:pPr>
        <w:pStyle w:val="nzIndenta"/>
      </w:pPr>
      <w:r>
        <w:tab/>
        <w:t>(b)</w:t>
      </w:r>
      <w:r>
        <w:tab/>
        <w:t>any requirement to pay interest on an amount of tax determined in the action to have been overpaid applies and may be enforced;</w:t>
      </w:r>
    </w:p>
    <w:p>
      <w:pPr>
        <w:pStyle w:val="nzIndenta"/>
      </w:pPr>
      <w:r>
        <w:tab/>
        <w:t>(c)</w:t>
      </w:r>
      <w:r>
        <w:tab/>
        <w:t>any penalty may be imposed and enforced; and</w:t>
      </w:r>
    </w:p>
    <w:p>
      <w:pPr>
        <w:pStyle w:val="nzIndenta"/>
      </w:pPr>
      <w:r>
        <w:tab/>
        <w:t>(d)</w:t>
      </w:r>
      <w:r>
        <w:tab/>
        <w:t>any decision, order or determination made in the action has effect, and may be enforced,</w:t>
      </w:r>
    </w:p>
    <w:p>
      <w:pPr>
        <w:pStyle w:val="nzSubsection"/>
      </w:pPr>
      <w:r>
        <w:tab/>
      </w:r>
      <w:r>
        <w:tab/>
        <w:t>as if this Act and the taxation Acts had not commenced.</w:t>
      </w:r>
    </w:p>
    <w:p>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pPr>
        <w:pStyle w:val="nzHeading5"/>
      </w:pPr>
      <w:bookmarkStart w:id="361" w:name="_Toc6163350"/>
      <w:r>
        <w:rPr>
          <w:rStyle w:val="CharSectno"/>
        </w:rPr>
        <w:t>35</w:t>
      </w:r>
      <w:r>
        <w:t>.</w:t>
      </w:r>
      <w:r>
        <w:tab/>
        <w:t>Commissioner not to increase tax liability</w:t>
      </w:r>
      <w:bookmarkEnd w:id="361"/>
    </w:p>
    <w:p>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pPr>
      <w:bookmarkStart w:id="362" w:name="_Toc6163351"/>
      <w:r>
        <w:rPr>
          <w:rStyle w:val="CharSectno"/>
        </w:rPr>
        <w:t>36</w:t>
      </w:r>
      <w:r>
        <w:t>.</w:t>
      </w:r>
      <w:r>
        <w:tab/>
        <w:t>Delegations</w:t>
      </w:r>
      <w:bookmarkEnd w:id="362"/>
    </w:p>
    <w:p>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pPr>
        <w:pStyle w:val="nzHeading3"/>
      </w:pPr>
      <w:r>
        <w:rPr>
          <w:rStyle w:val="CharDivNo"/>
        </w:rPr>
        <w:t>Division 3</w:t>
      </w:r>
      <w:r>
        <w:t xml:space="preserve"> — </w:t>
      </w:r>
      <w:r>
        <w:rPr>
          <w:rStyle w:val="CharDivText"/>
        </w:rPr>
        <w:t>Debits tax</w:t>
      </w:r>
    </w:p>
    <w:p>
      <w:pPr>
        <w:pStyle w:val="nzHeading5"/>
      </w:pPr>
      <w:bookmarkStart w:id="363" w:name="_Toc527966629"/>
      <w:bookmarkStart w:id="364" w:name="_Toc6163352"/>
      <w:r>
        <w:rPr>
          <w:rStyle w:val="CharSectno"/>
        </w:rPr>
        <w:t>37</w:t>
      </w:r>
      <w:r>
        <w:t>.</w:t>
      </w:r>
      <w:r>
        <w:tab/>
        <w:t>Certificates of exemption from tax (</w:t>
      </w:r>
      <w:r>
        <w:rPr>
          <w:i/>
        </w:rPr>
        <w:t>Debits Tax Assessment Act 1990</w:t>
      </w:r>
      <w:r>
        <w:t>, s. 11)</w:t>
      </w:r>
      <w:bookmarkEnd w:id="363"/>
      <w:bookmarkEnd w:id="364"/>
    </w:p>
    <w:p>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pPr>
        <w:pStyle w:val="nzIndenta"/>
      </w:pPr>
      <w:r>
        <w:tab/>
        <w:t>(a)</w:t>
      </w:r>
      <w:r>
        <w:tab/>
        <w:t>if the financial institution has recovered the amount of the debits tax paid on the debit from the customer — the date on which that amount was recovered; or</w:t>
      </w:r>
    </w:p>
    <w:p>
      <w:pPr>
        <w:pStyle w:val="nzIndenta"/>
      </w:pPr>
      <w:r>
        <w:tab/>
        <w:t>(b)</w:t>
      </w:r>
      <w:r>
        <w:tab/>
        <w:t>otherwise — the date on which the debits tax on the debits was paid.</w:t>
      </w:r>
    </w:p>
    <w:p>
      <w:pPr>
        <w:pStyle w:val="nzHeading3"/>
      </w:pPr>
      <w:r>
        <w:rPr>
          <w:rStyle w:val="CharDivNo"/>
        </w:rPr>
        <w:t>Division 4</w:t>
      </w:r>
      <w:r>
        <w:t xml:space="preserve"> — </w:t>
      </w:r>
      <w:r>
        <w:rPr>
          <w:rStyle w:val="CharDivText"/>
        </w:rPr>
        <w:t>Land tax</w:t>
      </w:r>
    </w:p>
    <w:p>
      <w:pPr>
        <w:pStyle w:val="nzHeading5"/>
      </w:pPr>
      <w:bookmarkStart w:id="365" w:name="_Toc6163353"/>
      <w:r>
        <w:rPr>
          <w:rStyle w:val="CharSectno"/>
        </w:rPr>
        <w:t>38</w:t>
      </w:r>
      <w:r>
        <w:t>.</w:t>
      </w:r>
      <w:r>
        <w:tab/>
        <w:t>Exemptions for certain home unit owners (</w:t>
      </w:r>
      <w:r>
        <w:rPr>
          <w:i/>
        </w:rPr>
        <w:t>Land Tax Assessment Act 1976</w:t>
      </w:r>
      <w:r>
        <w:t>, s. 19)</w:t>
      </w:r>
      <w:bookmarkEnd w:id="365"/>
    </w:p>
    <w:p>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pPr>
        <w:pStyle w:val="nzHeading5"/>
      </w:pPr>
      <w:bookmarkStart w:id="366" w:name="_Toc6163354"/>
      <w:r>
        <w:rPr>
          <w:rStyle w:val="CharSectno"/>
        </w:rPr>
        <w:t>39</w:t>
      </w:r>
      <w:r>
        <w:t>.</w:t>
      </w:r>
      <w:r>
        <w:tab/>
        <w:t>Inner city residential property rebate (</w:t>
      </w:r>
      <w:r>
        <w:rPr>
          <w:i/>
        </w:rPr>
        <w:t>Land Tax Assessment Act 1976</w:t>
      </w:r>
      <w:r>
        <w:t>, s. 23AB)</w:t>
      </w:r>
      <w:bookmarkEnd w:id="366"/>
    </w:p>
    <w:p>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pPr>
        <w:pStyle w:val="nzHeading5"/>
      </w:pPr>
      <w:bookmarkStart w:id="367" w:name="_Toc6163355"/>
      <w:r>
        <w:rPr>
          <w:rStyle w:val="CharSectno"/>
        </w:rPr>
        <w:t>40</w:t>
      </w:r>
      <w:r>
        <w:t>.</w:t>
      </w:r>
      <w:r>
        <w:tab/>
        <w:t>Land tax relief Acts</w:t>
      </w:r>
      <w:bookmarkEnd w:id="367"/>
    </w:p>
    <w:p>
      <w:pPr>
        <w:pStyle w:val="nzSubsection"/>
      </w:pPr>
      <w:r>
        <w:tab/>
      </w:r>
      <w:r>
        <w:tab/>
        <w:t>Despite —</w:t>
      </w:r>
    </w:p>
    <w:p>
      <w:pPr>
        <w:pStyle w:val="nzIndenta"/>
      </w:pPr>
      <w:r>
        <w:tab/>
        <w:t>(a)</w:t>
      </w:r>
      <w:r>
        <w:tab/>
        <w:t xml:space="preserve">the repeal of the </w:t>
      </w:r>
      <w:r>
        <w:rPr>
          <w:i/>
        </w:rPr>
        <w:t xml:space="preserve">Land Tax Assessment Act 1976 </w:t>
      </w:r>
      <w:r>
        <w:t xml:space="preserve">and </w:t>
      </w:r>
      <w:r>
        <w:rPr>
          <w:i/>
        </w:rPr>
        <w:t>Land Tax Act 1976</w:t>
      </w:r>
      <w:r>
        <w:t>; and</w:t>
      </w:r>
    </w:p>
    <w:p>
      <w:pPr>
        <w:pStyle w:val="nzIndenta"/>
      </w:pPr>
      <w:r>
        <w:tab/>
        <w:t>(b)</w:t>
      </w:r>
      <w:r>
        <w:tab/>
        <w:t xml:space="preserve">the amendment of section 41 of the </w:t>
      </w:r>
      <w:r>
        <w:rPr>
          <w:i/>
        </w:rPr>
        <w:t>Metropolitan Region Town Planning Scheme Act 1959</w:t>
      </w:r>
      <w:r>
        <w:t>,</w:t>
      </w:r>
    </w:p>
    <w:p>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pPr>
        <w:pStyle w:val="nzIndenta"/>
      </w:pPr>
      <w:r>
        <w:tab/>
        <w:t>(c)</w:t>
      </w:r>
      <w:r>
        <w:tab/>
        <w:t>had not been repealed;</w:t>
      </w:r>
    </w:p>
    <w:p>
      <w:pPr>
        <w:pStyle w:val="nzIndenta"/>
      </w:pPr>
      <w:r>
        <w:tab/>
        <w:t>(d)</w:t>
      </w:r>
      <w:r>
        <w:tab/>
        <w:t xml:space="preserve">were a taxation Act for the purposes of the </w:t>
      </w:r>
      <w:r>
        <w:rPr>
          <w:i/>
        </w:rPr>
        <w:t>Taxation Administration Act 2003</w:t>
      </w:r>
      <w:r>
        <w:t>; and</w:t>
      </w:r>
    </w:p>
    <w:p>
      <w:pPr>
        <w:pStyle w:val="nzIndenta"/>
      </w:pPr>
      <w:r>
        <w:tab/>
        <w:t>(e)</w:t>
      </w:r>
      <w:r>
        <w:tab/>
        <w:t>had been amended to make any modifications necessary for this section to have effect.</w:t>
      </w:r>
    </w:p>
    <w:p>
      <w:pPr>
        <w:pStyle w:val="nzHeading3"/>
      </w:pPr>
      <w:r>
        <w:rPr>
          <w:rStyle w:val="CharDivNo"/>
        </w:rPr>
        <w:t>Division 5</w:t>
      </w:r>
      <w:r>
        <w:t xml:space="preserve"> — </w:t>
      </w:r>
      <w:r>
        <w:rPr>
          <w:rStyle w:val="CharDivText"/>
        </w:rPr>
        <w:t>Pay</w:t>
      </w:r>
      <w:r>
        <w:rPr>
          <w:rStyle w:val="CharDivText"/>
        </w:rPr>
        <w:noBreakHyphen/>
        <w:t>roll tax</w:t>
      </w:r>
    </w:p>
    <w:p>
      <w:pPr>
        <w:pStyle w:val="nzHeading5"/>
      </w:pPr>
      <w:bookmarkStart w:id="368" w:name="_Toc6163356"/>
      <w:r>
        <w:rPr>
          <w:rStyle w:val="CharSectno"/>
        </w:rPr>
        <w:t>41</w:t>
      </w:r>
      <w:r>
        <w:t>.</w:t>
      </w:r>
      <w:r>
        <w:tab/>
        <w:t>Treatment of certain contributions (</w:t>
      </w:r>
      <w:r>
        <w:rPr>
          <w:i/>
        </w:rPr>
        <w:t>Pay</w:t>
      </w:r>
      <w:r>
        <w:rPr>
          <w:i/>
        </w:rPr>
        <w:noBreakHyphen/>
        <w:t>roll Tax Assessment Act 1971</w:t>
      </w:r>
      <w:r>
        <w:t>, Sch. 2 cl. 5)</w:t>
      </w:r>
      <w:bookmarkEnd w:id="368"/>
    </w:p>
    <w:p>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pPr>
        <w:pStyle w:val="nzHeading5"/>
      </w:pPr>
      <w:bookmarkStart w:id="369" w:name="_Toc6163357"/>
      <w:r>
        <w:rPr>
          <w:rStyle w:val="CharSectno"/>
        </w:rPr>
        <w:t>42</w:t>
      </w:r>
      <w:r>
        <w:t>.</w:t>
      </w:r>
      <w:r>
        <w:tab/>
        <w:t>Reassessments and refunds (</w:t>
      </w:r>
      <w:r>
        <w:rPr>
          <w:i/>
        </w:rPr>
        <w:t>Pay</w:t>
      </w:r>
      <w:r>
        <w:rPr>
          <w:i/>
        </w:rPr>
        <w:noBreakHyphen/>
        <w:t>roll Tax Assessment Act 1971</w:t>
      </w:r>
      <w:r>
        <w:t>, s. 19)</w:t>
      </w:r>
      <w:bookmarkEnd w:id="369"/>
    </w:p>
    <w:p>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pPr>
        <w:pStyle w:val="nzHeading3"/>
      </w:pPr>
      <w:r>
        <w:rPr>
          <w:rStyle w:val="CharDivNo"/>
        </w:rPr>
        <w:t>Division 6</w:t>
      </w:r>
      <w:r>
        <w:t xml:space="preserve"> — </w:t>
      </w:r>
      <w:r>
        <w:rPr>
          <w:rStyle w:val="CharDivText"/>
        </w:rPr>
        <w:t>Stamp duty</w:t>
      </w:r>
    </w:p>
    <w:p>
      <w:pPr>
        <w:pStyle w:val="nzHeading5"/>
      </w:pPr>
      <w:bookmarkStart w:id="370" w:name="_Toc6163358"/>
      <w:r>
        <w:rPr>
          <w:rStyle w:val="CharSectno"/>
        </w:rPr>
        <w:t>43</w:t>
      </w:r>
      <w:r>
        <w:t>.</w:t>
      </w:r>
      <w:r>
        <w:tab/>
        <w:t>Adhesive stamps (</w:t>
      </w:r>
      <w:r>
        <w:rPr>
          <w:i/>
        </w:rPr>
        <w:t>Stamp Act 1921</w:t>
      </w:r>
      <w:r>
        <w:t>, s. 15, 21 and 23)</w:t>
      </w:r>
      <w:bookmarkEnd w:id="370"/>
    </w:p>
    <w:p>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pPr>
        <w:pStyle w:val="nzHeading5"/>
      </w:pPr>
      <w:bookmarkStart w:id="371" w:name="_Toc6163359"/>
      <w:r>
        <w:rPr>
          <w:rStyle w:val="CharSectno"/>
        </w:rPr>
        <w:t>44</w:t>
      </w:r>
      <w:r>
        <w:t>.</w:t>
      </w:r>
      <w:r>
        <w:tab/>
        <w:t>Printing of “Stamp Duty Paid” on cheques (</w:t>
      </w:r>
      <w:r>
        <w:rPr>
          <w:i/>
        </w:rPr>
        <w:t xml:space="preserve">Stamp Act 1921, </w:t>
      </w:r>
      <w:r>
        <w:t>s. 52)</w:t>
      </w:r>
      <w:bookmarkEnd w:id="371"/>
    </w:p>
    <w:p>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pPr>
        <w:pStyle w:val="nzHeading5"/>
      </w:pPr>
      <w:bookmarkStart w:id="372" w:name="_Toc6163360"/>
      <w:r>
        <w:rPr>
          <w:rStyle w:val="CharSectno"/>
        </w:rPr>
        <w:t>45</w:t>
      </w:r>
      <w:r>
        <w:t>.</w:t>
      </w:r>
      <w:r>
        <w:tab/>
        <w:t>First home owners — reassessment (</w:t>
      </w:r>
      <w:r>
        <w:rPr>
          <w:i/>
        </w:rPr>
        <w:t>Stamp Act 1921</w:t>
      </w:r>
      <w:r>
        <w:rPr>
          <w:iCs/>
        </w:rPr>
        <w:t xml:space="preserve">, </w:t>
      </w:r>
      <w:r>
        <w:t>s. 75AG)</w:t>
      </w:r>
      <w:bookmarkEnd w:id="372"/>
    </w:p>
    <w:p>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pPr>
      <w:bookmarkStart w:id="373"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373"/>
    </w:p>
    <w:p>
      <w:pPr>
        <w:pStyle w:val="nzSubsection"/>
      </w:pPr>
      <w:r>
        <w:tab/>
        <w:t>(1)</w:t>
      </w:r>
      <w:r>
        <w:tab/>
        <w:t>This section applies in relation to a grant or transfer of a licence that occurred before the commencement day.</w:t>
      </w:r>
    </w:p>
    <w:p>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pPr>
        <w:pStyle w:val="nzIndenta"/>
      </w:pPr>
      <w:r>
        <w:tab/>
        <w:t>(a)</w:t>
      </w:r>
      <w:r>
        <w:tab/>
        <w:t xml:space="preserve">in the case of a grant — no vehicle licence fee was payable under the </w:t>
      </w:r>
      <w:r>
        <w:rPr>
          <w:i/>
        </w:rPr>
        <w:t xml:space="preserve">Road Traffic Act 1974 </w:t>
      </w:r>
      <w:r>
        <w:t>in respect of the licence; or</w:t>
      </w:r>
    </w:p>
    <w:p>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pPr>
        <w:pStyle w:val="nzSubsection"/>
      </w:pPr>
      <w:r>
        <w:tab/>
      </w:r>
      <w:r>
        <w:tab/>
        <w:t>cannot be made more than 15 months after the licence was granted or transferred.</w:t>
      </w:r>
    </w:p>
    <w:p>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pPr>
      <w:bookmarkStart w:id="374"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374"/>
    </w:p>
    <w:p>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nzHeading5"/>
      </w:pPr>
      <w:bookmarkStart w:id="375" w:name="_Toc6163363"/>
      <w:r>
        <w:rPr>
          <w:rStyle w:val="CharSectno"/>
        </w:rPr>
        <w:t>48</w:t>
      </w:r>
      <w:r>
        <w:t>.</w:t>
      </w:r>
      <w:r>
        <w:tab/>
        <w:t>Workers’ compensation insurance (</w:t>
      </w:r>
      <w:r>
        <w:rPr>
          <w:i/>
        </w:rPr>
        <w:t>Stamp Act 1921</w:t>
      </w:r>
      <w:r>
        <w:t>, s. 97 and item 16 of the Second Schedule)</w:t>
      </w:r>
      <w:bookmarkEnd w:id="375"/>
    </w:p>
    <w:p>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pPr>
      <w:r>
        <w:tab/>
        <w:t>(2)</w:t>
      </w:r>
      <w:r>
        <w:tab/>
        <w:t xml:space="preserve">Despite the amendment of Schedule 2 item 16(1)(a) of the </w:t>
      </w:r>
      <w:r>
        <w:rPr>
          <w:i/>
        </w:rPr>
        <w:t>Stamp Act 1921</w:t>
      </w:r>
      <w:r>
        <w:t>, on and for 12 months after the commencement day —</w:t>
      </w:r>
    </w:p>
    <w:p>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pPr>
        <w:pStyle w:val="nzHeading5"/>
      </w:pPr>
      <w:bookmarkStart w:id="376" w:name="_Toc6163364"/>
      <w:r>
        <w:rPr>
          <w:rStyle w:val="CharSectno"/>
        </w:rPr>
        <w:t>49</w:t>
      </w:r>
      <w:r>
        <w:t>.</w:t>
      </w:r>
      <w:r>
        <w:tab/>
        <w:t>Payment of duty by returns (</w:t>
      </w:r>
      <w:r>
        <w:rPr>
          <w:i/>
        </w:rPr>
        <w:t>Stamp Act 1921</w:t>
      </w:r>
      <w:r>
        <w:t>, s. 112V)</w:t>
      </w:r>
      <w:bookmarkEnd w:id="376"/>
    </w:p>
    <w:p>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pPr>
      <w:r>
        <w:t>”.</w:t>
      </w:r>
    </w:p>
    <w:p>
      <w:pPr>
        <w:pStyle w:val="nSubsection"/>
        <w:keepLines/>
        <w:rPr>
          <w:snapToGrid w:val="0"/>
        </w:rPr>
      </w:pPr>
      <w:bookmarkStart w:id="377" w:name="_Hlt458829098"/>
      <w:bookmarkEnd w:id="377"/>
      <w:r>
        <w:rPr>
          <w:snapToGrid w:val="0"/>
          <w:vertAlign w:val="superscript"/>
        </w:rPr>
        <w:t>6</w:t>
      </w:r>
      <w:r>
        <w:rPr>
          <w:snapToGrid w:val="0"/>
        </w:rPr>
        <w:tab/>
      </w:r>
      <w:del w:id="378" w:author="svcMRProcess" w:date="2019-06-14T11:11:00Z">
        <w:r>
          <w:delText xml:space="preserve">On the date as at which this compilation was prepared, </w:delText>
        </w:r>
        <w:r>
          <w:rPr>
            <w:snapToGrid w:val="0"/>
          </w:rPr>
          <w:delText>the</w:delText>
        </w:r>
      </w:del>
      <w:ins w:id="379" w:author="svcMRProcess" w:date="2019-06-14T11:11:00Z">
        <w:r>
          <w:t>The</w:t>
        </w:r>
      </w:ins>
      <w:r>
        <w:rPr>
          <w:snapToGrid w:val="0"/>
        </w:rPr>
        <w:t xml:space="preserve"> </w:t>
      </w:r>
      <w:r>
        <w:rPr>
          <w:i/>
          <w:snapToGrid w:val="0"/>
        </w:rPr>
        <w:t>Biosecurity and Agriculture Management (Repeal and Consequential Provisions) Act 2007</w:t>
      </w:r>
      <w:r>
        <w:rPr>
          <w:iCs/>
          <w:snapToGrid w:val="0"/>
        </w:rPr>
        <w:t xml:space="preserve"> s.</w:t>
      </w:r>
      <w:del w:id="380" w:author="svcMRProcess" w:date="2019-06-14T11:11:00Z">
        <w:r>
          <w:rPr>
            <w:iCs/>
            <w:snapToGrid w:val="0"/>
            <w:sz w:val="19"/>
            <w:lang w:val="en-US"/>
          </w:rPr>
          <w:delText xml:space="preserve"> 53, </w:delText>
        </w:r>
      </w:del>
      <w:ins w:id="381" w:author="svcMRProcess" w:date="2019-06-14T11:11:00Z">
        <w:r>
          <w:rPr>
            <w:iCs/>
            <w:snapToGrid w:val="0"/>
          </w:rPr>
          <w:t> </w:t>
        </w:r>
      </w:ins>
      <w:r>
        <w:rPr>
          <w:iCs/>
          <w:snapToGrid w:val="0"/>
        </w:rPr>
        <w:t>56</w:t>
      </w:r>
      <w:r>
        <w:rPr>
          <w:iCs/>
          <w:snapToGrid w:val="0"/>
        </w:rPr>
        <w:noBreakHyphen/>
        <w:t>59</w:t>
      </w:r>
      <w:del w:id="382" w:author="svcMRProcess" w:date="2019-06-14T11:11:00Z">
        <w:r>
          <w:rPr>
            <w:iCs/>
            <w:snapToGrid w:val="0"/>
            <w:sz w:val="19"/>
            <w:lang w:val="en-US"/>
          </w:rPr>
          <w:delText>, 78 and 85(1</w:delText>
        </w:r>
        <w:r>
          <w:rPr>
            <w:iCs/>
            <w:snapToGrid w:val="0"/>
            <w:sz w:val="19"/>
            <w:lang w:val="en-US"/>
          </w:rPr>
          <w:noBreakHyphen/>
          <w:delText xml:space="preserve">3) </w:delText>
        </w:r>
        <w:r>
          <w:rPr>
            <w:snapToGrid w:val="0"/>
          </w:rPr>
          <w:delText>had not come into operation.  They</w:delText>
        </w:r>
      </w:del>
      <w:r>
        <w:rPr>
          <w:iCs/>
          <w:snapToGrid w:val="0"/>
        </w:rPr>
        <w:t xml:space="preserve"> </w:t>
      </w:r>
      <w:r>
        <w:rPr>
          <w:snapToGrid w:val="0"/>
        </w:rPr>
        <w:t>read as follows:</w:t>
      </w:r>
    </w:p>
    <w:p>
      <w:pPr>
        <w:pStyle w:val="MiscOpen"/>
        <w:keepNext w:val="0"/>
        <w:spacing w:before="60"/>
        <w:rPr>
          <w:sz w:val="20"/>
        </w:rPr>
      </w:pPr>
      <w:r>
        <w:rPr>
          <w:sz w:val="20"/>
        </w:rPr>
        <w:t>“</w:t>
      </w:r>
    </w:p>
    <w:p>
      <w:pPr>
        <w:pStyle w:val="nzHeading5"/>
        <w:rPr>
          <w:del w:id="383" w:author="svcMRProcess" w:date="2019-06-14T11:11:00Z"/>
        </w:rPr>
      </w:pPr>
      <w:bookmarkStart w:id="384" w:name="_Toc117571256"/>
      <w:bookmarkStart w:id="385" w:name="_Toc179685663"/>
      <w:bookmarkStart w:id="386" w:name="_Toc180227161"/>
      <w:bookmarkStart w:id="387" w:name="_Toc117571260"/>
      <w:bookmarkStart w:id="388" w:name="_Toc179685667"/>
      <w:bookmarkStart w:id="389" w:name="_Toc180227165"/>
      <w:bookmarkStart w:id="390" w:name="_Toc117571291"/>
      <w:bookmarkStart w:id="391" w:name="_Toc179685700"/>
      <w:bookmarkStart w:id="392" w:name="_Toc180227198"/>
      <w:bookmarkStart w:id="393" w:name="_Toc117571303"/>
      <w:bookmarkStart w:id="394" w:name="_Toc179685712"/>
      <w:bookmarkStart w:id="395" w:name="_Toc180227210"/>
      <w:del w:id="396" w:author="svcMRProcess" w:date="2019-06-14T11:11:00Z">
        <w:r>
          <w:rPr>
            <w:rStyle w:val="CharSectno"/>
          </w:rPr>
          <w:delText>53</w:delText>
        </w:r>
        <w:r>
          <w:delText>.</w:delText>
        </w:r>
        <w:r>
          <w:tab/>
          <w:delText>Repeal</w:delText>
        </w:r>
        <w:bookmarkEnd w:id="384"/>
        <w:bookmarkEnd w:id="385"/>
        <w:bookmarkEnd w:id="386"/>
      </w:del>
    </w:p>
    <w:p>
      <w:pPr>
        <w:pStyle w:val="nzSubsection"/>
        <w:rPr>
          <w:del w:id="397" w:author="svcMRProcess" w:date="2019-06-14T11:11:00Z"/>
        </w:rPr>
      </w:pPr>
      <w:del w:id="398" w:author="svcMRProcess" w:date="2019-06-14T11:11:00Z">
        <w:r>
          <w:tab/>
        </w:r>
        <w:r>
          <w:tab/>
          <w:delText xml:space="preserve">The </w:delText>
        </w:r>
        <w:r>
          <w:rPr>
            <w:i/>
            <w:iCs/>
          </w:rPr>
          <w:delText>Cattle Industry Compensation Act 1965</w:delText>
        </w:r>
        <w:r>
          <w:delText xml:space="preserve"> is repealed.</w:delText>
        </w:r>
      </w:del>
    </w:p>
    <w:p>
      <w:pPr>
        <w:pStyle w:val="nzHeading4"/>
      </w:pPr>
      <w:bookmarkStart w:id="399" w:name="_Toc107887161"/>
      <w:bookmarkStart w:id="400" w:name="_Toc107887513"/>
      <w:bookmarkStart w:id="401" w:name="_Toc107893793"/>
      <w:bookmarkStart w:id="402" w:name="_Toc107895444"/>
      <w:bookmarkStart w:id="403" w:name="_Toc107909882"/>
      <w:bookmarkStart w:id="404" w:name="_Toc107919559"/>
      <w:bookmarkStart w:id="405" w:name="_Toc108000952"/>
      <w:bookmarkStart w:id="406" w:name="_Toc108261811"/>
      <w:bookmarkStart w:id="407" w:name="_Toc108316996"/>
      <w:bookmarkStart w:id="408" w:name="_Toc108336759"/>
      <w:bookmarkStart w:id="409" w:name="_Toc108413576"/>
      <w:bookmarkStart w:id="410" w:name="_Toc108833768"/>
      <w:bookmarkStart w:id="411" w:name="_Toc108834101"/>
      <w:bookmarkStart w:id="412" w:name="_Toc109013010"/>
      <w:bookmarkStart w:id="413" w:name="_Toc109019867"/>
      <w:bookmarkStart w:id="414" w:name="_Toc109103952"/>
      <w:bookmarkStart w:id="415" w:name="_Toc109117665"/>
      <w:bookmarkStart w:id="416" w:name="_Toc110138310"/>
      <w:bookmarkStart w:id="417" w:name="_Toc112570388"/>
      <w:bookmarkStart w:id="418" w:name="_Toc112574580"/>
      <w:bookmarkStart w:id="419" w:name="_Toc112574751"/>
      <w:bookmarkStart w:id="420" w:name="_Toc112574873"/>
      <w:bookmarkStart w:id="421" w:name="_Toc113076960"/>
      <w:bookmarkStart w:id="422" w:name="_Toc116211220"/>
      <w:bookmarkStart w:id="423" w:name="_Toc116354202"/>
      <w:bookmarkStart w:id="424" w:name="_Toc116900642"/>
      <w:bookmarkStart w:id="425" w:name="_Toc116963375"/>
      <w:bookmarkStart w:id="426" w:name="_Toc116985298"/>
      <w:bookmarkStart w:id="427" w:name="_Toc117069156"/>
      <w:bookmarkStart w:id="428" w:name="_Toc117305038"/>
      <w:bookmarkStart w:id="429" w:name="_Toc117306687"/>
      <w:bookmarkStart w:id="430" w:name="_Toc117321076"/>
      <w:bookmarkStart w:id="431" w:name="_Toc117332074"/>
      <w:bookmarkStart w:id="432" w:name="_Toc117398559"/>
      <w:bookmarkStart w:id="433" w:name="_Toc117399877"/>
      <w:bookmarkStart w:id="434" w:name="_Toc117402420"/>
      <w:bookmarkStart w:id="435" w:name="_Toc117416912"/>
      <w:bookmarkStart w:id="436" w:name="_Toc117483561"/>
      <w:bookmarkStart w:id="437" w:name="_Toc117488436"/>
      <w:bookmarkStart w:id="438" w:name="_Toc117571259"/>
      <w:bookmarkStart w:id="439" w:name="_Toc117934014"/>
      <w:bookmarkStart w:id="440" w:name="_Toc117936039"/>
      <w:bookmarkStart w:id="441" w:name="_Toc117936657"/>
      <w:bookmarkStart w:id="442" w:name="_Toc118005884"/>
      <w:bookmarkStart w:id="443" w:name="_Toc118025398"/>
      <w:bookmarkStart w:id="444" w:name="_Toc118094433"/>
      <w:bookmarkStart w:id="445" w:name="_Toc118104392"/>
      <w:bookmarkStart w:id="446" w:name="_Toc118113384"/>
      <w:bookmarkStart w:id="447" w:name="_Toc118271220"/>
      <w:bookmarkStart w:id="448" w:name="_Toc118539899"/>
      <w:bookmarkStart w:id="449" w:name="_Toc118622251"/>
      <w:bookmarkStart w:id="450" w:name="_Toc118717281"/>
      <w:bookmarkStart w:id="451" w:name="_Toc118718007"/>
      <w:bookmarkStart w:id="452" w:name="_Toc118768229"/>
      <w:bookmarkStart w:id="453" w:name="_Toc118784120"/>
      <w:bookmarkStart w:id="454" w:name="_Toc118791417"/>
      <w:bookmarkStart w:id="455" w:name="_Toc118795916"/>
      <w:bookmarkStart w:id="456" w:name="_Toc118802043"/>
      <w:bookmarkStart w:id="457" w:name="_Toc118803872"/>
      <w:bookmarkStart w:id="458" w:name="_Toc118862324"/>
      <w:bookmarkStart w:id="459" w:name="_Toc118862751"/>
      <w:bookmarkStart w:id="460" w:name="_Toc118862918"/>
      <w:bookmarkStart w:id="461" w:name="_Toc118872955"/>
      <w:bookmarkStart w:id="462" w:name="_Toc118873090"/>
      <w:bookmarkStart w:id="463" w:name="_Toc119465789"/>
      <w:bookmarkStart w:id="464" w:name="_Toc119483214"/>
      <w:bookmarkStart w:id="465" w:name="_Toc119492978"/>
      <w:bookmarkStart w:id="466" w:name="_Toc119725028"/>
      <w:bookmarkStart w:id="467" w:name="_Toc119732996"/>
      <w:bookmarkStart w:id="468" w:name="_Toc119752718"/>
      <w:bookmarkStart w:id="469" w:name="_Toc119897197"/>
      <w:bookmarkStart w:id="470" w:name="_Toc119916046"/>
      <w:bookmarkStart w:id="471" w:name="_Toc119916420"/>
      <w:bookmarkStart w:id="472" w:name="_Toc119980550"/>
      <w:bookmarkStart w:id="473" w:name="_Toc119980724"/>
      <w:bookmarkStart w:id="474" w:name="_Toc119980881"/>
      <w:bookmarkStart w:id="475" w:name="_Toc120072116"/>
      <w:bookmarkStart w:id="476" w:name="_Toc120324473"/>
      <w:bookmarkStart w:id="477" w:name="_Toc120324674"/>
      <w:bookmarkStart w:id="478" w:name="_Toc120351970"/>
      <w:bookmarkStart w:id="479" w:name="_Toc120352691"/>
      <w:bookmarkStart w:id="480" w:name="_Toc120355119"/>
      <w:bookmarkStart w:id="481" w:name="_Toc137023281"/>
      <w:bookmarkStart w:id="482" w:name="_Toc137026221"/>
      <w:bookmarkStart w:id="483" w:name="_Toc140045067"/>
      <w:bookmarkStart w:id="484" w:name="_Toc142905391"/>
      <w:bookmarkStart w:id="485" w:name="_Toc142973684"/>
      <w:bookmarkStart w:id="486" w:name="_Toc143580065"/>
      <w:bookmarkStart w:id="487" w:name="_Toc143676527"/>
      <w:bookmarkStart w:id="488" w:name="_Toc143684178"/>
      <w:bookmarkStart w:id="489" w:name="_Toc143684385"/>
      <w:bookmarkStart w:id="490" w:name="_Toc143684523"/>
      <w:bookmarkStart w:id="491" w:name="_Toc143925508"/>
      <w:bookmarkStart w:id="492" w:name="_Toc143933503"/>
      <w:bookmarkStart w:id="493" w:name="_Toc144261928"/>
      <w:bookmarkStart w:id="494" w:name="_Toc144618362"/>
      <w:bookmarkStart w:id="495" w:name="_Toc144618500"/>
      <w:bookmarkStart w:id="496" w:name="_Toc144618776"/>
      <w:bookmarkStart w:id="497" w:name="_Toc144628417"/>
      <w:bookmarkStart w:id="498" w:name="_Toc144628834"/>
      <w:bookmarkStart w:id="499" w:name="_Toc144636386"/>
      <w:bookmarkStart w:id="500" w:name="_Toc178485642"/>
      <w:bookmarkStart w:id="501" w:name="_Toc179275126"/>
      <w:bookmarkStart w:id="502" w:name="_Toc179275264"/>
      <w:bookmarkStart w:id="503" w:name="_Toc179684716"/>
      <w:bookmarkStart w:id="504" w:name="_Toc179685666"/>
      <w:bookmarkStart w:id="505" w:name="_Toc180227164"/>
      <w:r>
        <w:t>Subdivision 2 — Transitional provisions</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pStyle w:val="nzHeading5"/>
      </w:pPr>
      <w:r>
        <w:rPr>
          <w:rStyle w:val="CharSectno"/>
        </w:rPr>
        <w:t>56</w:t>
      </w:r>
      <w:r>
        <w:t>.</w:t>
      </w:r>
      <w:r>
        <w:tab/>
        <w:t>Meaning of terms used in this Subdivision</w:t>
      </w:r>
      <w:bookmarkEnd w:id="387"/>
      <w:bookmarkEnd w:id="388"/>
      <w:bookmarkEnd w:id="389"/>
    </w:p>
    <w:p>
      <w:pPr>
        <w:pStyle w:val="nzSubsection"/>
      </w:pPr>
      <w:r>
        <w:tab/>
      </w:r>
      <w:r>
        <w:tab/>
        <w:t xml:space="preserve">In this Subdivision — </w:t>
      </w:r>
    </w:p>
    <w:p>
      <w:pPr>
        <w:pStyle w:val="nzDefstart"/>
      </w:pPr>
      <w:r>
        <w:rPr>
          <w:b/>
        </w:rPr>
        <w:tab/>
      </w:r>
      <w:r>
        <w:rPr>
          <w:rStyle w:val="CharDefText"/>
        </w:rPr>
        <w:t>commencement day</w:t>
      </w:r>
      <w:r>
        <w:t xml:space="preserve"> means the day on which section 53 comes into operation;</w:t>
      </w:r>
    </w:p>
    <w:p>
      <w:pPr>
        <w:pStyle w:val="nzDefstart"/>
      </w:pPr>
      <w:r>
        <w:rPr>
          <w:b/>
        </w:rPr>
        <w:tab/>
      </w:r>
      <w:r>
        <w:rPr>
          <w:rStyle w:val="CharDefText"/>
        </w:rPr>
        <w:t>former account</w:t>
      </w:r>
      <w:r>
        <w:t xml:space="preserve"> means the Cattle Industry Compensation Fund established under the repealed Act section 21;</w:t>
      </w:r>
    </w:p>
    <w:p>
      <w:pPr>
        <w:pStyle w:val="nzDefstart"/>
      </w:pPr>
      <w:r>
        <w:rPr>
          <w:b/>
        </w:rPr>
        <w:tab/>
      </w:r>
      <w:r>
        <w:rPr>
          <w:rStyle w:val="CharDefText"/>
        </w:rPr>
        <w:t>repealed Act</w:t>
      </w:r>
      <w:r>
        <w:t xml:space="preserve"> means the </w:t>
      </w:r>
      <w:r>
        <w:rPr>
          <w:i/>
          <w:iCs/>
        </w:rPr>
        <w:t>Cattle Industry Compensation Act 1965</w:t>
      </w:r>
      <w:r>
        <w:t>.</w:t>
      </w:r>
    </w:p>
    <w:p>
      <w:pPr>
        <w:pStyle w:val="nzHeading5"/>
      </w:pPr>
      <w:bookmarkStart w:id="506" w:name="_Toc117571261"/>
      <w:bookmarkStart w:id="507" w:name="_Toc179685668"/>
      <w:bookmarkStart w:id="508" w:name="_Toc180227166"/>
      <w:r>
        <w:rPr>
          <w:rStyle w:val="CharSectno"/>
        </w:rPr>
        <w:t>57</w:t>
      </w:r>
      <w:r>
        <w:t>.</w:t>
      </w:r>
      <w:r>
        <w:tab/>
        <w:t>Compensation claims made before repeal</w:t>
      </w:r>
      <w:bookmarkEnd w:id="506"/>
      <w:bookmarkEnd w:id="507"/>
      <w:bookmarkEnd w:id="508"/>
    </w:p>
    <w:p>
      <w:pPr>
        <w:pStyle w:val="nzSubsection"/>
      </w:pPr>
      <w:r>
        <w:tab/>
      </w:r>
      <w:r>
        <w:tab/>
        <w:t>Despite section 53, an application for compensation under the repealed Act that arose but that was not fully dealt with before the commencement day is to be dealt with under the repealed Act as if the Act had not been repealed.</w:t>
      </w:r>
    </w:p>
    <w:p>
      <w:pPr>
        <w:pStyle w:val="nzHeading5"/>
      </w:pPr>
      <w:bookmarkStart w:id="509" w:name="_Toc117571262"/>
      <w:bookmarkStart w:id="510" w:name="_Toc179685669"/>
      <w:bookmarkStart w:id="511" w:name="_Toc180227167"/>
      <w:r>
        <w:rPr>
          <w:rStyle w:val="CharSectno"/>
        </w:rPr>
        <w:t>58</w:t>
      </w:r>
      <w:r>
        <w:t>.</w:t>
      </w:r>
      <w:r>
        <w:tab/>
        <w:t>Funds in, or payable to, former account</w:t>
      </w:r>
      <w:bookmarkEnd w:id="509"/>
      <w:bookmarkEnd w:id="510"/>
      <w:bookmarkEnd w:id="511"/>
    </w:p>
    <w:p>
      <w:pPr>
        <w:pStyle w:val="nzSubsection"/>
      </w:pPr>
      <w:r>
        <w:tab/>
        <w:t>(1)</w:t>
      </w:r>
      <w:r>
        <w:tab/>
        <w:t xml:space="preserve">On the commencement day any moneys standing to the credit of the former account are to be credited to an account established for the cattle industry under the BAM Act section 141 to be applied — </w:t>
      </w:r>
    </w:p>
    <w:p>
      <w:pPr>
        <w:pStyle w:val="nzIndenta"/>
      </w:pPr>
      <w:r>
        <w:tab/>
        <w:t>(a)</w:t>
      </w:r>
      <w:r>
        <w:tab/>
        <w:t>in the payment of compensation payable on an application referred to in section 57 made under the repealed Act; and</w:t>
      </w:r>
    </w:p>
    <w:p>
      <w:pPr>
        <w:pStyle w:val="nzIndenta"/>
      </w:pPr>
      <w:r>
        <w:tab/>
        <w:t>(b)</w:t>
      </w:r>
      <w:r>
        <w:tab/>
        <w:t>in the payment of any liabilities of the former account which arose before the commencement day; and</w:t>
      </w:r>
    </w:p>
    <w:p>
      <w:pPr>
        <w:pStyle w:val="nzIndenta"/>
      </w:pPr>
      <w:r>
        <w:tab/>
        <w:t>(c)</w:t>
      </w:r>
      <w:r>
        <w:tab/>
        <w:t>for the purposes set out in the regulations under the BAM Act section 141 establishing the account for the cattle industry,</w:t>
      </w:r>
    </w:p>
    <w:p>
      <w:pPr>
        <w:pStyle w:val="nzSubsection"/>
      </w:pPr>
      <w:r>
        <w:tab/>
      </w:r>
      <w:r>
        <w:tab/>
        <w:t>and the former account is then to be closed.</w:t>
      </w:r>
    </w:p>
    <w:p>
      <w:pPr>
        <w:pStyle w:val="nzSubsection"/>
      </w:pPr>
      <w:r>
        <w:tab/>
        <w:t>(2)</w:t>
      </w:r>
      <w:r>
        <w:tab/>
        <w:t>The account established for the cattle industry under the BAM Act section 141 is to be credited with any money that became payable to the former account before the commencement day and that is paid after that day.</w:t>
      </w:r>
    </w:p>
    <w:p>
      <w:pPr>
        <w:pStyle w:val="nzHeading5"/>
      </w:pPr>
      <w:bookmarkStart w:id="512" w:name="_Toc117571263"/>
      <w:bookmarkStart w:id="513" w:name="_Toc179685670"/>
      <w:bookmarkStart w:id="514" w:name="_Toc180227168"/>
      <w:r>
        <w:rPr>
          <w:rStyle w:val="CharSectno"/>
        </w:rPr>
        <w:t>59</w:t>
      </w:r>
      <w:r>
        <w:t>.</w:t>
      </w:r>
      <w:r>
        <w:tab/>
        <w:t>Reference to former account</w:t>
      </w:r>
      <w:bookmarkEnd w:id="512"/>
      <w:bookmarkEnd w:id="513"/>
      <w:bookmarkEnd w:id="514"/>
    </w:p>
    <w:p>
      <w:pPr>
        <w:pStyle w:val="nzSubsection"/>
      </w:pPr>
      <w:r>
        <w:tab/>
      </w:r>
      <w:r>
        <w:tab/>
        <w:t>If in an agreement, instrument or other document there is a reference to the former account, that reference is, unless the context otherwise requires, to be read and have effect on and after the commencement day as if it were a reference to the account established under the BAM Act section 141 for the cattle industry.</w:t>
      </w:r>
    </w:p>
    <w:p>
      <w:pPr>
        <w:pStyle w:val="nzHeading5"/>
        <w:rPr>
          <w:del w:id="515" w:author="svcMRProcess" w:date="2019-06-14T11:11:00Z"/>
        </w:rPr>
      </w:pPr>
      <w:del w:id="516" w:author="svcMRProcess" w:date="2019-06-14T11:11:00Z">
        <w:r>
          <w:rPr>
            <w:rStyle w:val="CharSectno"/>
          </w:rPr>
          <w:delText>78</w:delText>
        </w:r>
        <w:r>
          <w:delText>.</w:delText>
        </w:r>
        <w:r>
          <w:tab/>
        </w:r>
        <w:r>
          <w:rPr>
            <w:i/>
            <w:iCs/>
          </w:rPr>
          <w:delText xml:space="preserve">Cattle Industry Compensation Act 1965 </w:delText>
        </w:r>
        <w:r>
          <w:delText>amended</w:delText>
        </w:r>
        <w:bookmarkEnd w:id="390"/>
        <w:bookmarkEnd w:id="391"/>
        <w:bookmarkEnd w:id="392"/>
      </w:del>
    </w:p>
    <w:p>
      <w:pPr>
        <w:pStyle w:val="nzSubsection"/>
        <w:rPr>
          <w:del w:id="517" w:author="svcMRProcess" w:date="2019-06-14T11:11:00Z"/>
        </w:rPr>
      </w:pPr>
      <w:del w:id="518" w:author="svcMRProcess" w:date="2019-06-14T11:11:00Z">
        <w:r>
          <w:tab/>
          <w:delText>(1)</w:delText>
        </w:r>
        <w:r>
          <w:tab/>
          <w:delText xml:space="preserve">The amendments in this section are to the </w:delText>
        </w:r>
        <w:r>
          <w:rPr>
            <w:i/>
            <w:iCs/>
          </w:rPr>
          <w:delText>Cattle Industry Compensation Act 1965</w:delText>
        </w:r>
        <w:r>
          <w:delText>.</w:delText>
        </w:r>
      </w:del>
    </w:p>
    <w:p>
      <w:pPr>
        <w:pStyle w:val="nzSubsection"/>
        <w:rPr>
          <w:del w:id="519" w:author="svcMRProcess" w:date="2019-06-14T11:11:00Z"/>
        </w:rPr>
      </w:pPr>
      <w:del w:id="520" w:author="svcMRProcess" w:date="2019-06-14T11:11:00Z">
        <w:r>
          <w:tab/>
          <w:delText>(2)</w:delText>
        </w:r>
        <w:r>
          <w:tab/>
          <w:delText>Section 6 is amended as follows:</w:delText>
        </w:r>
      </w:del>
    </w:p>
    <w:p>
      <w:pPr>
        <w:pStyle w:val="nzIndenta"/>
        <w:rPr>
          <w:del w:id="521" w:author="svcMRProcess" w:date="2019-06-14T11:11:00Z"/>
        </w:rPr>
      </w:pPr>
      <w:del w:id="522" w:author="svcMRProcess" w:date="2019-06-14T11:11:00Z">
        <w:r>
          <w:tab/>
          <w:delText>(a)</w:delText>
        </w:r>
        <w:r>
          <w:tab/>
          <w:delText xml:space="preserve">by deleting the definition of “Chief Inspector” and inserting instead — </w:delText>
        </w:r>
      </w:del>
    </w:p>
    <w:p>
      <w:pPr>
        <w:pStyle w:val="MiscOpen"/>
        <w:ind w:left="880"/>
        <w:rPr>
          <w:del w:id="523" w:author="svcMRProcess" w:date="2019-06-14T11:11:00Z"/>
        </w:rPr>
      </w:pPr>
      <w:del w:id="524" w:author="svcMRProcess" w:date="2019-06-14T11:11:00Z">
        <w:r>
          <w:delText xml:space="preserve">“    </w:delText>
        </w:r>
      </w:del>
    </w:p>
    <w:p>
      <w:pPr>
        <w:pStyle w:val="nzDefstart"/>
        <w:rPr>
          <w:del w:id="525" w:author="svcMRProcess" w:date="2019-06-14T11:11:00Z"/>
        </w:rPr>
      </w:pPr>
      <w:del w:id="526" w:author="svcMRProcess" w:date="2019-06-14T11:11:00Z">
        <w:r>
          <w:tab/>
        </w:r>
        <w:r>
          <w:rPr>
            <w:rStyle w:val="CharDefText"/>
          </w:rPr>
          <w:delText>Chief Inspector</w:delText>
        </w:r>
        <w:r>
          <w:delText xml:space="preserve"> means — </w:delText>
        </w:r>
      </w:del>
    </w:p>
    <w:p>
      <w:pPr>
        <w:pStyle w:val="nzDefpara"/>
        <w:rPr>
          <w:del w:id="527" w:author="svcMRProcess" w:date="2019-06-14T11:11:00Z"/>
        </w:rPr>
      </w:pPr>
      <w:del w:id="528" w:author="svcMRProcess" w:date="2019-06-14T11:11:00Z">
        <w:r>
          <w:tab/>
          <w:delText>(a)</w:delText>
        </w:r>
        <w:r>
          <w:tab/>
          <w:delText xml:space="preserve">before the coming into operation of the </w:delText>
        </w:r>
        <w:r>
          <w:rPr>
            <w:i/>
            <w:iCs/>
          </w:rPr>
          <w:delText>Biosecurity and Agriculture Management (Repeal and Consequential Provisions) Act 2007</w:delText>
        </w:r>
        <w:r>
          <w:delText xml:space="preserve"> section 76, the person for the time being holding the office of Chief Inspector of Stock under the </w:delText>
        </w:r>
        <w:r>
          <w:rPr>
            <w:i/>
            <w:iCs/>
          </w:rPr>
          <w:delText>Stock Diseases (Regulations) Act 1968</w:delText>
        </w:r>
        <w:r>
          <w:delText>; and</w:delText>
        </w:r>
      </w:del>
    </w:p>
    <w:p>
      <w:pPr>
        <w:pStyle w:val="nzDefpara"/>
        <w:rPr>
          <w:del w:id="529" w:author="svcMRProcess" w:date="2019-06-14T11:11:00Z"/>
        </w:rPr>
      </w:pPr>
      <w:del w:id="530" w:author="svcMRProcess" w:date="2019-06-14T11:11:00Z">
        <w:r>
          <w:tab/>
          <w:delText>(b)</w:delText>
        </w:r>
        <w:r>
          <w:tab/>
          <w:delText>after the coming into operation of that section, an inspector appointed by the Director General to the office of Chief Inspector of Stock for the purposes of this Act;</w:delText>
        </w:r>
      </w:del>
    </w:p>
    <w:p>
      <w:pPr>
        <w:pStyle w:val="MiscClose"/>
        <w:rPr>
          <w:del w:id="531" w:author="svcMRProcess" w:date="2019-06-14T11:11:00Z"/>
        </w:rPr>
      </w:pPr>
      <w:del w:id="532" w:author="svcMRProcess" w:date="2019-06-14T11:11:00Z">
        <w:r>
          <w:delText xml:space="preserve">    ”;</w:delText>
        </w:r>
      </w:del>
    </w:p>
    <w:p>
      <w:pPr>
        <w:pStyle w:val="nzIndenta"/>
        <w:rPr>
          <w:del w:id="533" w:author="svcMRProcess" w:date="2019-06-14T11:11:00Z"/>
        </w:rPr>
      </w:pPr>
      <w:del w:id="534" w:author="svcMRProcess" w:date="2019-06-14T11:11:00Z">
        <w:r>
          <w:tab/>
          <w:delText>(b)</w:delText>
        </w:r>
        <w:r>
          <w:tab/>
          <w:delText xml:space="preserve">in the definition of “disease” by deleting “, within the meaning of the </w:delText>
        </w:r>
        <w:r>
          <w:rPr>
            <w:i/>
            <w:iCs/>
          </w:rPr>
          <w:delText>Stock Diseases (Regulations) Act 1968</w:delText>
        </w:r>
        <w:r>
          <w:delText>,”;</w:delText>
        </w:r>
      </w:del>
    </w:p>
    <w:p>
      <w:pPr>
        <w:pStyle w:val="nzIndenta"/>
        <w:rPr>
          <w:del w:id="535" w:author="svcMRProcess" w:date="2019-06-14T11:11:00Z"/>
        </w:rPr>
      </w:pPr>
      <w:del w:id="536" w:author="svcMRProcess" w:date="2019-06-14T11:11:00Z">
        <w:r>
          <w:tab/>
          <w:delText>(c)</w:delText>
        </w:r>
        <w:r>
          <w:tab/>
          <w:delText xml:space="preserve">in the definition of “specified disease” by deleting “within the meaning of the </w:delText>
        </w:r>
        <w:r>
          <w:rPr>
            <w:i/>
            <w:iCs/>
          </w:rPr>
          <w:delText>Stock Diseases (Regulations) Act 1968</w:delText>
        </w:r>
        <w:r>
          <w:delText>,”.</w:delText>
        </w:r>
      </w:del>
    </w:p>
    <w:p>
      <w:pPr>
        <w:pStyle w:val="nzHeading5"/>
        <w:rPr>
          <w:del w:id="537" w:author="svcMRProcess" w:date="2019-06-14T11:11:00Z"/>
        </w:rPr>
      </w:pPr>
      <w:del w:id="538" w:author="svcMRProcess" w:date="2019-06-14T11:11:00Z">
        <w:r>
          <w:rPr>
            <w:rStyle w:val="CharSectno"/>
          </w:rPr>
          <w:delText>85</w:delText>
        </w:r>
        <w:r>
          <w:delText>.</w:delText>
        </w:r>
        <w:r>
          <w:tab/>
        </w:r>
        <w:r>
          <w:rPr>
            <w:i/>
            <w:iCs/>
          </w:rPr>
          <w:delText>Cattle Industry Compensation Act 1965</w:delText>
        </w:r>
        <w:r>
          <w:delText xml:space="preserve"> amended</w:delText>
        </w:r>
        <w:bookmarkEnd w:id="393"/>
        <w:bookmarkEnd w:id="394"/>
        <w:bookmarkEnd w:id="395"/>
      </w:del>
    </w:p>
    <w:p>
      <w:pPr>
        <w:pStyle w:val="nzSubsection"/>
        <w:rPr>
          <w:del w:id="539" w:author="svcMRProcess" w:date="2019-06-14T11:11:00Z"/>
        </w:rPr>
      </w:pPr>
      <w:del w:id="540" w:author="svcMRProcess" w:date="2019-06-14T11:11:00Z">
        <w:r>
          <w:tab/>
          <w:delText>(1)</w:delText>
        </w:r>
        <w:r>
          <w:tab/>
          <w:delText xml:space="preserve">The amendments in this section are to the </w:delText>
        </w:r>
        <w:r>
          <w:rPr>
            <w:i/>
            <w:iCs/>
          </w:rPr>
          <w:delText>Cattle Industry Compensation Act 1965</w:delText>
        </w:r>
        <w:r>
          <w:delText>.</w:delText>
        </w:r>
      </w:del>
    </w:p>
    <w:p>
      <w:pPr>
        <w:pStyle w:val="nzSubsection"/>
        <w:rPr>
          <w:del w:id="541" w:author="svcMRProcess" w:date="2019-06-14T11:11:00Z"/>
        </w:rPr>
      </w:pPr>
      <w:del w:id="542" w:author="svcMRProcess" w:date="2019-06-14T11:11:00Z">
        <w:r>
          <w:tab/>
          <w:delText>(2)</w:delText>
        </w:r>
        <w:r>
          <w:tab/>
          <w:delText xml:space="preserve">Section 6 is amended by deleting the definition of “inspector” and inserting instead — </w:delText>
        </w:r>
      </w:del>
    </w:p>
    <w:p>
      <w:pPr>
        <w:pStyle w:val="MiscOpen"/>
        <w:ind w:left="880"/>
        <w:rPr>
          <w:del w:id="543" w:author="svcMRProcess" w:date="2019-06-14T11:11:00Z"/>
        </w:rPr>
      </w:pPr>
      <w:del w:id="544" w:author="svcMRProcess" w:date="2019-06-14T11:11:00Z">
        <w:r>
          <w:delText xml:space="preserve">“    </w:delText>
        </w:r>
      </w:del>
    </w:p>
    <w:p>
      <w:pPr>
        <w:pStyle w:val="nzDefstart"/>
        <w:rPr>
          <w:del w:id="545" w:author="svcMRProcess" w:date="2019-06-14T11:11:00Z"/>
          <w:iCs/>
        </w:rPr>
      </w:pPr>
      <w:del w:id="546" w:author="svcMRProcess" w:date="2019-06-14T11:11:00Z">
        <w:r>
          <w:rPr>
            <w:b/>
          </w:rPr>
          <w:tab/>
        </w:r>
        <w:r>
          <w:rPr>
            <w:rStyle w:val="CharDefText"/>
          </w:rPr>
          <w:delText>inspector</w:delText>
        </w:r>
        <w:r>
          <w:delText xml:space="preserve"> means an inspector appointed under the </w:delText>
        </w:r>
        <w:r>
          <w:rPr>
            <w:i/>
            <w:iCs/>
          </w:rPr>
          <w:delText>Biosecurity and Agriculture Management Act 2007</w:delText>
        </w:r>
        <w:r>
          <w:delText xml:space="preserve"> section 162;</w:delText>
        </w:r>
      </w:del>
    </w:p>
    <w:p>
      <w:pPr>
        <w:pStyle w:val="MiscClose"/>
        <w:rPr>
          <w:del w:id="547" w:author="svcMRProcess" w:date="2019-06-14T11:11:00Z"/>
        </w:rPr>
      </w:pPr>
      <w:del w:id="548" w:author="svcMRProcess" w:date="2019-06-14T11:11:00Z">
        <w:r>
          <w:delText xml:space="preserve">    ”.</w:delText>
        </w:r>
      </w:del>
    </w:p>
    <w:p>
      <w:pPr>
        <w:pStyle w:val="nzSubsection"/>
        <w:rPr>
          <w:del w:id="549" w:author="svcMRProcess" w:date="2019-06-14T11:11:00Z"/>
        </w:rPr>
      </w:pPr>
      <w:del w:id="550" w:author="svcMRProcess" w:date="2019-06-14T11:11:00Z">
        <w:r>
          <w:tab/>
          <w:delText>(3)</w:delText>
        </w:r>
        <w:r>
          <w:tab/>
          <w:delText xml:space="preserve">Section 19(b) is amended by deleting “the </w:delText>
        </w:r>
        <w:r>
          <w:rPr>
            <w:i/>
            <w:iCs/>
          </w:rPr>
          <w:delText>Stock Diseases (Regulations) Act 1968</w:delText>
        </w:r>
        <w:r>
          <w:delText xml:space="preserve">” and inserting instead — </w:delText>
        </w:r>
      </w:del>
    </w:p>
    <w:p>
      <w:pPr>
        <w:pStyle w:val="nzSubsection"/>
        <w:rPr>
          <w:del w:id="551" w:author="svcMRProcess" w:date="2019-06-14T11:11:00Z"/>
        </w:rPr>
      </w:pPr>
      <w:del w:id="552" w:author="svcMRProcess" w:date="2019-06-14T11:11:00Z">
        <w:r>
          <w:tab/>
        </w:r>
        <w:r>
          <w:tab/>
          <w:delText xml:space="preserve">“    the </w:delText>
        </w:r>
        <w:r>
          <w:rPr>
            <w:i/>
            <w:iCs/>
          </w:rPr>
          <w:delText>Biosecurity and Agriculture Management Act 2007</w:delText>
        </w:r>
        <w:r>
          <w:delText xml:space="preserve">    ”.</w:delText>
        </w:r>
      </w:del>
    </w:p>
    <w:p>
      <w:pPr>
        <w:pStyle w:val="MiscClose"/>
      </w:pPr>
      <w:r>
        <w:t>”.</w:t>
      </w:r>
    </w:p>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Cattle Industry Compensation Act 1965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Cattle Industry Compensation Act 1965</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Cattle Industry Compensation Act 1965</w:t>
          </w:r>
          <w:r>
            <w:rPr>
              <w:b/>
              <w:i/>
            </w:rPr>
            <w:fldChar w:fldCharType="end"/>
          </w:r>
        </w:p>
      </w:tc>
    </w:tr>
    <w:tr>
      <w:tc>
        <w:tcPr>
          <w:tcW w:w="1490" w:type="dxa"/>
        </w:tcPr>
        <w:p>
          <w:pPr>
            <w:pStyle w:val="Header"/>
            <w:spacing w:before="40"/>
          </w:pPr>
          <w:r>
            <w:rPr>
              <w:b/>
            </w:rPr>
            <w:fldChar w:fldCharType="begin"/>
          </w:r>
          <w:r>
            <w:rPr>
              <w:b/>
            </w:rPr>
            <w:instrText xml:space="preserve"> STYLEREF CharSchNo </w:instrText>
          </w:r>
          <w:r>
            <w:rPr>
              <w:b/>
            </w:rPr>
            <w:fldChar w:fldCharType="end"/>
          </w:r>
        </w:p>
      </w:tc>
      <w:tc>
        <w:tcPr>
          <w:tcW w:w="5773" w:type="dxa"/>
        </w:tcPr>
        <w:p>
          <w:pPr>
            <w:pStyle w:val="Header"/>
            <w:spacing w:before="40"/>
          </w:pPr>
          <w:r>
            <w:fldChar w:fldCharType="begin"/>
          </w:r>
          <w:r>
            <w:instrText xml:space="preserve"> STYLEREF CharSchText </w:instrText>
          </w:r>
          <w:r>
            <w:fldChar w:fldCharType="end"/>
          </w:r>
        </w:p>
      </w:tc>
    </w:tr>
    <w:tr>
      <w:tc>
        <w:tcPr>
          <w:tcW w:w="1490" w:type="dxa"/>
        </w:tcPr>
        <w:p>
          <w:pPr>
            <w:pStyle w:val="Header"/>
            <w:spacing w:before="40"/>
          </w:pPr>
        </w:p>
      </w:tc>
      <w:tc>
        <w:tcPr>
          <w:tcW w:w="5773" w:type="dxa"/>
        </w:tcPr>
        <w:p>
          <w:pPr>
            <w:pStyle w:val="Header"/>
            <w:spacing w:before="40"/>
          </w:pPr>
        </w:p>
      </w:tc>
    </w:tr>
    <w:tr>
      <w:trPr>
        <w:cantSplit/>
      </w:trPr>
      <w:tc>
        <w:tcPr>
          <w:tcW w:w="1490" w:type="dxa"/>
        </w:tcPr>
        <w:p>
          <w:pPr>
            <w:pStyle w:val="Header"/>
            <w:spacing w:before="40"/>
          </w:pPr>
        </w:p>
      </w:tc>
      <w:tc>
        <w:tcPr>
          <w:tcW w:w="5768"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Cattle Industry Compensation Act 1965</w:t>
          </w:r>
          <w:r>
            <w:rPr>
              <w:b/>
              <w:i/>
            </w:rPr>
            <w:fldChar w:fldCharType="end"/>
          </w:r>
        </w:p>
      </w:tc>
    </w:tr>
    <w:tr>
      <w:tc>
        <w:tcPr>
          <w:tcW w:w="5715" w:type="dxa"/>
        </w:tcPr>
        <w:p>
          <w:pPr>
            <w:pStyle w:val="Header"/>
            <w:spacing w:before="40"/>
            <w:jc w:val="right"/>
          </w:pPr>
          <w:r>
            <w:fldChar w:fldCharType="begin"/>
          </w:r>
          <w:r>
            <w:instrText>styleref CharSchText</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445" w:type="dxa"/>
        </w:tcPr>
        <w:p>
          <w:pPr>
            <w:pStyle w:val="Header"/>
            <w:spacing w:before="40"/>
            <w:ind w:right="17"/>
            <w:jc w:val="right"/>
          </w:pPr>
        </w:p>
      </w:tc>
    </w:tr>
    <w:tr>
      <w:tc>
        <w:tcPr>
          <w:tcW w:w="5715" w:type="dxa"/>
        </w:tcPr>
        <w:p>
          <w:pPr>
            <w:pStyle w:val="Header"/>
            <w:spacing w:before="40"/>
            <w:jc w:val="right"/>
          </w:pPr>
        </w:p>
      </w:tc>
      <w:tc>
        <w:tcPr>
          <w:tcW w:w="1445" w:type="dxa"/>
        </w:tcPr>
        <w:p>
          <w:pPr>
            <w:pStyle w:val="Header"/>
            <w:spacing w:before="40"/>
            <w:ind w:right="17"/>
            <w:jc w:val="right"/>
          </w:pPr>
        </w:p>
      </w:tc>
    </w:tr>
  </w:tbl>
  <w:p>
    <w:pPr>
      <w:pStyle w:val="Header"/>
      <w:pBdr>
        <w:top w:val="single" w:sz="4" w:space="1" w:color="auto"/>
      </w:pBdr>
    </w:pPr>
    <w:bookmarkStart w:id="324" w:name="Schedule"/>
    <w:bookmarkEnd w:id="32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Cattle Industry Compensation Act 1965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Cattle Industry Compensation Act 1965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553" w:name="Compilation"/>
    <w:bookmarkEnd w:id="553"/>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54" w:name="Coversheet"/>
    <w:bookmarkEnd w:id="55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8E863944"/>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16104300"/>
    <w:docVar w:name="WAFER_20140121114035" w:val="RemoveTocBookmarks,RemoveUnusedBookmarks,RemoveLanguageTags,UsedStyles,ResetPageSize,UpdateArrangement"/>
    <w:docVar w:name="WAFER_20140121114035_GUID" w:val="1dce3357-5719-4cdb-868c-1778446acc45"/>
    <w:docVar w:name="WAFER_20140121115348" w:val="RemoveTocBookmarks,RunningHeaders"/>
    <w:docVar w:name="WAFER_20140121115348_GUID" w:val="31867ab2-47bd-4edf-bc72-57fe74d484f0"/>
    <w:docVar w:name="WAFER_20150723151623" w:val="ResetPageSize,UpdateArrangement,UpdateNTable"/>
    <w:docVar w:name="WAFER_20150723151623_GUID" w:val="2c2991d3-d1f0-44d4-873c-3174a5d84e67"/>
    <w:docVar w:name="WAFER_20151116104300" w:val="UpdateStyles,UsedStyles"/>
    <w:docVar w:name="WAFER_20151116104300_GUID" w:val="c6959c41-8aef-4a6b-b6b9-f31a7920de4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spacing w:before="120" w:after="60"/>
      <w:ind w:left="1985" w:right="1134" w:hanging="567"/>
    </w:pPr>
    <w:rPr>
      <w:b/>
      <w:noProof/>
      <w:sz w:val="28"/>
    </w:rPr>
  </w:style>
  <w:style w:type="paragraph" w:styleId="TOC4">
    <w:name w:val="toc 4"/>
    <w:next w:val="Normal"/>
    <w:semiHidden/>
    <w:pPr>
      <w:spacing w:before="60" w:after="20"/>
      <w:ind w:left="1985" w:right="1134" w:hanging="567"/>
    </w:pPr>
    <w:rPr>
      <w:b/>
      <w:noProof/>
      <w:sz w:val="22"/>
    </w:rPr>
  </w:style>
  <w:style w:type="paragraph" w:styleId="TOC5">
    <w:name w:val="toc 5"/>
    <w:next w:val="Normal"/>
    <w:semiHidden/>
    <w:pPr>
      <w:spacing w:before="60" w:after="20"/>
      <w:ind w:left="1985" w:right="1134" w:hanging="567"/>
    </w:pPr>
    <w:rPr>
      <w:rFonts w:ascii="Helvetica" w:hAnsi="Helvetica"/>
      <w:b/>
      <w:noProof/>
      <w:sz w:val="18"/>
    </w:rPr>
  </w:style>
  <w:style w:type="paragraph" w:styleId="TOC6">
    <w:name w:val="toc 6"/>
    <w:next w:val="Normal"/>
    <w:semiHidden/>
    <w:pPr>
      <w:spacing w:before="60" w:after="20"/>
      <w:ind w:left="1985" w:right="1134" w:hanging="567"/>
    </w:pPr>
    <w:rPr>
      <w:b/>
      <w:noProof/>
    </w:rPr>
  </w:style>
  <w:style w:type="paragraph" w:styleId="TOC7">
    <w:name w:val="toc 7"/>
    <w:next w:val="Normal"/>
    <w:semiHidden/>
    <w:pPr>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360"/>
        <w:tab w:val="num" w:pos="1800"/>
      </w:tabs>
      <w:ind w:left="180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spacing w:before="120" w:after="60"/>
      <w:ind w:left="1985" w:right="1134" w:hanging="567"/>
    </w:pPr>
    <w:rPr>
      <w:b/>
      <w:noProof/>
      <w:sz w:val="28"/>
    </w:rPr>
  </w:style>
  <w:style w:type="paragraph" w:styleId="TOC4">
    <w:name w:val="toc 4"/>
    <w:next w:val="Normal"/>
    <w:semiHidden/>
    <w:pPr>
      <w:spacing w:before="60" w:after="20"/>
      <w:ind w:left="1985" w:right="1134" w:hanging="567"/>
    </w:pPr>
    <w:rPr>
      <w:b/>
      <w:noProof/>
      <w:sz w:val="22"/>
    </w:rPr>
  </w:style>
  <w:style w:type="paragraph" w:styleId="TOC5">
    <w:name w:val="toc 5"/>
    <w:next w:val="Normal"/>
    <w:semiHidden/>
    <w:pPr>
      <w:spacing w:before="60" w:after="20"/>
      <w:ind w:left="1985" w:right="1134" w:hanging="567"/>
    </w:pPr>
    <w:rPr>
      <w:rFonts w:ascii="Helvetica" w:hAnsi="Helvetica"/>
      <w:b/>
      <w:noProof/>
      <w:sz w:val="18"/>
    </w:rPr>
  </w:style>
  <w:style w:type="paragraph" w:styleId="TOC6">
    <w:name w:val="toc 6"/>
    <w:next w:val="Normal"/>
    <w:semiHidden/>
    <w:pPr>
      <w:spacing w:before="60" w:after="20"/>
      <w:ind w:left="1985" w:right="1134" w:hanging="567"/>
    </w:pPr>
    <w:rPr>
      <w:b/>
      <w:noProof/>
    </w:rPr>
  </w:style>
  <w:style w:type="paragraph" w:styleId="TOC7">
    <w:name w:val="toc 7"/>
    <w:next w:val="Normal"/>
    <w:semiHidden/>
    <w:pPr>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360"/>
        <w:tab w:val="num" w:pos="1800"/>
      </w:tabs>
      <w:ind w:left="180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1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11607</Words>
  <Characters>53742</Characters>
  <Application>Microsoft Office Word</Application>
  <DocSecurity>0</DocSecurity>
  <Lines>1414</Lines>
  <Paragraphs>673</Paragraphs>
  <ScaleCrop>false</ScaleCrop>
  <HeadingPairs>
    <vt:vector size="2" baseType="variant">
      <vt:variant>
        <vt:lpstr>Title</vt:lpstr>
      </vt:variant>
      <vt:variant>
        <vt:i4>1</vt:i4>
      </vt:variant>
    </vt:vector>
  </HeadingPairs>
  <TitlesOfParts>
    <vt:vector size="1" baseType="lpstr">
      <vt:lpstr>Cattle Industry Compensation Act 1965</vt:lpstr>
    </vt:vector>
  </TitlesOfParts>
  <Manager/>
  <Company/>
  <LinksUpToDate>false</LinksUpToDate>
  <CharactersWithSpaces>64676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03-d0-04 - 03-e0-05</dc:title>
  <dc:subject/>
  <dc:creator/>
  <cp:keywords/>
  <dc:description/>
  <cp:lastModifiedBy>svcMRProcess</cp:lastModifiedBy>
  <cp:revision>2</cp:revision>
  <cp:lastPrinted>2005-11-07T07:36:00Z</cp:lastPrinted>
  <dcterms:created xsi:type="dcterms:W3CDTF">2019-06-14T03:11:00Z</dcterms:created>
  <dcterms:modified xsi:type="dcterms:W3CDTF">2019-06-14T03:11:00Z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20100814</vt:lpwstr>
  </property>
  <property fmtid="{D5CDD505-2E9C-101B-9397-08002B2CF9AE}" pid="4" name="DocumentType">
    <vt:lpwstr>Act</vt:lpwstr>
  </property>
  <property fmtid="{D5CDD505-2E9C-101B-9397-08002B2CF9AE}" pid="5" name="OwlsUID">
    <vt:i4>110</vt:i4>
  </property>
  <property fmtid="{D5CDD505-2E9C-101B-9397-08002B2CF9AE}" pid="6" name="Status">
    <vt:lpwstr>NIF</vt:lpwstr>
  </property>
  <property fmtid="{D5CDD505-2E9C-101B-9397-08002B2CF9AE}" pid="7" name="FromSuffix">
    <vt:lpwstr>03-d0-04</vt:lpwstr>
  </property>
  <property fmtid="{D5CDD505-2E9C-101B-9397-08002B2CF9AE}" pid="8" name="FromAsAtDate">
    <vt:lpwstr>12 Oct 2007</vt:lpwstr>
  </property>
  <property fmtid="{D5CDD505-2E9C-101B-9397-08002B2CF9AE}" pid="9" name="ToSuffix">
    <vt:lpwstr>03-e0-05</vt:lpwstr>
  </property>
  <property fmtid="{D5CDD505-2E9C-101B-9397-08002B2CF9AE}" pid="10" name="ToAsAtDate">
    <vt:lpwstr>14 Aug 2010</vt:lpwstr>
  </property>
</Properties>
</file>