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2009</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04 Sep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0" w:name="_Toc189456487"/>
      <w:bookmarkStart w:id="1" w:name="_Toc223500295"/>
      <w:bookmarkStart w:id="2" w:name="_Toc223500457"/>
      <w:bookmarkStart w:id="3" w:name="_Toc239150406"/>
      <w:bookmarkStart w:id="4" w:name="_Toc271207416"/>
      <w:bookmarkStart w:id="5" w:name="_Toc271207592"/>
      <w:bookmarkStart w:id="6" w:name="_Toc271208915"/>
      <w:bookmarkStart w:id="7" w:name="_Toc271209249"/>
      <w:bookmarkStart w:id="8" w:name="_Toc271209425"/>
      <w:bookmarkStart w:id="9" w:name="_Toc271209601"/>
      <w:bookmarkStart w:id="10" w:name="_Toc271209777"/>
      <w:bookmarkStart w:id="11" w:name="_Toc524422878"/>
      <w:r>
        <w:rPr>
          <w:rStyle w:val="CharPartNo"/>
        </w:rPr>
        <w:t>P</w:t>
      </w:r>
      <w:bookmarkStart w:id="12" w:name="_GoBack"/>
      <w:bookmarkEnd w:id="1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pPr>
      <w:bookmarkStart w:id="13" w:name="_Toc271208916"/>
      <w:bookmarkStart w:id="14" w:name="_Toc271209778"/>
      <w:bookmarkStart w:id="15" w:name="_Toc239150407"/>
      <w:bookmarkStart w:id="16" w:name="_Toc524422879"/>
      <w:r>
        <w:rPr>
          <w:rStyle w:val="CharSectno"/>
        </w:rPr>
        <w:t>1</w:t>
      </w:r>
      <w:r>
        <w:t>.</w:t>
      </w:r>
      <w:r>
        <w:tab/>
        <w:t>Citation</w:t>
      </w:r>
      <w:bookmarkEnd w:id="13"/>
      <w:bookmarkEnd w:id="14"/>
      <w:bookmarkEnd w:id="15"/>
      <w:bookmarkEnd w:id="16"/>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
        </w:rPr>
        <w:t>.</w:t>
      </w:r>
    </w:p>
    <w:p>
      <w:pPr>
        <w:pStyle w:val="Heading5"/>
        <w:rPr>
          <w:snapToGrid w:val="0"/>
        </w:rPr>
      </w:pPr>
      <w:bookmarkStart w:id="17" w:name="_Toc271208917"/>
      <w:bookmarkStart w:id="18" w:name="_Toc271209779"/>
      <w:bookmarkStart w:id="19" w:name="_Toc239150408"/>
      <w:bookmarkStart w:id="20" w:name="_Toc524422880"/>
      <w:r>
        <w:rPr>
          <w:rStyle w:val="CharSectno"/>
        </w:rPr>
        <w:t>2</w:t>
      </w:r>
      <w:r>
        <w:rPr>
          <w:snapToGrid w:val="0"/>
        </w:rPr>
        <w:t>.</w:t>
      </w:r>
      <w:r>
        <w:rPr>
          <w:snapToGrid w:val="0"/>
        </w:rPr>
        <w:tab/>
        <w:t>Interpretation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lastRenderedPageBreak/>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designated under regulation 6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same meaning as in the </w:t>
      </w:r>
      <w:r>
        <w:rPr>
          <w:i/>
        </w:rPr>
        <w:t>Road Traffic Act 1974</w:t>
      </w:r>
      <w:r>
        <w:t>;</w:t>
      </w:r>
    </w:p>
    <w:p>
      <w:pPr>
        <w:pStyle w:val="Defstart"/>
      </w:pPr>
      <w:r>
        <w:tab/>
      </w:r>
      <w:r>
        <w:rPr>
          <w:rStyle w:val="CharDefText"/>
        </w:rPr>
        <w:t>vessel</w:t>
      </w:r>
      <w:r>
        <w:t xml:space="preserve"> means any thing used, or capable of being used, to move people or things by water and it does not matter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[Regulation 2 amended in Gazette 29 Sep 2006 p. 4304</w:t>
      </w:r>
      <w:r>
        <w:noBreakHyphen/>
        <w:t>5 and 4334.]</w:t>
      </w:r>
    </w:p>
    <w:p>
      <w:pPr>
        <w:pStyle w:val="Heading5"/>
        <w:rPr>
          <w:snapToGrid w:val="0"/>
        </w:rPr>
      </w:pPr>
      <w:bookmarkStart w:id="21" w:name="_Toc271208918"/>
      <w:bookmarkStart w:id="22" w:name="_Toc271209780"/>
      <w:bookmarkStart w:id="23" w:name="_Toc239150409"/>
      <w:bookmarkStart w:id="24" w:name="_Toc524422881"/>
      <w:r>
        <w:rPr>
          <w:rStyle w:val="CharSectno"/>
        </w:rPr>
        <w:t>3</w:t>
      </w:r>
      <w:r>
        <w:rPr>
          <w:snapToGrid w:val="0"/>
        </w:rPr>
        <w:t>.</w:t>
      </w:r>
      <w:r>
        <w:rPr>
          <w:snapToGrid w:val="0"/>
        </w:rPr>
        <w:tab/>
        <w:t>Application</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Unless otherwise stated, these regulations apply to — </w:t>
      </w:r>
    </w:p>
    <w:p>
      <w:pPr>
        <w:pStyle w:val="Indenta"/>
        <w:rPr>
          <w:snapToGrid w:val="0"/>
        </w:rPr>
      </w:pPr>
      <w:r>
        <w:rPr>
          <w:snapToGrid w:val="0"/>
        </w:rPr>
        <w:tab/>
        <w:t>(a)</w:t>
      </w:r>
      <w:r>
        <w:rPr>
          <w:snapToGrid w:val="0"/>
        </w:rPr>
        <w:tab/>
        <w:t>land, and land and waters, specified in section 5 of the Act;</w:t>
      </w:r>
    </w:p>
    <w:p>
      <w:pPr>
        <w:pStyle w:val="Indenta"/>
        <w:rPr>
          <w:snapToGrid w:val="0"/>
        </w:rPr>
      </w:pPr>
      <w:r>
        <w:rPr>
          <w:snapToGrid w:val="0"/>
        </w:rPr>
        <w:tab/>
        <w:t>(b)</w:t>
      </w:r>
      <w:r>
        <w:rPr>
          <w:snapToGrid w:val="0"/>
        </w:rPr>
        <w:tab/>
        <w:t>subject to section 130(2) of the Act, land which is subject to an agreement under section 16 of the Act;</w:t>
      </w:r>
    </w:p>
    <w:p>
      <w:pPr>
        <w:pStyle w:val="Indenta"/>
        <w:rPr>
          <w:snapToGrid w:val="0"/>
        </w:rPr>
      </w:pPr>
      <w:r>
        <w:rPr>
          <w:snapToGrid w:val="0"/>
        </w:rPr>
        <w:tab/>
        <w:t>(c)</w:t>
      </w:r>
      <w:r>
        <w:rPr>
          <w:snapToGrid w:val="0"/>
        </w:rPr>
        <w:tab/>
        <w:t>land placed under the management of the CEO under section 33(2) of the Act; and</w:t>
      </w:r>
    </w:p>
    <w:p>
      <w:pPr>
        <w:pStyle w:val="Indenta"/>
        <w:rPr>
          <w:snapToGrid w:val="0"/>
        </w:rPr>
      </w:pPr>
      <w:r>
        <w:rPr>
          <w:snapToGrid w:val="0"/>
        </w:rPr>
        <w:tab/>
        <w:t>(d)</w:t>
      </w:r>
      <w:r>
        <w:rPr>
          <w:snapToGrid w:val="0"/>
        </w:rPr>
        <w:tab/>
        <w:t xml:space="preserve">land to which section 131 of the Act applies. </w:t>
      </w:r>
    </w:p>
    <w:p>
      <w:pPr>
        <w:pStyle w:val="Footnotesection"/>
      </w:pPr>
      <w:r>
        <w:tab/>
        <w:t>[Regulation 3 amended in Gazette 29 Sep 2006 p. 4305.]</w:t>
      </w:r>
    </w:p>
    <w:p>
      <w:pPr>
        <w:pStyle w:val="Heading5"/>
        <w:rPr>
          <w:snapToGrid w:val="0"/>
        </w:rPr>
      </w:pPr>
      <w:bookmarkStart w:id="25" w:name="_Toc271208919"/>
      <w:bookmarkStart w:id="26" w:name="_Toc271209781"/>
      <w:bookmarkStart w:id="27" w:name="_Toc239150410"/>
      <w:bookmarkStart w:id="28" w:name="_Toc524422882"/>
      <w:r>
        <w:rPr>
          <w:rStyle w:val="CharSectno"/>
        </w:rPr>
        <w:t>4</w:t>
      </w:r>
      <w:r>
        <w:rPr>
          <w:snapToGrid w:val="0"/>
        </w:rPr>
        <w:t>.</w:t>
      </w:r>
      <w:r>
        <w:rPr>
          <w:snapToGrid w:val="0"/>
        </w:rPr>
        <w:tab/>
        <w:t>Lawful authority</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rPr>
          <w:snapToGrid w:val="0"/>
        </w:rPr>
      </w:pPr>
      <w:r>
        <w:rPr>
          <w:snapToGrid w:val="0"/>
        </w:rPr>
        <w:tab/>
        <w:t>(c)</w:t>
      </w:r>
      <w:r>
        <w:rPr>
          <w:snapToGrid w:val="0"/>
        </w:rPr>
        <w:tab/>
        <w:t xml:space="preserve">in contravention of a direction or authority under the </w:t>
      </w:r>
      <w:r>
        <w:rPr>
          <w:i/>
          <w:snapToGrid w:val="0"/>
        </w:rPr>
        <w:t>Agriculture and Related Resources Protection Act 1976</w:t>
      </w:r>
      <w:r>
        <w:rPr>
          <w:snapToGrid w:val="0"/>
        </w:rP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pPr>
      <w:r>
        <w:tab/>
        <w:t>(f)</w:t>
      </w:r>
      <w:r>
        <w:tab/>
        <w:t>where the person doing the act has entered the land upon which the act is done without lawful authority.</w:t>
      </w:r>
    </w:p>
    <w:p>
      <w:pPr>
        <w:pStyle w:val="Footnotesection"/>
      </w:pPr>
      <w:r>
        <w:tab/>
        <w:t>[Regulation 4 amended in Gazette 29 Sep 2006 p. 4305 and 4334.]</w:t>
      </w:r>
    </w:p>
    <w:p>
      <w:pPr>
        <w:pStyle w:val="Heading5"/>
        <w:rPr>
          <w:snapToGrid w:val="0"/>
        </w:rPr>
      </w:pPr>
      <w:bookmarkStart w:id="29" w:name="_Toc271208920"/>
      <w:bookmarkStart w:id="30" w:name="_Toc271209782"/>
      <w:bookmarkStart w:id="31" w:name="_Toc239150411"/>
      <w:bookmarkStart w:id="32" w:name="_Toc524422883"/>
      <w:r>
        <w:rPr>
          <w:rStyle w:val="CharSectno"/>
        </w:rPr>
        <w:t>5</w:t>
      </w:r>
      <w:r>
        <w:rPr>
          <w:snapToGrid w:val="0"/>
        </w:rPr>
        <w:t>.</w:t>
      </w:r>
      <w:r>
        <w:rPr>
          <w:snapToGrid w:val="0"/>
        </w:rPr>
        <w:tab/>
        <w:t>Restricted areas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 xml:space="preserve">that the area is a restricted area during the periods specified in the notice; </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33" w:name="_Toc271208921"/>
      <w:bookmarkStart w:id="34" w:name="_Toc271209783"/>
      <w:bookmarkStart w:id="35" w:name="_Toc239150412"/>
      <w:bookmarkStart w:id="36" w:name="_Toc524422884"/>
      <w:r>
        <w:rPr>
          <w:rStyle w:val="CharSectno"/>
        </w:rPr>
        <w:t>6</w:t>
      </w:r>
      <w:r>
        <w:rPr>
          <w:snapToGrid w:val="0"/>
        </w:rPr>
        <w:t>.</w:t>
      </w:r>
      <w:r>
        <w:rPr>
          <w:snapToGrid w:val="0"/>
        </w:rPr>
        <w:tab/>
        <w:t>Designated areas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 xml:space="preserve">that the area is a designated area during the periods specified in the notice; </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37" w:name="_Toc189456494"/>
      <w:bookmarkStart w:id="38" w:name="_Toc223500302"/>
      <w:bookmarkStart w:id="39" w:name="_Toc223500464"/>
      <w:bookmarkStart w:id="40" w:name="_Toc239150413"/>
      <w:bookmarkStart w:id="41" w:name="_Toc271207423"/>
      <w:bookmarkStart w:id="42" w:name="_Toc271207599"/>
      <w:bookmarkStart w:id="43" w:name="_Toc271208922"/>
      <w:bookmarkStart w:id="44" w:name="_Toc271209256"/>
      <w:bookmarkStart w:id="45" w:name="_Toc271209432"/>
      <w:bookmarkStart w:id="46" w:name="_Toc271209608"/>
      <w:bookmarkStart w:id="47" w:name="_Toc271209784"/>
      <w:bookmarkStart w:id="48" w:name="_Toc524422885"/>
      <w:r>
        <w:rPr>
          <w:rStyle w:val="CharPartNo"/>
        </w:rPr>
        <w:t>Part 2</w:t>
      </w:r>
      <w:r>
        <w:t xml:space="preserve"> — </w:t>
      </w:r>
      <w:r>
        <w:rPr>
          <w:rStyle w:val="CharPartText"/>
        </w:rPr>
        <w:t>Protection of the environment</w:t>
      </w:r>
      <w:bookmarkEnd w:id="37"/>
      <w:bookmarkEnd w:id="38"/>
      <w:bookmarkEnd w:id="39"/>
      <w:bookmarkEnd w:id="40"/>
      <w:bookmarkEnd w:id="41"/>
      <w:bookmarkEnd w:id="42"/>
      <w:bookmarkEnd w:id="43"/>
      <w:bookmarkEnd w:id="44"/>
      <w:bookmarkEnd w:id="45"/>
      <w:bookmarkEnd w:id="46"/>
      <w:bookmarkEnd w:id="47"/>
      <w:bookmarkEnd w:id="48"/>
    </w:p>
    <w:p>
      <w:pPr>
        <w:pStyle w:val="Heading3"/>
      </w:pPr>
      <w:bookmarkStart w:id="49" w:name="_Toc189456495"/>
      <w:bookmarkStart w:id="50" w:name="_Toc223500303"/>
      <w:bookmarkStart w:id="51" w:name="_Toc223500465"/>
      <w:bookmarkStart w:id="52" w:name="_Toc239150414"/>
      <w:bookmarkStart w:id="53" w:name="_Toc271207424"/>
      <w:bookmarkStart w:id="54" w:name="_Toc271207600"/>
      <w:bookmarkStart w:id="55" w:name="_Toc271208923"/>
      <w:bookmarkStart w:id="56" w:name="_Toc271209257"/>
      <w:bookmarkStart w:id="57" w:name="_Toc271209433"/>
      <w:bookmarkStart w:id="58" w:name="_Toc271209609"/>
      <w:bookmarkStart w:id="59" w:name="_Toc271209785"/>
      <w:bookmarkStart w:id="60" w:name="_Toc524422886"/>
      <w:r>
        <w:rPr>
          <w:rStyle w:val="CharDivNo"/>
        </w:rPr>
        <w:t>Division 1</w:t>
      </w:r>
      <w:r>
        <w:t xml:space="preserve"> — </w:t>
      </w:r>
      <w:r>
        <w:rPr>
          <w:rStyle w:val="CharDivText"/>
        </w:rPr>
        <w:t>Protection of flora and fauna</w:t>
      </w:r>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271208924"/>
      <w:bookmarkStart w:id="62" w:name="_Toc271209786"/>
      <w:bookmarkStart w:id="63" w:name="_Toc239150415"/>
      <w:bookmarkStart w:id="64" w:name="_Toc524422887"/>
      <w:r>
        <w:rPr>
          <w:rStyle w:val="CharSectno"/>
        </w:rPr>
        <w:t>7</w:t>
      </w:r>
      <w:r>
        <w:t>.</w:t>
      </w:r>
      <w:r>
        <w:tab/>
        <w:t>Limitation on restriction</w:t>
      </w:r>
      <w:bookmarkEnd w:id="61"/>
      <w:bookmarkEnd w:id="62"/>
      <w:bookmarkEnd w:id="63"/>
      <w:bookmarkEnd w:id="64"/>
    </w:p>
    <w:p>
      <w:pPr>
        <w:pStyle w:val="Subsection"/>
      </w:pPr>
      <w:r>
        <w:tab/>
      </w:r>
      <w:r>
        <w:tab/>
        <w:t xml:space="preserve">Nothing in these regulations imposes any restriction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in accordance with that Act,</w:t>
      </w:r>
    </w:p>
    <w:p>
      <w:pPr>
        <w:pStyle w:val="Subsection"/>
      </w:pPr>
      <w:r>
        <w:tab/>
      </w:r>
      <w:r>
        <w:tab/>
        <w:t>except to the extent that the restriction relates to conduct or activity other than the taking of fish but that incidentally affects the taking of fish.</w:t>
      </w:r>
    </w:p>
    <w:p>
      <w:pPr>
        <w:pStyle w:val="Heading5"/>
        <w:rPr>
          <w:snapToGrid w:val="0"/>
        </w:rPr>
      </w:pPr>
      <w:bookmarkStart w:id="65" w:name="_Toc271208925"/>
      <w:bookmarkStart w:id="66" w:name="_Toc271209787"/>
      <w:bookmarkStart w:id="67" w:name="_Toc239150416"/>
      <w:bookmarkStart w:id="68" w:name="_Toc524422888"/>
      <w:r>
        <w:rPr>
          <w:rStyle w:val="CharSectno"/>
        </w:rPr>
        <w:t>8</w:t>
      </w:r>
      <w:r>
        <w:rPr>
          <w:snapToGrid w:val="0"/>
        </w:rPr>
        <w:t>.</w:t>
      </w:r>
      <w:r>
        <w:rPr>
          <w:snapToGrid w:val="0"/>
        </w:rPr>
        <w:tab/>
        <w:t>Unlawful taking of flora and fauna other than fish</w:t>
      </w:r>
      <w:bookmarkEnd w:id="65"/>
      <w:bookmarkEnd w:id="66"/>
      <w:bookmarkEnd w:id="67"/>
      <w:bookmarkEnd w:id="68"/>
    </w:p>
    <w:p>
      <w:pPr>
        <w:pStyle w:val="Subsection"/>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Section 101C of the Act applies to the taking of flora or fauna in a marine reserve.</w:t>
      </w:r>
    </w:p>
    <w:p>
      <w:pPr>
        <w:pStyle w:val="Subsection"/>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Heading5"/>
        <w:rPr>
          <w:snapToGrid w:val="0"/>
        </w:rPr>
      </w:pPr>
      <w:bookmarkStart w:id="69" w:name="_Toc271208926"/>
      <w:bookmarkStart w:id="70" w:name="_Toc271209788"/>
      <w:bookmarkStart w:id="71" w:name="_Toc239150417"/>
      <w:bookmarkStart w:id="72" w:name="_Toc524422889"/>
      <w:r>
        <w:rPr>
          <w:rStyle w:val="CharSectno"/>
        </w:rPr>
        <w:t>9</w:t>
      </w:r>
      <w:r>
        <w:rPr>
          <w:snapToGrid w:val="0"/>
        </w:rPr>
        <w:t>.</w:t>
      </w:r>
      <w:r>
        <w:rPr>
          <w:snapToGrid w:val="0"/>
        </w:rPr>
        <w:tab/>
        <w:t>Fishing in restricted areas</w:t>
      </w:r>
      <w:bookmarkEnd w:id="69"/>
      <w:bookmarkEnd w:id="70"/>
      <w:bookmarkEnd w:id="71"/>
      <w:bookmarkEnd w:id="72"/>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Heading5"/>
        <w:rPr>
          <w:snapToGrid w:val="0"/>
        </w:rPr>
      </w:pPr>
      <w:bookmarkStart w:id="73" w:name="_Toc271208927"/>
      <w:bookmarkStart w:id="74" w:name="_Toc271209789"/>
      <w:bookmarkStart w:id="75" w:name="_Toc239150418"/>
      <w:bookmarkStart w:id="76" w:name="_Toc524422890"/>
      <w:r>
        <w:rPr>
          <w:rStyle w:val="CharSectno"/>
        </w:rPr>
        <w:t>10</w:t>
      </w:r>
      <w:r>
        <w:rPr>
          <w:snapToGrid w:val="0"/>
        </w:rPr>
        <w:t>.</w:t>
      </w:r>
      <w:r>
        <w:rPr>
          <w:snapToGrid w:val="0"/>
        </w:rPr>
        <w:tab/>
        <w:t>Feeding of fauna</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must not, without lawful authority, feed fauna, or entice fauna with food, on CALM land.</w:t>
      </w:r>
    </w:p>
    <w:p>
      <w:pPr>
        <w:pStyle w:val="Penstart"/>
        <w:rPr>
          <w:snapToGrid w:val="0"/>
        </w:rPr>
      </w:pPr>
      <w:r>
        <w:rPr>
          <w:snapToGrid w:val="0"/>
        </w:rPr>
        <w:tab/>
        <w:t>Penalty: $500.</w:t>
      </w:r>
    </w:p>
    <w:p>
      <w:pPr>
        <w:pStyle w:val="Heading5"/>
        <w:rPr>
          <w:snapToGrid w:val="0"/>
        </w:rPr>
      </w:pPr>
      <w:bookmarkStart w:id="77" w:name="_Toc271208928"/>
      <w:bookmarkStart w:id="78" w:name="_Toc271209790"/>
      <w:bookmarkStart w:id="79" w:name="_Toc239150419"/>
      <w:bookmarkStart w:id="80" w:name="_Toc524422891"/>
      <w:r>
        <w:rPr>
          <w:rStyle w:val="CharSectno"/>
        </w:rPr>
        <w:t>11</w:t>
      </w:r>
      <w:r>
        <w:rPr>
          <w:snapToGrid w:val="0"/>
        </w:rPr>
        <w:t>.</w:t>
      </w:r>
      <w:r>
        <w:rPr>
          <w:snapToGrid w:val="0"/>
        </w:rPr>
        <w:tab/>
        <w:t>Restrictions on approaching certain marine fauna</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Heading5"/>
        <w:rPr>
          <w:snapToGrid w:val="0"/>
        </w:rPr>
      </w:pPr>
      <w:bookmarkStart w:id="81" w:name="_Toc271208929"/>
      <w:bookmarkStart w:id="82" w:name="_Toc271209791"/>
      <w:bookmarkStart w:id="83" w:name="_Toc239150420"/>
      <w:bookmarkStart w:id="84" w:name="_Toc524422892"/>
      <w:r>
        <w:rPr>
          <w:rStyle w:val="CharSectno"/>
        </w:rPr>
        <w:t>12</w:t>
      </w:r>
      <w:r>
        <w:rPr>
          <w:snapToGrid w:val="0"/>
        </w:rPr>
        <w:t>.</w:t>
      </w:r>
      <w:r>
        <w:rPr>
          <w:snapToGrid w:val="0"/>
        </w:rPr>
        <w:tab/>
        <w:t>Possession or use of firearms, spears, restricted devices, etc.</w:t>
      </w:r>
      <w:bookmarkEnd w:id="81"/>
      <w:bookmarkEnd w:id="82"/>
      <w:bookmarkEnd w:id="83"/>
      <w:bookmarkEnd w:id="84"/>
    </w:p>
    <w:p>
      <w:pPr>
        <w:pStyle w:val="Subsection"/>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rPr>
          <w:snapToGrid w:val="0"/>
        </w:rPr>
      </w:pPr>
      <w:r>
        <w:rPr>
          <w:snapToGrid w:val="0"/>
        </w:rPr>
        <w:tab/>
        <w:t>(a)</w:t>
      </w:r>
      <w:r>
        <w:rPr>
          <w:snapToGrid w:val="0"/>
        </w:rPr>
        <w:tab/>
        <w:t>is completely stowed within a vehicle or vessel; and</w:t>
      </w:r>
    </w:p>
    <w:p>
      <w:pPr>
        <w:pStyle w:val="Indenta"/>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Penalty: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w:t>
      </w:r>
    </w:p>
    <w:p>
      <w:pPr>
        <w:pStyle w:val="Defpara"/>
      </w:pPr>
      <w:r>
        <w:tab/>
        <w:t>(b)</w:t>
      </w:r>
      <w:r>
        <w:tab/>
        <w:t>an explosive, poisonous, noxious or narcotising substance;</w:t>
      </w:r>
    </w:p>
    <w:p>
      <w:pPr>
        <w:pStyle w:val="Defpara"/>
      </w:pPr>
      <w:r>
        <w:tab/>
        <w:t>(c)</w:t>
      </w:r>
      <w:r>
        <w:tab/>
        <w:t>a snare, trap or net; or</w:t>
      </w:r>
    </w:p>
    <w:p>
      <w:pPr>
        <w:pStyle w:val="Defpara"/>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pPr>
      <w:r>
        <w:tab/>
        <w:t>[Regulation 12 amended in Gazette 29 Sep 2006 p. 4306</w:t>
      </w:r>
      <w:r>
        <w:noBreakHyphen/>
        <w:t>7; 27 Feb 2007 p. 625.]</w:t>
      </w:r>
    </w:p>
    <w:p>
      <w:pPr>
        <w:pStyle w:val="Heading5"/>
        <w:rPr>
          <w:snapToGrid w:val="0"/>
        </w:rPr>
      </w:pPr>
      <w:bookmarkStart w:id="85" w:name="_Toc271208930"/>
      <w:bookmarkStart w:id="86" w:name="_Toc271209792"/>
      <w:bookmarkStart w:id="87" w:name="_Toc239150421"/>
      <w:bookmarkStart w:id="88" w:name="_Toc524422893"/>
      <w:r>
        <w:rPr>
          <w:rStyle w:val="CharSectno"/>
        </w:rPr>
        <w:t>13</w:t>
      </w:r>
      <w:r>
        <w:rPr>
          <w:snapToGrid w:val="0"/>
        </w:rPr>
        <w:t>.</w:t>
      </w:r>
      <w:r>
        <w:rPr>
          <w:snapToGrid w:val="0"/>
        </w:rPr>
        <w:tab/>
        <w:t>Cultivation etc. prohibited</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person must not, without lawful authority, plant, cultivate or abandon any plant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Heading5"/>
        <w:rPr>
          <w:snapToGrid w:val="0"/>
        </w:rPr>
      </w:pPr>
      <w:bookmarkStart w:id="89" w:name="_Toc271208931"/>
      <w:bookmarkStart w:id="90" w:name="_Toc271209793"/>
      <w:bookmarkStart w:id="91" w:name="_Toc239150422"/>
      <w:bookmarkStart w:id="92" w:name="_Toc524422894"/>
      <w:r>
        <w:rPr>
          <w:rStyle w:val="CharSectno"/>
        </w:rPr>
        <w:t>14</w:t>
      </w:r>
      <w:r>
        <w:rPr>
          <w:snapToGrid w:val="0"/>
        </w:rPr>
        <w:t>.</w:t>
      </w:r>
      <w:r>
        <w:rPr>
          <w:snapToGrid w:val="0"/>
        </w:rPr>
        <w:tab/>
        <w:t>Removal of plants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3"/>
      </w:pPr>
      <w:bookmarkStart w:id="93" w:name="_Toc189456504"/>
      <w:bookmarkStart w:id="94" w:name="_Toc223500312"/>
      <w:bookmarkStart w:id="95" w:name="_Toc223500474"/>
      <w:bookmarkStart w:id="96" w:name="_Toc239150423"/>
      <w:bookmarkStart w:id="97" w:name="_Toc271207433"/>
      <w:bookmarkStart w:id="98" w:name="_Toc271207609"/>
      <w:bookmarkStart w:id="99" w:name="_Toc271208932"/>
      <w:bookmarkStart w:id="100" w:name="_Toc271209266"/>
      <w:bookmarkStart w:id="101" w:name="_Toc271209442"/>
      <w:bookmarkStart w:id="102" w:name="_Toc271209618"/>
      <w:bookmarkStart w:id="103" w:name="_Toc271209794"/>
      <w:bookmarkStart w:id="104" w:name="_Toc524422895"/>
      <w:r>
        <w:rPr>
          <w:rStyle w:val="CharDivNo"/>
        </w:rPr>
        <w:t>Division 2</w:t>
      </w:r>
      <w:r>
        <w:rPr>
          <w:snapToGrid w:val="0"/>
        </w:rPr>
        <w:t xml:space="preserve"> — </w:t>
      </w:r>
      <w:r>
        <w:rPr>
          <w:rStyle w:val="CharDivText"/>
        </w:rPr>
        <w:t>Animals on CALM land</w:t>
      </w:r>
      <w:bookmarkEnd w:id="93"/>
      <w:bookmarkEnd w:id="94"/>
      <w:bookmarkEnd w:id="95"/>
      <w:bookmarkEnd w:id="96"/>
      <w:bookmarkEnd w:id="97"/>
      <w:bookmarkEnd w:id="98"/>
      <w:bookmarkEnd w:id="99"/>
      <w:bookmarkEnd w:id="100"/>
      <w:bookmarkEnd w:id="101"/>
      <w:bookmarkEnd w:id="102"/>
      <w:bookmarkEnd w:id="103"/>
      <w:bookmarkEnd w:id="104"/>
    </w:p>
    <w:p>
      <w:pPr>
        <w:pStyle w:val="Footnoteheading"/>
      </w:pPr>
      <w:r>
        <w:tab/>
        <w:t>[Heading amended in Gazette 29 Sep 2006 p. 4307.]</w:t>
      </w:r>
    </w:p>
    <w:p>
      <w:pPr>
        <w:pStyle w:val="Heading5"/>
        <w:rPr>
          <w:snapToGrid w:val="0"/>
        </w:rPr>
      </w:pPr>
      <w:bookmarkStart w:id="105" w:name="_Toc271208933"/>
      <w:bookmarkStart w:id="106" w:name="_Toc271209795"/>
      <w:bookmarkStart w:id="107" w:name="_Toc239150424"/>
      <w:bookmarkStart w:id="108" w:name="_Toc524422896"/>
      <w:r>
        <w:rPr>
          <w:rStyle w:val="CharSectno"/>
        </w:rPr>
        <w:t>15</w:t>
      </w:r>
      <w:r>
        <w:rPr>
          <w:snapToGrid w:val="0"/>
        </w:rPr>
        <w:t>.</w:t>
      </w:r>
      <w:r>
        <w:rPr>
          <w:snapToGrid w:val="0"/>
        </w:rPr>
        <w:tab/>
        <w:t>Bringing animal on to CALM land</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Penalty: $500.</w:t>
      </w:r>
    </w:p>
    <w:p>
      <w:pPr>
        <w:pStyle w:val="Heading5"/>
        <w:spacing w:before="180"/>
        <w:rPr>
          <w:snapToGrid w:val="0"/>
        </w:rPr>
      </w:pPr>
      <w:bookmarkStart w:id="109" w:name="_Toc271208934"/>
      <w:bookmarkStart w:id="110" w:name="_Toc271209796"/>
      <w:bookmarkStart w:id="111" w:name="_Toc239150425"/>
      <w:bookmarkStart w:id="112" w:name="_Toc524422897"/>
      <w:r>
        <w:rPr>
          <w:rStyle w:val="CharSectno"/>
        </w:rPr>
        <w:t>16</w:t>
      </w:r>
      <w:r>
        <w:rPr>
          <w:snapToGrid w:val="0"/>
        </w:rPr>
        <w:t>.</w:t>
      </w:r>
      <w:r>
        <w:rPr>
          <w:snapToGrid w:val="0"/>
        </w:rPr>
        <w:tab/>
        <w:t>Dogs on CALM land</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person may bring a dog on to a designated area.</w:t>
      </w:r>
    </w:p>
    <w:p>
      <w:pPr>
        <w:pStyle w:val="Subsection"/>
        <w:rPr>
          <w:snapToGrid w:val="0"/>
        </w:rPr>
      </w:pPr>
      <w:r>
        <w:rPr>
          <w:snapToGrid w:val="0"/>
        </w:rPr>
        <w:tab/>
        <w:t>(2)</w:t>
      </w:r>
      <w:r>
        <w:rPr>
          <w:snapToGrid w:val="0"/>
        </w:rPr>
        <w:tab/>
        <w:t>A person must control and manage a dog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spacing w:before="180"/>
        <w:rPr>
          <w:snapToGrid w:val="0"/>
        </w:rPr>
      </w:pPr>
      <w:bookmarkStart w:id="113" w:name="_Toc271208935"/>
      <w:bookmarkStart w:id="114" w:name="_Toc271209797"/>
      <w:bookmarkStart w:id="115" w:name="_Toc239150426"/>
      <w:bookmarkStart w:id="116" w:name="_Toc524422898"/>
      <w:r>
        <w:rPr>
          <w:rStyle w:val="CharSectno"/>
        </w:rPr>
        <w:t>17</w:t>
      </w:r>
      <w:r>
        <w:rPr>
          <w:snapToGrid w:val="0"/>
        </w:rPr>
        <w:t>.</w:t>
      </w:r>
      <w:r>
        <w:rPr>
          <w:snapToGrid w:val="0"/>
        </w:rPr>
        <w:tab/>
        <w:t>Horses on CALM land</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person may bring a horse on to a designated area.</w:t>
      </w:r>
    </w:p>
    <w:p>
      <w:pPr>
        <w:pStyle w:val="Subsection"/>
        <w:spacing w:before="120"/>
        <w:rPr>
          <w:snapToGrid w:val="0"/>
        </w:rPr>
      </w:pPr>
      <w:r>
        <w:rPr>
          <w:snapToGrid w:val="0"/>
        </w:rPr>
        <w:tab/>
        <w:t>(2)</w:t>
      </w:r>
      <w:r>
        <w:rPr>
          <w:snapToGrid w:val="0"/>
        </w:rPr>
        <w:tab/>
        <w:t>A person must control and manage a horse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spacing w:before="180"/>
        <w:rPr>
          <w:snapToGrid w:val="0"/>
        </w:rPr>
      </w:pPr>
      <w:bookmarkStart w:id="117" w:name="_Toc271208936"/>
      <w:bookmarkStart w:id="118" w:name="_Toc271209798"/>
      <w:bookmarkStart w:id="119" w:name="_Toc239150427"/>
      <w:bookmarkStart w:id="120" w:name="_Toc524422899"/>
      <w:r>
        <w:rPr>
          <w:rStyle w:val="CharSectno"/>
        </w:rPr>
        <w:t>18</w:t>
      </w:r>
      <w:r>
        <w:rPr>
          <w:snapToGrid w:val="0"/>
        </w:rPr>
        <w:t>.</w:t>
      </w:r>
      <w:r>
        <w:rPr>
          <w:snapToGrid w:val="0"/>
        </w:rPr>
        <w:tab/>
        <w:t>Unlawful taking of non</w:t>
      </w:r>
      <w:r>
        <w:rPr>
          <w:snapToGrid w:val="0"/>
        </w:rPr>
        <w:noBreakHyphen/>
        <w:t>indigenous animals</w:t>
      </w:r>
      <w:bookmarkEnd w:id="117"/>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Penalty: $1 000.</w:t>
      </w:r>
    </w:p>
    <w:p>
      <w:pPr>
        <w:pStyle w:val="Heading5"/>
        <w:spacing w:before="180"/>
        <w:rPr>
          <w:snapToGrid w:val="0"/>
        </w:rPr>
      </w:pPr>
      <w:bookmarkStart w:id="121" w:name="_Toc271208937"/>
      <w:bookmarkStart w:id="122" w:name="_Toc271209799"/>
      <w:bookmarkStart w:id="123" w:name="_Toc239150428"/>
      <w:bookmarkStart w:id="124" w:name="_Toc524422900"/>
      <w:r>
        <w:rPr>
          <w:rStyle w:val="CharSectno"/>
        </w:rPr>
        <w:t>19</w:t>
      </w:r>
      <w:r>
        <w:rPr>
          <w:snapToGrid w:val="0"/>
        </w:rPr>
        <w:t>.</w:t>
      </w:r>
      <w:r>
        <w:rPr>
          <w:snapToGrid w:val="0"/>
        </w:rPr>
        <w:tab/>
        <w:t>Removal of animal by owner or person in charge</w:t>
      </w:r>
      <w:bookmarkEnd w:id="121"/>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Penalty: $500.</w:t>
      </w:r>
    </w:p>
    <w:p>
      <w:pPr>
        <w:pStyle w:val="Heading5"/>
        <w:keepNext w:val="0"/>
        <w:keepLines w:val="0"/>
        <w:spacing w:before="180"/>
        <w:rPr>
          <w:snapToGrid w:val="0"/>
        </w:rPr>
      </w:pPr>
      <w:bookmarkStart w:id="125" w:name="_Toc271208938"/>
      <w:bookmarkStart w:id="126" w:name="_Toc271209800"/>
      <w:bookmarkStart w:id="127" w:name="_Toc239150429"/>
      <w:bookmarkStart w:id="128" w:name="_Toc524422901"/>
      <w:r>
        <w:rPr>
          <w:rStyle w:val="CharSectno"/>
        </w:rPr>
        <w:t>20</w:t>
      </w:r>
      <w:r>
        <w:rPr>
          <w:snapToGrid w:val="0"/>
        </w:rPr>
        <w:t>.</w:t>
      </w:r>
      <w:r>
        <w:rPr>
          <w:snapToGrid w:val="0"/>
        </w:rPr>
        <w:tab/>
        <w:t>Removal of animals by authorised officer</w:t>
      </w:r>
      <w:bookmarkEnd w:id="125"/>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spacing w:before="80"/>
        <w:ind w:left="890" w:hanging="890"/>
      </w:pPr>
      <w:r>
        <w:tab/>
        <w:t>[Regulation 20 amended in Gazette 29 Sep 2006 p. 4307.]</w:t>
      </w:r>
    </w:p>
    <w:p>
      <w:pPr>
        <w:pStyle w:val="Heading3"/>
        <w:spacing w:before="160"/>
      </w:pPr>
      <w:bookmarkStart w:id="129" w:name="_Toc189456511"/>
      <w:bookmarkStart w:id="130" w:name="_Toc223500319"/>
      <w:bookmarkStart w:id="131" w:name="_Toc223500481"/>
      <w:bookmarkStart w:id="132" w:name="_Toc239150430"/>
      <w:bookmarkStart w:id="133" w:name="_Toc271207440"/>
      <w:bookmarkStart w:id="134" w:name="_Toc271207616"/>
      <w:bookmarkStart w:id="135" w:name="_Toc271208939"/>
      <w:bookmarkStart w:id="136" w:name="_Toc271209273"/>
      <w:bookmarkStart w:id="137" w:name="_Toc271209449"/>
      <w:bookmarkStart w:id="138" w:name="_Toc271209625"/>
      <w:bookmarkStart w:id="139" w:name="_Toc271209801"/>
      <w:bookmarkStart w:id="140" w:name="_Toc524422902"/>
      <w:r>
        <w:rPr>
          <w:rStyle w:val="CharDivNo"/>
        </w:rPr>
        <w:t>Division 3</w:t>
      </w:r>
      <w:r>
        <w:rPr>
          <w:snapToGrid w:val="0"/>
        </w:rPr>
        <w:t xml:space="preserve"> — </w:t>
      </w:r>
      <w:r>
        <w:rPr>
          <w:rStyle w:val="CharDivText"/>
        </w:rPr>
        <w:t>Pollution and litter</w:t>
      </w:r>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271208940"/>
      <w:bookmarkStart w:id="142" w:name="_Toc271209802"/>
      <w:bookmarkStart w:id="143" w:name="_Toc239150431"/>
      <w:bookmarkStart w:id="144" w:name="_Toc524422903"/>
      <w:r>
        <w:rPr>
          <w:rStyle w:val="CharSectno"/>
        </w:rPr>
        <w:t>21</w:t>
      </w:r>
      <w:r>
        <w:rPr>
          <w:snapToGrid w:val="0"/>
        </w:rPr>
        <w:t>.</w:t>
      </w:r>
      <w:r>
        <w:rPr>
          <w:snapToGrid w:val="0"/>
        </w:rPr>
        <w:tab/>
        <w:t>Discharging or depositing waste</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Heading5"/>
      </w:pPr>
      <w:bookmarkStart w:id="145" w:name="_Toc271208941"/>
      <w:bookmarkStart w:id="146" w:name="_Toc271209803"/>
      <w:bookmarkStart w:id="147" w:name="_Toc239150432"/>
      <w:bookmarkStart w:id="148" w:name="_Toc524422904"/>
      <w:r>
        <w:rPr>
          <w:rStyle w:val="CharSectno"/>
        </w:rPr>
        <w:t>22</w:t>
      </w:r>
      <w:r>
        <w:t>.</w:t>
      </w:r>
      <w:r>
        <w:tab/>
        <w:t>Painting or treating vessels</w:t>
      </w:r>
      <w:bookmarkEnd w:id="145"/>
      <w:bookmarkEnd w:id="146"/>
      <w:bookmarkEnd w:id="147"/>
      <w:bookmarkEnd w:id="148"/>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Penalty: $2 000.</w:t>
      </w:r>
    </w:p>
    <w:p>
      <w:pPr>
        <w:pStyle w:val="Heading5"/>
        <w:rPr>
          <w:snapToGrid w:val="0"/>
        </w:rPr>
      </w:pPr>
      <w:bookmarkStart w:id="149" w:name="_Toc271208942"/>
      <w:bookmarkStart w:id="150" w:name="_Toc271209804"/>
      <w:bookmarkStart w:id="151" w:name="_Toc239150433"/>
      <w:bookmarkStart w:id="152" w:name="_Toc524422905"/>
      <w:r>
        <w:rPr>
          <w:rStyle w:val="CharSectno"/>
        </w:rPr>
        <w:t>23</w:t>
      </w:r>
      <w:r>
        <w:rPr>
          <w:snapToGrid w:val="0"/>
        </w:rPr>
        <w:t>.</w:t>
      </w:r>
      <w:r>
        <w:rPr>
          <w:snapToGrid w:val="0"/>
        </w:rPr>
        <w:tab/>
        <w:t>Pollution of water supply</w:t>
      </w:r>
      <w:bookmarkEnd w:id="149"/>
      <w:bookmarkEnd w:id="150"/>
      <w:bookmarkEnd w:id="151"/>
      <w:bookmarkEnd w:id="152"/>
      <w:r>
        <w:rPr>
          <w:snapToGrid w:val="0"/>
        </w:rPr>
        <w:t xml:space="preserve"> </w:t>
      </w:r>
    </w:p>
    <w:p>
      <w:pPr>
        <w:pStyle w:val="Subsection"/>
        <w:spacing w:before="180"/>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Penalty: $2 000.</w:t>
      </w:r>
    </w:p>
    <w:p>
      <w:pPr>
        <w:pStyle w:val="Subsection"/>
      </w:pPr>
      <w:r>
        <w:tab/>
        <w:t>(1a)</w:t>
      </w:r>
      <w:r>
        <w:tab/>
        <w:t>Subregulation (1) does not apply to swimming or bathing in a water course or water body that is not used for storing water for human consumption.</w:t>
      </w:r>
    </w:p>
    <w:p>
      <w:pPr>
        <w:pStyle w:val="Subsection"/>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Penalty: $500.</w:t>
      </w:r>
    </w:p>
    <w:p>
      <w:pPr>
        <w:pStyle w:val="Footnotesection"/>
      </w:pPr>
      <w:r>
        <w:tab/>
        <w:t>[Regulation 23 amended in Gazette 29 Sep 2006 p. 4308.]</w:t>
      </w:r>
    </w:p>
    <w:p>
      <w:pPr>
        <w:pStyle w:val="Heading5"/>
        <w:rPr>
          <w:snapToGrid w:val="0"/>
        </w:rPr>
      </w:pPr>
      <w:bookmarkStart w:id="153" w:name="_Toc271208943"/>
      <w:bookmarkStart w:id="154" w:name="_Toc271209805"/>
      <w:bookmarkStart w:id="155" w:name="_Toc239150434"/>
      <w:bookmarkStart w:id="156" w:name="_Toc524422906"/>
      <w:r>
        <w:rPr>
          <w:rStyle w:val="CharSectno"/>
        </w:rPr>
        <w:t>24</w:t>
      </w:r>
      <w:r>
        <w:rPr>
          <w:snapToGrid w:val="0"/>
        </w:rPr>
        <w:t>.</w:t>
      </w:r>
      <w:r>
        <w:rPr>
          <w:snapToGrid w:val="0"/>
        </w:rPr>
        <w:tab/>
        <w:t>Litter</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pPr>
      <w:r>
        <w:tab/>
        <w:t>[Regulation 24 amended in Gazette 29 Sep 2006 p. 4334.]</w:t>
      </w:r>
    </w:p>
    <w:p>
      <w:pPr>
        <w:pStyle w:val="Heading5"/>
        <w:rPr>
          <w:snapToGrid w:val="0"/>
        </w:rPr>
      </w:pPr>
      <w:bookmarkStart w:id="157" w:name="_Toc271208944"/>
      <w:bookmarkStart w:id="158" w:name="_Toc271209806"/>
      <w:bookmarkStart w:id="159" w:name="_Toc239150435"/>
      <w:bookmarkStart w:id="160" w:name="_Toc524422907"/>
      <w:r>
        <w:rPr>
          <w:rStyle w:val="CharSectno"/>
        </w:rPr>
        <w:t>25</w:t>
      </w:r>
      <w:r>
        <w:rPr>
          <w:snapToGrid w:val="0"/>
        </w:rPr>
        <w:t>.</w:t>
      </w:r>
      <w:r>
        <w:rPr>
          <w:snapToGrid w:val="0"/>
        </w:rPr>
        <w:tab/>
        <w:t>Building materials and other matter</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Penalty: $2 000.</w:t>
      </w:r>
    </w:p>
    <w:p>
      <w:pPr>
        <w:pStyle w:val="Heading5"/>
        <w:rPr>
          <w:snapToGrid w:val="0"/>
        </w:rPr>
      </w:pPr>
      <w:bookmarkStart w:id="161" w:name="_Toc271208945"/>
      <w:bookmarkStart w:id="162" w:name="_Toc271209807"/>
      <w:bookmarkStart w:id="163" w:name="_Toc239150436"/>
      <w:bookmarkStart w:id="164" w:name="_Toc524422908"/>
      <w:r>
        <w:rPr>
          <w:rStyle w:val="CharSectno"/>
        </w:rPr>
        <w:t>26</w:t>
      </w:r>
      <w:r>
        <w:rPr>
          <w:snapToGrid w:val="0"/>
        </w:rPr>
        <w:t>.</w:t>
      </w:r>
      <w:r>
        <w:rPr>
          <w:snapToGrid w:val="0"/>
        </w:rPr>
        <w:tab/>
        <w:t>Glass in restricted areas</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Penalty: $500.</w:t>
      </w:r>
    </w:p>
    <w:p>
      <w:pPr>
        <w:pStyle w:val="Heading5"/>
        <w:rPr>
          <w:snapToGrid w:val="0"/>
        </w:rPr>
      </w:pPr>
      <w:bookmarkStart w:id="165" w:name="_Toc271208946"/>
      <w:bookmarkStart w:id="166" w:name="_Toc271209808"/>
      <w:bookmarkStart w:id="167" w:name="_Toc239150437"/>
      <w:bookmarkStart w:id="168" w:name="_Toc524422909"/>
      <w:r>
        <w:rPr>
          <w:rStyle w:val="CharSectno"/>
        </w:rPr>
        <w:t>27</w:t>
      </w:r>
      <w:r>
        <w:rPr>
          <w:snapToGrid w:val="0"/>
        </w:rPr>
        <w:t>.</w:t>
      </w:r>
      <w:r>
        <w:rPr>
          <w:snapToGrid w:val="0"/>
        </w:rPr>
        <w:tab/>
        <w:t>Removal of litter etc.</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5"/>
        <w:rPr>
          <w:snapToGrid w:val="0"/>
        </w:rPr>
      </w:pPr>
      <w:bookmarkStart w:id="169" w:name="_Toc271208947"/>
      <w:bookmarkStart w:id="170" w:name="_Toc271209809"/>
      <w:bookmarkStart w:id="171" w:name="_Toc239150438"/>
      <w:bookmarkStart w:id="172" w:name="_Toc524422910"/>
      <w:r>
        <w:rPr>
          <w:rStyle w:val="CharSectno"/>
        </w:rPr>
        <w:t>28</w:t>
      </w:r>
      <w:r>
        <w:rPr>
          <w:snapToGrid w:val="0"/>
        </w:rPr>
        <w:t>.</w:t>
      </w:r>
      <w:r>
        <w:rPr>
          <w:snapToGrid w:val="0"/>
        </w:rPr>
        <w:tab/>
        <w:t>Cleaning, scaling etc. fish</w:t>
      </w:r>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Penalty: $200.</w:t>
      </w:r>
    </w:p>
    <w:p>
      <w:pPr>
        <w:pStyle w:val="Heading5"/>
        <w:rPr>
          <w:snapToGrid w:val="0"/>
        </w:rPr>
      </w:pPr>
      <w:bookmarkStart w:id="173" w:name="_Toc271208948"/>
      <w:bookmarkStart w:id="174" w:name="_Toc271209810"/>
      <w:bookmarkStart w:id="175" w:name="_Toc239150439"/>
      <w:bookmarkStart w:id="176" w:name="_Toc524422911"/>
      <w:r>
        <w:rPr>
          <w:rStyle w:val="CharSectno"/>
        </w:rPr>
        <w:t>29</w:t>
      </w:r>
      <w:r>
        <w:rPr>
          <w:snapToGrid w:val="0"/>
        </w:rPr>
        <w:t>.</w:t>
      </w:r>
      <w:r>
        <w:rPr>
          <w:snapToGrid w:val="0"/>
        </w:rPr>
        <w:tab/>
        <w:t>Fires and smoking in caves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Penalty: $2 000.</w:t>
      </w:r>
    </w:p>
    <w:p>
      <w:pPr>
        <w:pStyle w:val="Heading3"/>
      </w:pPr>
      <w:bookmarkStart w:id="177" w:name="_Toc189456521"/>
      <w:bookmarkStart w:id="178" w:name="_Toc223500329"/>
      <w:bookmarkStart w:id="179" w:name="_Toc223500491"/>
      <w:bookmarkStart w:id="180" w:name="_Toc239150440"/>
      <w:bookmarkStart w:id="181" w:name="_Toc271207450"/>
      <w:bookmarkStart w:id="182" w:name="_Toc271207626"/>
      <w:bookmarkStart w:id="183" w:name="_Toc271208949"/>
      <w:bookmarkStart w:id="184" w:name="_Toc271209283"/>
      <w:bookmarkStart w:id="185" w:name="_Toc271209459"/>
      <w:bookmarkStart w:id="186" w:name="_Toc271209635"/>
      <w:bookmarkStart w:id="187" w:name="_Toc271209811"/>
      <w:bookmarkStart w:id="188" w:name="_Toc524422912"/>
      <w:r>
        <w:rPr>
          <w:rStyle w:val="CharDivNo"/>
        </w:rPr>
        <w:t>Division 4</w:t>
      </w:r>
      <w:r>
        <w:rPr>
          <w:snapToGrid w:val="0"/>
        </w:rPr>
        <w:t xml:space="preserve"> — </w:t>
      </w:r>
      <w:r>
        <w:rPr>
          <w:rStyle w:val="CharDivText"/>
        </w:rPr>
        <w:t>Disturbance of the landscape</w:t>
      </w:r>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271208950"/>
      <w:bookmarkStart w:id="190" w:name="_Toc271209812"/>
      <w:bookmarkStart w:id="191" w:name="_Toc239150441"/>
      <w:bookmarkStart w:id="192" w:name="_Toc524422913"/>
      <w:r>
        <w:rPr>
          <w:rStyle w:val="CharSectno"/>
        </w:rPr>
        <w:t>30</w:t>
      </w:r>
      <w:r>
        <w:rPr>
          <w:snapToGrid w:val="0"/>
        </w:rPr>
        <w:t>.</w:t>
      </w:r>
      <w:r>
        <w:rPr>
          <w:snapToGrid w:val="0"/>
        </w:rPr>
        <w:tab/>
        <w:t>Water</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w:t>
      </w:r>
    </w:p>
    <w:p>
      <w:pPr>
        <w:pStyle w:val="Indenta"/>
        <w:rPr>
          <w:snapToGrid w:val="0"/>
        </w:rPr>
      </w:pPr>
      <w:r>
        <w:rPr>
          <w:snapToGrid w:val="0"/>
        </w:rPr>
        <w:tab/>
        <w:t>(b)</w:t>
      </w:r>
      <w:r>
        <w:rPr>
          <w:snapToGrid w:val="0"/>
        </w:rPr>
        <w:tab/>
        <w:t>drain any part of CALM land;</w:t>
      </w:r>
    </w:p>
    <w:p>
      <w:pPr>
        <w:pStyle w:val="Indenta"/>
        <w:rPr>
          <w:snapToGrid w:val="0"/>
        </w:rPr>
      </w:pPr>
      <w:r>
        <w:rPr>
          <w:snapToGrid w:val="0"/>
        </w:rPr>
        <w:tab/>
        <w:t>(c)</w:t>
      </w:r>
      <w:r>
        <w:rPr>
          <w:snapToGrid w:val="0"/>
        </w:rPr>
        <w:tab/>
      </w:r>
      <w:r>
        <w:t>interfere with any drain on CALM land;</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Penalty: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w:t>
      </w:r>
    </w:p>
    <w:p>
      <w:pPr>
        <w:pStyle w:val="Heading5"/>
        <w:rPr>
          <w:snapToGrid w:val="0"/>
        </w:rPr>
      </w:pPr>
      <w:bookmarkStart w:id="193" w:name="_Toc271208951"/>
      <w:bookmarkStart w:id="194" w:name="_Toc271209813"/>
      <w:bookmarkStart w:id="195" w:name="_Toc239150442"/>
      <w:bookmarkStart w:id="196" w:name="_Toc524422914"/>
      <w:r>
        <w:rPr>
          <w:rStyle w:val="CharSectno"/>
        </w:rPr>
        <w:t>31</w:t>
      </w:r>
      <w:r>
        <w:rPr>
          <w:snapToGrid w:val="0"/>
        </w:rPr>
        <w:t>.</w:t>
      </w:r>
      <w:r>
        <w:rPr>
          <w:snapToGrid w:val="0"/>
        </w:rPr>
        <w:tab/>
        <w:t>Damage etc. to naturally occurring features</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Penalty: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w:t>
      </w:r>
    </w:p>
    <w:p>
      <w:pPr>
        <w:pStyle w:val="Defpara"/>
      </w:pPr>
      <w:r>
        <w:tab/>
        <w:t>(b)</w:t>
      </w:r>
      <w:r>
        <w:tab/>
        <w:t>a mineral specimen, meteorite and tektite;</w:t>
      </w:r>
    </w:p>
    <w:p>
      <w:pPr>
        <w:pStyle w:val="Defpara"/>
      </w:pPr>
      <w:r>
        <w:tab/>
        <w:t>(c)</w:t>
      </w:r>
      <w:r>
        <w:tab/>
        <w:t>a speleotherm and speleogen;</w:t>
      </w:r>
    </w:p>
    <w:p>
      <w:pPr>
        <w:pStyle w:val="Defpara"/>
      </w:pPr>
      <w:r>
        <w:tab/>
        <w:t>(d)</w:t>
      </w:r>
      <w:r>
        <w:tab/>
        <w:t>a termite mound;</w:t>
      </w:r>
    </w:p>
    <w:p>
      <w:pPr>
        <w:pStyle w:val="Defpara"/>
      </w:pPr>
      <w:r>
        <w:tab/>
        <w:t>(e)</w:t>
      </w:r>
      <w:r>
        <w:tab/>
        <w:t>guano;</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Heading5"/>
        <w:rPr>
          <w:snapToGrid w:val="0"/>
        </w:rPr>
      </w:pPr>
      <w:bookmarkStart w:id="197" w:name="_Toc271208952"/>
      <w:bookmarkStart w:id="198" w:name="_Toc271209814"/>
      <w:bookmarkStart w:id="199" w:name="_Toc239150443"/>
      <w:bookmarkStart w:id="200" w:name="_Toc524422915"/>
      <w:r>
        <w:rPr>
          <w:rStyle w:val="CharSectno"/>
        </w:rPr>
        <w:t>32</w:t>
      </w:r>
      <w:r>
        <w:rPr>
          <w:snapToGrid w:val="0"/>
        </w:rPr>
        <w:t>.</w:t>
      </w:r>
      <w:r>
        <w:rPr>
          <w:snapToGrid w:val="0"/>
        </w:rPr>
        <w:tab/>
        <w:t>Sandboarding</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Penalty: $500.</w:t>
      </w:r>
    </w:p>
    <w:p>
      <w:pPr>
        <w:pStyle w:val="Heading5"/>
      </w:pPr>
      <w:bookmarkStart w:id="201" w:name="_Toc271208953"/>
      <w:bookmarkStart w:id="202" w:name="_Toc271209815"/>
      <w:bookmarkStart w:id="203" w:name="_Toc239150444"/>
      <w:bookmarkStart w:id="204" w:name="_Toc524422916"/>
      <w:r>
        <w:rPr>
          <w:rStyle w:val="CharSectno"/>
        </w:rPr>
        <w:t>33</w:t>
      </w:r>
      <w:r>
        <w:rPr>
          <w:snapToGrid w:val="0"/>
        </w:rPr>
        <w:t>.</w:t>
      </w:r>
      <w:r>
        <w:rPr>
          <w:snapToGrid w:val="0"/>
        </w:rPr>
        <w:tab/>
        <w:t>Abseiling</w:t>
      </w:r>
      <w:bookmarkEnd w:id="201"/>
      <w:bookmarkEnd w:id="202"/>
      <w:bookmarkEnd w:id="203"/>
      <w:bookmarkEnd w:id="204"/>
    </w:p>
    <w:p>
      <w:pPr>
        <w:pStyle w:val="Subsection"/>
      </w:pPr>
      <w:r>
        <w:tab/>
      </w:r>
      <w:r>
        <w:tab/>
        <w:t>A person must not, without lawful authority, abseil on CALM land except in a designated area.</w:t>
      </w:r>
    </w:p>
    <w:p>
      <w:pPr>
        <w:pStyle w:val="Penstart"/>
      </w:pPr>
      <w:r>
        <w:tab/>
        <w:t>Penalty: $500.</w:t>
      </w:r>
    </w:p>
    <w:p>
      <w:pPr>
        <w:pStyle w:val="Footnotesection"/>
      </w:pPr>
      <w:r>
        <w:tab/>
        <w:t>[Regulation 33 amended in Gazette 29 Sep 2006 p. 4308.]</w:t>
      </w:r>
    </w:p>
    <w:p>
      <w:pPr>
        <w:pStyle w:val="Heading5"/>
        <w:rPr>
          <w:snapToGrid w:val="0"/>
        </w:rPr>
      </w:pPr>
      <w:bookmarkStart w:id="205" w:name="_Toc271208954"/>
      <w:bookmarkStart w:id="206" w:name="_Toc271209816"/>
      <w:bookmarkStart w:id="207" w:name="_Toc239150445"/>
      <w:bookmarkStart w:id="208" w:name="_Toc524422917"/>
      <w:r>
        <w:rPr>
          <w:rStyle w:val="CharSectno"/>
        </w:rPr>
        <w:t>34</w:t>
      </w:r>
      <w:r>
        <w:rPr>
          <w:snapToGrid w:val="0"/>
        </w:rPr>
        <w:t>.</w:t>
      </w:r>
      <w:r>
        <w:rPr>
          <w:snapToGrid w:val="0"/>
        </w:rPr>
        <w:tab/>
        <w:t>Unauthorised buildings etc.</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subregulation (1) </w:t>
      </w:r>
      <w:r>
        <w:rPr>
          <w:rStyle w:val="CharDefText"/>
        </w:rPr>
        <w:t>structure</w:t>
      </w:r>
      <w:r>
        <w:rPr>
          <w:snapToGrid w:val="0"/>
        </w:rPr>
        <w:t xml:space="preserve"> includes any building, tramline, fence, post, pipeline, jetty, mooring, pontoon, cairn, memorial, ramp, barrier or gate.</w:t>
      </w:r>
    </w:p>
    <w:p>
      <w:pPr>
        <w:pStyle w:val="Subsection"/>
      </w:pPr>
      <w:r>
        <w:tab/>
        <w:t>(3)</w:t>
      </w:r>
      <w:r>
        <w:tab/>
        <w:t>An authorised officer may direct a person who has contravened subregulation (1) to pull down, take apart or remove the structure.</w:t>
      </w:r>
    </w:p>
    <w:p>
      <w:pPr>
        <w:pStyle w:val="Subsection"/>
      </w:pPr>
      <w:r>
        <w:tab/>
        <w:t>(4)</w:t>
      </w:r>
      <w:r>
        <w:tab/>
        <w:t>The person must comply with the direction.</w:t>
      </w:r>
    </w:p>
    <w:p>
      <w:pPr>
        <w:pStyle w:val="Penstart"/>
      </w:pPr>
      <w:r>
        <w:tab/>
        <w:t>Penalty: $2 000.</w:t>
      </w:r>
    </w:p>
    <w:p>
      <w:pPr>
        <w:pStyle w:val="Footnotesection"/>
      </w:pPr>
      <w:r>
        <w:tab/>
        <w:t>[Regulation 34 amended in Gazette 29 Sep 2006 p. 4308</w:t>
      </w:r>
      <w:r>
        <w:noBreakHyphen/>
        <w:t>9.]</w:t>
      </w:r>
    </w:p>
    <w:p>
      <w:pPr>
        <w:pStyle w:val="Heading5"/>
        <w:rPr>
          <w:snapToGrid w:val="0"/>
        </w:rPr>
      </w:pPr>
      <w:bookmarkStart w:id="209" w:name="_Toc271208955"/>
      <w:bookmarkStart w:id="210" w:name="_Toc271209817"/>
      <w:bookmarkStart w:id="211" w:name="_Toc239150446"/>
      <w:bookmarkStart w:id="212" w:name="_Toc524422918"/>
      <w:r>
        <w:rPr>
          <w:rStyle w:val="CharSectno"/>
        </w:rPr>
        <w:t>35</w:t>
      </w:r>
      <w:r>
        <w:rPr>
          <w:snapToGrid w:val="0"/>
        </w:rPr>
        <w:t>.</w:t>
      </w:r>
      <w:r>
        <w:rPr>
          <w:snapToGrid w:val="0"/>
        </w:rPr>
        <w:tab/>
        <w:t>Unauthorised clearing</w:t>
      </w:r>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Penalty: $2 000.</w:t>
      </w:r>
    </w:p>
    <w:p>
      <w:pPr>
        <w:pStyle w:val="Heading5"/>
      </w:pPr>
      <w:bookmarkStart w:id="213" w:name="_Toc271208956"/>
      <w:bookmarkStart w:id="214" w:name="_Toc271209818"/>
      <w:bookmarkStart w:id="215" w:name="_Toc239150447"/>
      <w:bookmarkStart w:id="216" w:name="_Toc524422919"/>
      <w:r>
        <w:t>35A.</w:t>
      </w:r>
      <w:r>
        <w:tab/>
        <w:t>Quarrying, removing or disturbing soil etc.</w:t>
      </w:r>
      <w:bookmarkEnd w:id="213"/>
      <w:bookmarkEnd w:id="214"/>
      <w:bookmarkEnd w:id="215"/>
      <w:bookmarkEnd w:id="216"/>
    </w:p>
    <w:p>
      <w:pPr>
        <w:pStyle w:val="Subsection"/>
      </w:pPr>
      <w:r>
        <w:tab/>
        <w:t>(1)</w:t>
      </w:r>
      <w:r>
        <w:tab/>
        <w:t>A person must not, without lawful authority, disturb or remove leaf mould, rotting vegetation, humus, soil, stone or gravel on or in CALM land.</w:t>
      </w:r>
    </w:p>
    <w:p>
      <w:pPr>
        <w:pStyle w:val="Penstart"/>
      </w:pPr>
      <w:r>
        <w:tab/>
        <w:t>Penalty: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w:t>
      </w:r>
    </w:p>
    <w:p>
      <w:pPr>
        <w:pStyle w:val="Heading5"/>
        <w:rPr>
          <w:snapToGrid w:val="0"/>
        </w:rPr>
      </w:pPr>
      <w:bookmarkStart w:id="217" w:name="_Toc271208957"/>
      <w:bookmarkStart w:id="218" w:name="_Toc271209819"/>
      <w:bookmarkStart w:id="219" w:name="_Toc239150448"/>
      <w:bookmarkStart w:id="220" w:name="_Toc524422920"/>
      <w:r>
        <w:rPr>
          <w:rStyle w:val="CharSectno"/>
        </w:rPr>
        <w:t>36</w:t>
      </w:r>
      <w:r>
        <w:rPr>
          <w:snapToGrid w:val="0"/>
        </w:rPr>
        <w:t>.</w:t>
      </w:r>
      <w:r>
        <w:rPr>
          <w:snapToGrid w:val="0"/>
        </w:rPr>
        <w:tab/>
        <w:t>Dumping</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Penalty: $2 000.</w:t>
      </w:r>
    </w:p>
    <w:p>
      <w:pPr>
        <w:pStyle w:val="Heading5"/>
        <w:rPr>
          <w:snapToGrid w:val="0"/>
        </w:rPr>
      </w:pPr>
      <w:bookmarkStart w:id="221" w:name="_Toc271208958"/>
      <w:bookmarkStart w:id="222" w:name="_Toc271209820"/>
      <w:bookmarkStart w:id="223" w:name="_Toc239150449"/>
      <w:bookmarkStart w:id="224" w:name="_Toc524422921"/>
      <w:r>
        <w:rPr>
          <w:rStyle w:val="CharSectno"/>
        </w:rPr>
        <w:t>37</w:t>
      </w:r>
      <w:r>
        <w:rPr>
          <w:snapToGrid w:val="0"/>
        </w:rPr>
        <w:t>.</w:t>
      </w:r>
      <w:r>
        <w:rPr>
          <w:snapToGrid w:val="0"/>
        </w:rPr>
        <w:tab/>
        <w:t>Damage to property</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Penalty: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w:t>
      </w:r>
    </w:p>
    <w:p>
      <w:pPr>
        <w:pStyle w:val="Heading5"/>
        <w:rPr>
          <w:snapToGrid w:val="0"/>
        </w:rPr>
      </w:pPr>
      <w:bookmarkStart w:id="225" w:name="_Toc271208959"/>
      <w:bookmarkStart w:id="226" w:name="_Toc271209821"/>
      <w:bookmarkStart w:id="227" w:name="_Toc239150450"/>
      <w:bookmarkStart w:id="228" w:name="_Toc524422922"/>
      <w:r>
        <w:rPr>
          <w:rStyle w:val="CharSectno"/>
        </w:rPr>
        <w:t>38</w:t>
      </w:r>
      <w:r>
        <w:rPr>
          <w:snapToGrid w:val="0"/>
        </w:rPr>
        <w:t>.</w:t>
      </w:r>
      <w:r>
        <w:rPr>
          <w:snapToGrid w:val="0"/>
        </w:rPr>
        <w:tab/>
        <w:t>Unauthorised signs</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Heading5"/>
        <w:rPr>
          <w:snapToGrid w:val="0"/>
        </w:rPr>
      </w:pPr>
      <w:bookmarkStart w:id="229" w:name="_Toc271208960"/>
      <w:bookmarkStart w:id="230" w:name="_Toc271209822"/>
      <w:bookmarkStart w:id="231" w:name="_Toc239150451"/>
      <w:bookmarkStart w:id="232" w:name="_Toc524422923"/>
      <w:r>
        <w:rPr>
          <w:rStyle w:val="CharSectno"/>
        </w:rPr>
        <w:t>39</w:t>
      </w:r>
      <w:r>
        <w:rPr>
          <w:snapToGrid w:val="0"/>
        </w:rPr>
        <w:t>.</w:t>
      </w:r>
      <w:r>
        <w:rPr>
          <w:snapToGrid w:val="0"/>
        </w:rPr>
        <w:tab/>
        <w:t>Unlawful lighting of campfires etc.</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Penalty: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metres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Penalty: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w:t>
      </w:r>
    </w:p>
    <w:p>
      <w:pPr>
        <w:pStyle w:val="Heading5"/>
        <w:rPr>
          <w:snapToGrid w:val="0"/>
        </w:rPr>
      </w:pPr>
      <w:bookmarkStart w:id="233" w:name="_Toc271208961"/>
      <w:bookmarkStart w:id="234" w:name="_Toc271209823"/>
      <w:bookmarkStart w:id="235" w:name="_Toc239150452"/>
      <w:bookmarkStart w:id="236" w:name="_Toc524422924"/>
      <w:r>
        <w:rPr>
          <w:rStyle w:val="CharSectno"/>
        </w:rPr>
        <w:t>40</w:t>
      </w:r>
      <w:r>
        <w:rPr>
          <w:snapToGrid w:val="0"/>
        </w:rPr>
        <w:t>.</w:t>
      </w:r>
      <w:r>
        <w:rPr>
          <w:snapToGrid w:val="0"/>
        </w:rPr>
        <w:tab/>
        <w:t>Authorised officer may direct that camp fire, barbecue or portable stove be extinguished</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An authorised officer may direct any person to extinguish a campfire, barbecue or portable stove on CALM land if the authorised officer considers that the campfire, barbecue or stove constitutes a fire risk to any part of that land.</w:t>
      </w:r>
    </w:p>
    <w:p>
      <w:pPr>
        <w:pStyle w:val="Subsection"/>
        <w:rPr>
          <w:snapToGrid w:val="0"/>
        </w:rPr>
      </w:pPr>
      <w:r>
        <w:rPr>
          <w:snapToGrid w:val="0"/>
        </w:rPr>
        <w:tab/>
        <w:t>(2)</w:t>
      </w:r>
      <w:r>
        <w:rPr>
          <w:snapToGrid w:val="0"/>
        </w:rPr>
        <w:tab/>
        <w:t>A person must comply with a direction given to that person under subregulation (1).</w:t>
      </w:r>
    </w:p>
    <w:p>
      <w:pPr>
        <w:pStyle w:val="Penstart"/>
        <w:rPr>
          <w:snapToGrid w:val="0"/>
        </w:rPr>
      </w:pPr>
      <w:r>
        <w:rPr>
          <w:snapToGrid w:val="0"/>
        </w:rPr>
        <w:tab/>
        <w:t>Penalty: $2 000.</w:t>
      </w:r>
    </w:p>
    <w:p>
      <w:pPr>
        <w:pStyle w:val="Heading5"/>
      </w:pPr>
      <w:bookmarkStart w:id="237" w:name="_Toc271208962"/>
      <w:bookmarkStart w:id="238" w:name="_Toc271209824"/>
      <w:bookmarkStart w:id="239" w:name="_Toc239150453"/>
      <w:bookmarkStart w:id="240" w:name="_Toc524422925"/>
      <w:r>
        <w:rPr>
          <w:rStyle w:val="CharSectno"/>
        </w:rPr>
        <w:t>40A</w:t>
      </w:r>
      <w:r>
        <w:t>.</w:t>
      </w:r>
      <w:r>
        <w:tab/>
        <w:t>Unlawful lighting of fires — only one conviction</w:t>
      </w:r>
      <w:bookmarkEnd w:id="237"/>
      <w:bookmarkEnd w:id="238"/>
      <w:bookmarkEnd w:id="239"/>
      <w:bookmarkEnd w:id="240"/>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241" w:name="_Toc189456535"/>
      <w:bookmarkStart w:id="242" w:name="_Toc223500343"/>
      <w:bookmarkStart w:id="243" w:name="_Toc223500505"/>
      <w:bookmarkStart w:id="244" w:name="_Toc239150454"/>
      <w:bookmarkStart w:id="245" w:name="_Toc271207464"/>
      <w:bookmarkStart w:id="246" w:name="_Toc271207640"/>
      <w:bookmarkStart w:id="247" w:name="_Toc271208963"/>
      <w:bookmarkStart w:id="248" w:name="_Toc271209297"/>
      <w:bookmarkStart w:id="249" w:name="_Toc271209473"/>
      <w:bookmarkStart w:id="250" w:name="_Toc271209649"/>
      <w:bookmarkStart w:id="251" w:name="_Toc271209825"/>
      <w:bookmarkStart w:id="252" w:name="_Toc524422926"/>
      <w:r>
        <w:rPr>
          <w:rStyle w:val="CharPartNo"/>
        </w:rPr>
        <w:t>Part 3</w:t>
      </w:r>
      <w:r>
        <w:t xml:space="preserve"> — </w:t>
      </w:r>
      <w:r>
        <w:rPr>
          <w:rStyle w:val="CharPartText"/>
        </w:rPr>
        <w:t>Access to CALM land</w:t>
      </w:r>
      <w:bookmarkEnd w:id="241"/>
      <w:bookmarkEnd w:id="242"/>
      <w:bookmarkEnd w:id="243"/>
      <w:bookmarkEnd w:id="244"/>
      <w:bookmarkEnd w:id="245"/>
      <w:bookmarkEnd w:id="246"/>
      <w:bookmarkEnd w:id="247"/>
      <w:bookmarkEnd w:id="248"/>
      <w:bookmarkEnd w:id="249"/>
      <w:bookmarkEnd w:id="250"/>
      <w:bookmarkEnd w:id="251"/>
      <w:bookmarkEnd w:id="252"/>
    </w:p>
    <w:p>
      <w:pPr>
        <w:pStyle w:val="Heading3"/>
      </w:pPr>
      <w:bookmarkStart w:id="253" w:name="_Toc189456536"/>
      <w:bookmarkStart w:id="254" w:name="_Toc223500344"/>
      <w:bookmarkStart w:id="255" w:name="_Toc223500506"/>
      <w:bookmarkStart w:id="256" w:name="_Toc239150455"/>
      <w:bookmarkStart w:id="257" w:name="_Toc271207465"/>
      <w:bookmarkStart w:id="258" w:name="_Toc271207641"/>
      <w:bookmarkStart w:id="259" w:name="_Toc271208964"/>
      <w:bookmarkStart w:id="260" w:name="_Toc271209298"/>
      <w:bookmarkStart w:id="261" w:name="_Toc271209474"/>
      <w:bookmarkStart w:id="262" w:name="_Toc271209650"/>
      <w:bookmarkStart w:id="263" w:name="_Toc271209826"/>
      <w:bookmarkStart w:id="264" w:name="_Toc524422927"/>
      <w:r>
        <w:rPr>
          <w:rStyle w:val="CharDivNo"/>
        </w:rPr>
        <w:t>Division 1</w:t>
      </w:r>
      <w:r>
        <w:rPr>
          <w:snapToGrid w:val="0"/>
        </w:rPr>
        <w:t xml:space="preserve"> — </w:t>
      </w:r>
      <w:r>
        <w:rPr>
          <w:rStyle w:val="CharDivText"/>
        </w:rPr>
        <w:t>General</w:t>
      </w:r>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271208965"/>
      <w:bookmarkStart w:id="266" w:name="_Toc271209827"/>
      <w:bookmarkStart w:id="267" w:name="_Toc239150456"/>
      <w:bookmarkStart w:id="268" w:name="_Toc524422928"/>
      <w:r>
        <w:rPr>
          <w:rStyle w:val="CharSectno"/>
        </w:rPr>
        <w:t>41</w:t>
      </w:r>
      <w:r>
        <w:rPr>
          <w:snapToGrid w:val="0"/>
        </w:rPr>
        <w:t>.</w:t>
      </w:r>
      <w:r>
        <w:rPr>
          <w:snapToGrid w:val="0"/>
        </w:rPr>
        <w:tab/>
        <w:t>Access to certain areas classified under s. 62</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 person must not, without lawful authority, enter any land or waters classified — </w:t>
      </w:r>
    </w:p>
    <w:p>
      <w:pPr>
        <w:pStyle w:val="Indenta"/>
        <w:rPr>
          <w:snapToGrid w:val="0"/>
        </w:rPr>
      </w:pPr>
      <w:r>
        <w:rPr>
          <w:snapToGrid w:val="0"/>
        </w:rPr>
        <w:tab/>
        <w:t>(a)</w:t>
      </w:r>
      <w:r>
        <w:rPr>
          <w:snapToGrid w:val="0"/>
        </w:rPr>
        <w:tab/>
        <w:t>under section 62(1)(b) of the Act as a prohibited area;</w:t>
      </w:r>
    </w:p>
    <w:p>
      <w:pPr>
        <w:pStyle w:val="Indenta"/>
        <w:rPr>
          <w:snapToGrid w:val="0"/>
        </w:rPr>
      </w:pPr>
      <w:r>
        <w:rPr>
          <w:snapToGrid w:val="0"/>
        </w:rPr>
        <w:tab/>
        <w:t>(b)</w:t>
      </w:r>
      <w:r>
        <w:rPr>
          <w:snapToGrid w:val="0"/>
        </w:rPr>
        <w:tab/>
        <w:t>under section 62(1)(d) of the Act as a temporary control area;</w:t>
      </w:r>
    </w:p>
    <w:p>
      <w:pPr>
        <w:pStyle w:val="Indenta"/>
      </w:pPr>
      <w:r>
        <w:rPr>
          <w:snapToGrid w:val="0"/>
        </w:rPr>
        <w:tab/>
        <w:t>(c)</w:t>
      </w:r>
      <w:r>
        <w:rPr>
          <w:snapToGrid w:val="0"/>
        </w:rPr>
        <w:tab/>
        <w:t xml:space="preserve">under section 62(1)(f) of the Act as </w:t>
      </w:r>
      <w:r>
        <w:t>a plant disease management area; or</w:t>
      </w:r>
    </w:p>
    <w:p>
      <w:pPr>
        <w:pStyle w:val="Indenta"/>
      </w:pPr>
      <w:r>
        <w:rPr>
          <w:snapToGrid w:val="0"/>
        </w:rPr>
        <w:tab/>
        <w:t>(d)</w:t>
      </w:r>
      <w:r>
        <w:rPr>
          <w:snapToGrid w:val="0"/>
        </w:rPr>
        <w:tab/>
      </w:r>
      <w:r>
        <w:t xml:space="preserve">under section 12A(2) of the </w:t>
      </w:r>
      <w:r>
        <w:rPr>
          <w:i/>
        </w:rPr>
        <w:t>Wildlife Conservation Act 1950</w:t>
      </w:r>
      <w:r>
        <w:t xml:space="preserve"> as a prohibited area where that classification remains in force.</w:t>
      </w:r>
    </w:p>
    <w:p>
      <w:pPr>
        <w:pStyle w:val="Penstart"/>
        <w:rPr>
          <w:snapToGrid w:val="0"/>
        </w:rPr>
      </w:pPr>
      <w:r>
        <w:rPr>
          <w:snapToGrid w:val="0"/>
        </w:rPr>
        <w:tab/>
        <w:t>Penalty: $2 000.</w:t>
      </w:r>
    </w:p>
    <w:p>
      <w:pPr>
        <w:pStyle w:val="Heading5"/>
        <w:rPr>
          <w:snapToGrid w:val="0"/>
        </w:rPr>
      </w:pPr>
      <w:bookmarkStart w:id="269" w:name="_Toc271208966"/>
      <w:bookmarkStart w:id="270" w:name="_Toc271209828"/>
      <w:bookmarkStart w:id="271" w:name="_Toc239150457"/>
      <w:bookmarkStart w:id="272" w:name="_Toc524422929"/>
      <w:r>
        <w:rPr>
          <w:rStyle w:val="CharSectno"/>
        </w:rPr>
        <w:t>42</w:t>
      </w:r>
      <w:r>
        <w:rPr>
          <w:snapToGrid w:val="0"/>
        </w:rPr>
        <w:t>.</w:t>
      </w:r>
      <w:r>
        <w:rPr>
          <w:snapToGrid w:val="0"/>
        </w:rPr>
        <w:tab/>
        <w:t>Access to limited access areas</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 xml:space="preserve">A person must not, without lawful authority, enter otherwise than on foot or by vessel any land classified — </w:t>
      </w:r>
    </w:p>
    <w:p>
      <w:pPr>
        <w:pStyle w:val="Indenta"/>
        <w:rPr>
          <w:snapToGrid w:val="0"/>
        </w:rPr>
      </w:pPr>
      <w:r>
        <w:rPr>
          <w:snapToGrid w:val="0"/>
        </w:rPr>
        <w:tab/>
        <w:t>(a)</w:t>
      </w:r>
      <w:r>
        <w:rPr>
          <w:snapToGrid w:val="0"/>
        </w:rPr>
        <w:tab/>
        <w:t>under section 62(1)(c) of the Act as a limited access area; or</w:t>
      </w:r>
    </w:p>
    <w:p>
      <w:pPr>
        <w:pStyle w:val="Indenta"/>
      </w:pPr>
      <w:r>
        <w:rPr>
          <w:snapToGrid w:val="0"/>
        </w:rPr>
        <w:tab/>
        <w:t>(b)</w:t>
      </w:r>
      <w:r>
        <w:rPr>
          <w:snapToGrid w:val="0"/>
        </w:rPr>
        <w:tab/>
      </w:r>
      <w:r>
        <w:t xml:space="preserve">under section 12A(2) of the </w:t>
      </w:r>
      <w:r>
        <w:rPr>
          <w:i/>
        </w:rPr>
        <w:t>Wildlife Conservation Act 1950</w:t>
      </w:r>
      <w:r>
        <w:t xml:space="preserve"> as a limited access area where that classification remains in force.</w:t>
      </w:r>
    </w:p>
    <w:p>
      <w:pPr>
        <w:pStyle w:val="Penstart"/>
        <w:rPr>
          <w:snapToGrid w:val="0"/>
        </w:rPr>
      </w:pPr>
      <w:r>
        <w:rPr>
          <w:snapToGrid w:val="0"/>
        </w:rPr>
        <w:tab/>
        <w:t>Penalty: $2 000.</w:t>
      </w:r>
    </w:p>
    <w:p>
      <w:pPr>
        <w:pStyle w:val="Heading5"/>
        <w:rPr>
          <w:snapToGrid w:val="0"/>
        </w:rPr>
      </w:pPr>
      <w:bookmarkStart w:id="273" w:name="_Toc271208967"/>
      <w:bookmarkStart w:id="274" w:name="_Toc271209829"/>
      <w:bookmarkStart w:id="275" w:name="_Toc239150458"/>
      <w:bookmarkStart w:id="276" w:name="_Toc524422930"/>
      <w:r>
        <w:rPr>
          <w:rStyle w:val="CharSectno"/>
        </w:rPr>
        <w:t>43</w:t>
      </w:r>
      <w:r>
        <w:rPr>
          <w:snapToGrid w:val="0"/>
        </w:rPr>
        <w:t>.</w:t>
      </w:r>
      <w:r>
        <w:rPr>
          <w:snapToGrid w:val="0"/>
        </w:rPr>
        <w:tab/>
        <w:t>Access to wilderness areas</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Penalty: $1 000.</w:t>
      </w:r>
    </w:p>
    <w:p>
      <w:pPr>
        <w:pStyle w:val="Heading5"/>
        <w:rPr>
          <w:snapToGrid w:val="0"/>
        </w:rPr>
      </w:pPr>
      <w:bookmarkStart w:id="277" w:name="_Toc271208968"/>
      <w:bookmarkStart w:id="278" w:name="_Toc271209830"/>
      <w:bookmarkStart w:id="279" w:name="_Toc239150459"/>
      <w:bookmarkStart w:id="280" w:name="_Toc524422931"/>
      <w:r>
        <w:rPr>
          <w:rStyle w:val="CharSectno"/>
        </w:rPr>
        <w:t>44</w:t>
      </w:r>
      <w:r>
        <w:rPr>
          <w:snapToGrid w:val="0"/>
        </w:rPr>
        <w:t>.</w:t>
      </w:r>
      <w:r>
        <w:rPr>
          <w:snapToGrid w:val="0"/>
        </w:rPr>
        <w:tab/>
        <w:t>Direction to close area</w:t>
      </w:r>
      <w:bookmarkEnd w:id="277"/>
      <w:bookmarkEnd w:id="278"/>
      <w:bookmarkEnd w:id="279"/>
      <w:bookmarkEnd w:id="280"/>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281" w:name="_Toc271208969"/>
      <w:bookmarkStart w:id="282" w:name="_Toc271209831"/>
      <w:bookmarkStart w:id="283" w:name="_Toc239150460"/>
      <w:bookmarkStart w:id="284" w:name="_Toc524422932"/>
      <w:r>
        <w:rPr>
          <w:rStyle w:val="CharSectno"/>
        </w:rPr>
        <w:t>45</w:t>
      </w:r>
      <w:r>
        <w:rPr>
          <w:snapToGrid w:val="0"/>
        </w:rPr>
        <w:t>.</w:t>
      </w:r>
      <w:r>
        <w:rPr>
          <w:snapToGrid w:val="0"/>
        </w:rPr>
        <w:tab/>
        <w:t>Closed area</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pPr>
      <w:r>
        <w:tab/>
        <w:t>[Regulation 45 amended in Gazette 29 Sep 2006 p. 4311.]</w:t>
      </w:r>
    </w:p>
    <w:p>
      <w:pPr>
        <w:pStyle w:val="Heading5"/>
        <w:rPr>
          <w:snapToGrid w:val="0"/>
        </w:rPr>
      </w:pPr>
      <w:bookmarkStart w:id="285" w:name="_Toc271208970"/>
      <w:bookmarkStart w:id="286" w:name="_Toc271209832"/>
      <w:bookmarkStart w:id="287" w:name="_Toc239150461"/>
      <w:bookmarkStart w:id="288" w:name="_Toc524422933"/>
      <w:r>
        <w:rPr>
          <w:rStyle w:val="CharSectno"/>
        </w:rPr>
        <w:t>46</w:t>
      </w:r>
      <w:r>
        <w:rPr>
          <w:snapToGrid w:val="0"/>
        </w:rPr>
        <w:t>.</w:t>
      </w:r>
      <w:r>
        <w:rPr>
          <w:snapToGrid w:val="0"/>
        </w:rPr>
        <w:tab/>
        <w:t>Offences relating to closed areas</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Heading5"/>
      </w:pPr>
      <w:bookmarkStart w:id="289" w:name="_Toc271208971"/>
      <w:bookmarkStart w:id="290" w:name="_Toc271209833"/>
      <w:bookmarkStart w:id="291" w:name="_Toc239150462"/>
      <w:bookmarkStart w:id="292" w:name="_Toc524422934"/>
      <w:r>
        <w:rPr>
          <w:rStyle w:val="CharSectno"/>
        </w:rPr>
        <w:t>47</w:t>
      </w:r>
      <w:r>
        <w:t>.</w:t>
      </w:r>
      <w:r>
        <w:tab/>
        <w:t>Entering CALM land via gates etc.</w:t>
      </w:r>
      <w:bookmarkEnd w:id="289"/>
      <w:bookmarkEnd w:id="290"/>
      <w:bookmarkEnd w:id="291"/>
      <w:bookmarkEnd w:id="292"/>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$500.</w:t>
      </w:r>
    </w:p>
    <w:p>
      <w:pPr>
        <w:pStyle w:val="Footnotesection"/>
      </w:pPr>
      <w:r>
        <w:tab/>
        <w:t>[Regulation 47 inserted in Gazette 29 Sep 2006 p. 4311</w:t>
      </w:r>
      <w:r>
        <w:noBreakHyphen/>
        <w:t>12.]</w:t>
      </w:r>
    </w:p>
    <w:p>
      <w:pPr>
        <w:pStyle w:val="Heading5"/>
        <w:rPr>
          <w:snapToGrid w:val="0"/>
        </w:rPr>
      </w:pPr>
      <w:bookmarkStart w:id="293" w:name="_Toc271208972"/>
      <w:bookmarkStart w:id="294" w:name="_Toc271209834"/>
      <w:bookmarkStart w:id="295" w:name="_Toc239150463"/>
      <w:bookmarkStart w:id="296" w:name="_Toc524422935"/>
      <w:r>
        <w:rPr>
          <w:rStyle w:val="CharSectno"/>
        </w:rPr>
        <w:t>48</w:t>
      </w:r>
      <w:r>
        <w:rPr>
          <w:snapToGrid w:val="0"/>
        </w:rPr>
        <w:t>.</w:t>
      </w:r>
      <w:r>
        <w:rPr>
          <w:snapToGrid w:val="0"/>
        </w:rPr>
        <w:tab/>
        <w:t xml:space="preserve">Areas set aside </w:t>
      </w:r>
      <w:r>
        <w:t>for purposes of CEO</w:t>
      </w:r>
      <w:bookmarkEnd w:id="293"/>
      <w:bookmarkEnd w:id="294"/>
      <w:bookmarkEnd w:id="295"/>
      <w:bookmarkEnd w:id="296"/>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Penalty: $500.</w:t>
      </w:r>
    </w:p>
    <w:p>
      <w:pPr>
        <w:pStyle w:val="Footnotesection"/>
      </w:pPr>
      <w:r>
        <w:tab/>
        <w:t>[Regulation 48 amended in Gazette 29 Sep 2006 p. 4312.]</w:t>
      </w:r>
    </w:p>
    <w:p>
      <w:pPr>
        <w:pStyle w:val="Heading5"/>
        <w:rPr>
          <w:snapToGrid w:val="0"/>
        </w:rPr>
      </w:pPr>
      <w:bookmarkStart w:id="297" w:name="_Toc271208973"/>
      <w:bookmarkStart w:id="298" w:name="_Toc271209835"/>
      <w:bookmarkStart w:id="299" w:name="_Toc239150464"/>
      <w:bookmarkStart w:id="300" w:name="_Toc524422936"/>
      <w:r>
        <w:rPr>
          <w:rStyle w:val="CharSectno"/>
        </w:rPr>
        <w:t>49</w:t>
      </w:r>
      <w:r>
        <w:rPr>
          <w:snapToGrid w:val="0"/>
        </w:rPr>
        <w:t>.</w:t>
      </w:r>
      <w:r>
        <w:rPr>
          <w:snapToGrid w:val="0"/>
        </w:rPr>
        <w:tab/>
        <w:t>Caves</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Penalty: $1 000.</w:t>
      </w:r>
    </w:p>
    <w:p>
      <w:pPr>
        <w:pStyle w:val="Subsection"/>
        <w:spacing w:before="120"/>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w:t>
      </w:r>
    </w:p>
    <w:p>
      <w:pPr>
        <w:pStyle w:val="Heading5"/>
        <w:spacing w:before="180"/>
        <w:rPr>
          <w:snapToGrid w:val="0"/>
        </w:rPr>
      </w:pPr>
      <w:bookmarkStart w:id="301" w:name="_Toc271208974"/>
      <w:bookmarkStart w:id="302" w:name="_Toc271209836"/>
      <w:bookmarkStart w:id="303" w:name="_Toc239150465"/>
      <w:bookmarkStart w:id="304" w:name="_Toc524422937"/>
      <w:r>
        <w:rPr>
          <w:rStyle w:val="CharSectno"/>
        </w:rPr>
        <w:t>50</w:t>
      </w:r>
      <w:r>
        <w:rPr>
          <w:snapToGrid w:val="0"/>
        </w:rPr>
        <w:t>.</w:t>
      </w:r>
      <w:r>
        <w:rPr>
          <w:snapToGrid w:val="0"/>
        </w:rPr>
        <w:tab/>
        <w:t>Cross country and other events</w:t>
      </w:r>
      <w:bookmarkEnd w:id="301"/>
      <w:bookmarkEnd w:id="302"/>
      <w:bookmarkEnd w:id="303"/>
      <w:bookmarkEnd w:id="304"/>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Penalty: $1 000.</w:t>
      </w:r>
    </w:p>
    <w:p>
      <w:pPr>
        <w:pStyle w:val="Heading3"/>
        <w:spacing w:before="200"/>
      </w:pPr>
      <w:bookmarkStart w:id="305" w:name="_Toc189456547"/>
      <w:bookmarkStart w:id="306" w:name="_Toc223500355"/>
      <w:bookmarkStart w:id="307" w:name="_Toc223500517"/>
      <w:bookmarkStart w:id="308" w:name="_Toc239150466"/>
      <w:bookmarkStart w:id="309" w:name="_Toc271207476"/>
      <w:bookmarkStart w:id="310" w:name="_Toc271207652"/>
      <w:bookmarkStart w:id="311" w:name="_Toc271208975"/>
      <w:bookmarkStart w:id="312" w:name="_Toc271209309"/>
      <w:bookmarkStart w:id="313" w:name="_Toc271209485"/>
      <w:bookmarkStart w:id="314" w:name="_Toc271209661"/>
      <w:bookmarkStart w:id="315" w:name="_Toc271209837"/>
      <w:bookmarkStart w:id="316" w:name="_Toc524422938"/>
      <w:r>
        <w:rPr>
          <w:rStyle w:val="CharDivNo"/>
        </w:rPr>
        <w:t>Division 2</w:t>
      </w:r>
      <w:r>
        <w:rPr>
          <w:snapToGrid w:val="0"/>
        </w:rPr>
        <w:t xml:space="preserve"> — </w:t>
      </w:r>
      <w:r>
        <w:rPr>
          <w:rStyle w:val="CharDivText"/>
        </w:rPr>
        <w:t>Vehicles</w:t>
      </w:r>
      <w:bookmarkEnd w:id="305"/>
      <w:bookmarkEnd w:id="306"/>
      <w:bookmarkEnd w:id="307"/>
      <w:bookmarkEnd w:id="308"/>
      <w:bookmarkEnd w:id="309"/>
      <w:bookmarkEnd w:id="310"/>
      <w:bookmarkEnd w:id="311"/>
      <w:bookmarkEnd w:id="312"/>
      <w:bookmarkEnd w:id="313"/>
      <w:bookmarkEnd w:id="314"/>
      <w:bookmarkEnd w:id="315"/>
      <w:bookmarkEnd w:id="316"/>
    </w:p>
    <w:p>
      <w:pPr>
        <w:pStyle w:val="Heading5"/>
        <w:spacing w:before="180"/>
        <w:rPr>
          <w:snapToGrid w:val="0"/>
        </w:rPr>
      </w:pPr>
      <w:bookmarkStart w:id="317" w:name="_Toc271208976"/>
      <w:bookmarkStart w:id="318" w:name="_Toc271209838"/>
      <w:bookmarkStart w:id="319" w:name="_Toc239150467"/>
      <w:bookmarkStart w:id="320" w:name="_Toc524422939"/>
      <w:r>
        <w:rPr>
          <w:rStyle w:val="CharSectno"/>
        </w:rPr>
        <w:t>51</w:t>
      </w:r>
      <w:r>
        <w:rPr>
          <w:snapToGrid w:val="0"/>
        </w:rPr>
        <w:t>.</w:t>
      </w:r>
      <w:r>
        <w:rPr>
          <w:snapToGrid w:val="0"/>
        </w:rPr>
        <w:tab/>
        <w:t>Vehicles</w:t>
      </w:r>
      <w:bookmarkEnd w:id="317"/>
      <w:bookmarkEnd w:id="318"/>
      <w:bookmarkEnd w:id="319"/>
      <w:bookmarkEnd w:id="320"/>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rPr>
          <w:snapToGrid w:val="0"/>
        </w:rPr>
      </w:pPr>
      <w:r>
        <w:rPr>
          <w:snapToGrid w:val="0"/>
        </w:rPr>
        <w:tab/>
        <w:t>Penalty: $1 000.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drive or use a vehicle if that activity is prohibited in the area under regulation 5; or</w:t>
      </w:r>
    </w:p>
    <w:p>
      <w:pPr>
        <w:pStyle w:val="Indenta"/>
      </w:pPr>
      <w:r>
        <w:tab/>
        <w:t>(b)</w:t>
      </w:r>
      <w:r>
        <w:tab/>
        <w:t>contravene a restriction imposed on driving or using a vehicle in the area under regulation 5.</w:t>
      </w:r>
    </w:p>
    <w:p>
      <w:pPr>
        <w:pStyle w:val="Penstart"/>
      </w:pPr>
      <w:r>
        <w:tab/>
        <w:t>Penalty: $2 000.</w:t>
      </w:r>
    </w:p>
    <w:p>
      <w:pPr>
        <w:pStyle w:val="Footnotesection"/>
      </w:pPr>
      <w:r>
        <w:tab/>
        <w:t>[Regulation 51 amended in Gazette 29 Sep 2006 p. 4313.]</w:t>
      </w:r>
    </w:p>
    <w:p>
      <w:pPr>
        <w:pStyle w:val="Heading5"/>
      </w:pPr>
      <w:bookmarkStart w:id="321" w:name="_Toc271208977"/>
      <w:bookmarkStart w:id="322" w:name="_Toc271209839"/>
      <w:bookmarkStart w:id="323" w:name="_Toc239150468"/>
      <w:bookmarkStart w:id="324" w:name="_Toc524422940"/>
      <w:r>
        <w:rPr>
          <w:rStyle w:val="CharSectno"/>
        </w:rPr>
        <w:t>51A</w:t>
      </w:r>
      <w:r>
        <w:t>.</w:t>
      </w:r>
      <w:r>
        <w:tab/>
        <w:t>Bicycles</w:t>
      </w:r>
      <w:bookmarkEnd w:id="321"/>
      <w:bookmarkEnd w:id="322"/>
      <w:bookmarkEnd w:id="323"/>
      <w:bookmarkEnd w:id="324"/>
    </w:p>
    <w:p>
      <w:pPr>
        <w:pStyle w:val="Subsection"/>
      </w:pPr>
      <w:r>
        <w:tab/>
        <w:t>(1)</w:t>
      </w:r>
      <w:r>
        <w:tab/>
        <w:t>A person must not, without lawful authority, ride a bicycle on CALM land other than on a road or bicycle path or in a designated area.</w:t>
      </w:r>
    </w:p>
    <w:p>
      <w:pPr>
        <w:pStyle w:val="Penstart"/>
      </w:pPr>
      <w:r>
        <w:tab/>
        <w:t>Penalty: $500.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ride a bicycle if that activity is prohibited in the area under regulation 5; or</w:t>
      </w:r>
    </w:p>
    <w:p>
      <w:pPr>
        <w:pStyle w:val="Indenta"/>
      </w:pPr>
      <w:r>
        <w:tab/>
        <w:t>(b)</w:t>
      </w:r>
      <w:r>
        <w:tab/>
        <w:t>contravene a restriction imposed on riding a bicycle in the area under regulation 5.</w:t>
      </w:r>
    </w:p>
    <w:p>
      <w:pPr>
        <w:pStyle w:val="Penstart"/>
      </w:pPr>
      <w:r>
        <w:tab/>
        <w:t>Penalty: $1 000.</w:t>
      </w:r>
    </w:p>
    <w:p>
      <w:pPr>
        <w:pStyle w:val="Subsection"/>
      </w:pPr>
      <w:r>
        <w:tab/>
        <w:t>(4)</w:t>
      </w:r>
      <w:r>
        <w:tab/>
        <w:t xml:space="preserve">In this regulation — </w:t>
      </w:r>
    </w:p>
    <w:p>
      <w:pPr>
        <w:pStyle w:val="Defstart"/>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in Gazette 29 Sep 2006 p. 4313</w:t>
      </w:r>
      <w:r>
        <w:noBreakHyphen/>
        <w:t>14.]</w:t>
      </w:r>
    </w:p>
    <w:p>
      <w:pPr>
        <w:pStyle w:val="Heading5"/>
        <w:rPr>
          <w:snapToGrid w:val="0"/>
        </w:rPr>
      </w:pPr>
      <w:bookmarkStart w:id="325" w:name="_Toc271208978"/>
      <w:bookmarkStart w:id="326" w:name="_Toc271209840"/>
      <w:bookmarkStart w:id="327" w:name="_Toc239150469"/>
      <w:bookmarkStart w:id="328" w:name="_Toc524422941"/>
      <w:r>
        <w:rPr>
          <w:rStyle w:val="CharSectno"/>
        </w:rPr>
        <w:t>52</w:t>
      </w:r>
      <w:r>
        <w:rPr>
          <w:snapToGrid w:val="0"/>
        </w:rPr>
        <w:t>.</w:t>
      </w:r>
      <w:r>
        <w:rPr>
          <w:snapToGrid w:val="0"/>
        </w:rPr>
        <w:tab/>
        <w:t>Off</w:t>
      </w:r>
      <w:r>
        <w:rPr>
          <w:snapToGrid w:val="0"/>
        </w:rPr>
        <w:noBreakHyphen/>
        <w:t>road vehicles</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rPr>
          <w:snapToGrid w:val="0"/>
        </w:rPr>
      </w:pPr>
      <w:r>
        <w:rPr>
          <w:snapToGrid w:val="0"/>
        </w:rPr>
        <w:tab/>
        <w:t>(a)</w:t>
      </w:r>
      <w:r>
        <w:rPr>
          <w:snapToGrid w:val="0"/>
        </w:rPr>
        <w:tab/>
        <w:t>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Penalty: $1 000.</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in Gazette 29 Sep 2006 p. 4314.]</w:t>
      </w:r>
    </w:p>
    <w:p>
      <w:pPr>
        <w:pStyle w:val="Heading5"/>
        <w:rPr>
          <w:snapToGrid w:val="0"/>
        </w:rPr>
      </w:pPr>
      <w:bookmarkStart w:id="329" w:name="_Toc271208979"/>
      <w:bookmarkStart w:id="330" w:name="_Toc271209841"/>
      <w:bookmarkStart w:id="331" w:name="_Toc239150470"/>
      <w:bookmarkStart w:id="332" w:name="_Toc524422942"/>
      <w:r>
        <w:rPr>
          <w:rStyle w:val="CharSectno"/>
        </w:rPr>
        <w:t>53</w:t>
      </w:r>
      <w:r>
        <w:rPr>
          <w:snapToGrid w:val="0"/>
        </w:rPr>
        <w:t>.</w:t>
      </w:r>
      <w:r>
        <w:rPr>
          <w:snapToGrid w:val="0"/>
        </w:rPr>
        <w:tab/>
        <w:t>Car rallies etc.</w:t>
      </w:r>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Penalty: $2 000.</w:t>
      </w:r>
    </w:p>
    <w:p>
      <w:pPr>
        <w:pStyle w:val="Heading5"/>
        <w:rPr>
          <w:snapToGrid w:val="0"/>
        </w:rPr>
      </w:pPr>
      <w:bookmarkStart w:id="333" w:name="_Toc271208980"/>
      <w:bookmarkStart w:id="334" w:name="_Toc271209842"/>
      <w:bookmarkStart w:id="335" w:name="_Toc239150471"/>
      <w:bookmarkStart w:id="336" w:name="_Toc524422943"/>
      <w:r>
        <w:rPr>
          <w:rStyle w:val="CharSectno"/>
        </w:rPr>
        <w:t>54</w:t>
      </w:r>
      <w:r>
        <w:rPr>
          <w:snapToGrid w:val="0"/>
        </w:rPr>
        <w:t>.</w:t>
      </w:r>
      <w:r>
        <w:rPr>
          <w:snapToGrid w:val="0"/>
        </w:rPr>
        <w:tab/>
        <w:t>Traffic laws apply</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$1 000</w:t>
      </w:r>
      <w:r>
        <w:rPr>
          <w:snapToGrid w:val="0"/>
        </w:rPr>
        <w:t>.</w:t>
      </w:r>
    </w:p>
    <w:p>
      <w:pPr>
        <w:pStyle w:val="Footnotesection"/>
      </w:pPr>
      <w:r>
        <w:tab/>
        <w:t>[Regulation 54 amended in Gazette 29 Sep 2006 p. 4314.]</w:t>
      </w:r>
    </w:p>
    <w:p>
      <w:pPr>
        <w:pStyle w:val="Heading5"/>
        <w:keepNext w:val="0"/>
        <w:keepLines w:val="0"/>
        <w:spacing w:before="200"/>
        <w:rPr>
          <w:snapToGrid w:val="0"/>
        </w:rPr>
      </w:pPr>
      <w:bookmarkStart w:id="337" w:name="_Toc271208981"/>
      <w:bookmarkStart w:id="338" w:name="_Toc271209843"/>
      <w:bookmarkStart w:id="339" w:name="_Toc239150472"/>
      <w:bookmarkStart w:id="340" w:name="_Toc524422944"/>
      <w:r>
        <w:rPr>
          <w:rStyle w:val="CharSectno"/>
        </w:rPr>
        <w:t>55</w:t>
      </w:r>
      <w:r>
        <w:rPr>
          <w:snapToGrid w:val="0"/>
        </w:rPr>
        <w:t>.</w:t>
      </w:r>
      <w:r>
        <w:rPr>
          <w:snapToGrid w:val="0"/>
        </w:rPr>
        <w:tab/>
        <w:t>Driver to obey reasonable direction</w:t>
      </w:r>
      <w:bookmarkEnd w:id="337"/>
      <w:bookmarkEnd w:id="338"/>
      <w:bookmarkEnd w:id="339"/>
      <w:bookmarkEnd w:id="340"/>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Penalty: $500.</w:t>
      </w:r>
    </w:p>
    <w:p>
      <w:pPr>
        <w:pStyle w:val="Heading5"/>
        <w:rPr>
          <w:snapToGrid w:val="0"/>
        </w:rPr>
      </w:pPr>
      <w:bookmarkStart w:id="341" w:name="_Toc271208982"/>
      <w:bookmarkStart w:id="342" w:name="_Toc271209844"/>
      <w:bookmarkStart w:id="343" w:name="_Toc239150473"/>
      <w:bookmarkStart w:id="344" w:name="_Toc524422945"/>
      <w:r>
        <w:rPr>
          <w:rStyle w:val="CharSectno"/>
        </w:rPr>
        <w:t>56</w:t>
      </w:r>
      <w:r>
        <w:rPr>
          <w:snapToGrid w:val="0"/>
        </w:rPr>
        <w:t>.</w:t>
      </w:r>
      <w:r>
        <w:rPr>
          <w:snapToGrid w:val="0"/>
        </w:rPr>
        <w:tab/>
        <w:t>Signs to be obeyed</w:t>
      </w:r>
      <w:bookmarkEnd w:id="341"/>
      <w:bookmarkEnd w:id="342"/>
      <w:bookmarkEnd w:id="343"/>
      <w:bookmarkEnd w:id="344"/>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Penalty: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Penalty: $500.</w:t>
      </w:r>
    </w:p>
    <w:p>
      <w:pPr>
        <w:pStyle w:val="Subsection"/>
        <w:spacing w:before="140"/>
        <w:rPr>
          <w:snapToGrid w:val="0"/>
        </w:rPr>
      </w:pPr>
      <w:r>
        <w:rPr>
          <w:snapToGrid w:val="0"/>
        </w:rPr>
        <w:tab/>
        <w:t>(5)</w:t>
      </w:r>
      <w:r>
        <w:rPr>
          <w:snapToGrid w:val="0"/>
        </w:rPr>
        <w:tab/>
        <w:t xml:space="preserve">The charge specified for the purposes of subregulation (3) is not to exceed — </w:t>
      </w:r>
    </w:p>
    <w:p>
      <w:pPr>
        <w:pStyle w:val="Indenta"/>
        <w:rPr>
          <w:snapToGrid w:val="0"/>
        </w:rPr>
      </w:pPr>
      <w:r>
        <w:rPr>
          <w:snapToGrid w:val="0"/>
        </w:rPr>
        <w:tab/>
        <w:t>(a)</w:t>
      </w:r>
      <w:r>
        <w:rPr>
          <w:snapToGrid w:val="0"/>
        </w:rPr>
        <w:tab/>
      </w:r>
      <w:r>
        <w:t xml:space="preserve">$1.00 </w:t>
      </w:r>
      <w:r>
        <w:rPr>
          <w:snapToGrid w:val="0"/>
        </w:rPr>
        <w:t>for every hour or part of an hour; and</w:t>
      </w:r>
    </w:p>
    <w:p>
      <w:pPr>
        <w:pStyle w:val="Indenta"/>
        <w:rPr>
          <w:snapToGrid w:val="0"/>
        </w:rPr>
      </w:pPr>
      <w:r>
        <w:rPr>
          <w:snapToGrid w:val="0"/>
        </w:rPr>
        <w:tab/>
        <w:t>(b)</w:t>
      </w:r>
      <w:r>
        <w:rPr>
          <w:snapToGrid w:val="0"/>
        </w:rPr>
        <w:tab/>
      </w:r>
      <w:r>
        <w:t>$5.00 for any day or part of a day.</w:t>
      </w:r>
    </w:p>
    <w:p>
      <w:pPr>
        <w:pStyle w:val="Subsection"/>
        <w:spacing w:before="140"/>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in Gazette 29 Sep 2006 p. 4315.]</w:t>
      </w:r>
    </w:p>
    <w:p>
      <w:pPr>
        <w:pStyle w:val="Heading5"/>
        <w:rPr>
          <w:snapToGrid w:val="0"/>
        </w:rPr>
      </w:pPr>
      <w:bookmarkStart w:id="345" w:name="_Toc271208983"/>
      <w:bookmarkStart w:id="346" w:name="_Toc271209845"/>
      <w:bookmarkStart w:id="347" w:name="_Toc239150474"/>
      <w:bookmarkStart w:id="348" w:name="_Toc524422946"/>
      <w:r>
        <w:rPr>
          <w:rStyle w:val="CharSectno"/>
        </w:rPr>
        <w:t>57</w:t>
      </w:r>
      <w:r>
        <w:rPr>
          <w:snapToGrid w:val="0"/>
        </w:rPr>
        <w:t>.</w:t>
      </w:r>
      <w:r>
        <w:rPr>
          <w:snapToGrid w:val="0"/>
        </w:rPr>
        <w:tab/>
        <w:t>Obstructing other vehicles etc.</w:t>
      </w:r>
      <w:bookmarkEnd w:id="345"/>
      <w:bookmarkEnd w:id="346"/>
      <w:bookmarkEnd w:id="347"/>
      <w:bookmarkEnd w:id="348"/>
      <w:r>
        <w:rPr>
          <w:snapToGrid w:val="0"/>
        </w:rPr>
        <w:t xml:space="preserve"> </w:t>
      </w:r>
    </w:p>
    <w:p>
      <w:pPr>
        <w:pStyle w:val="Subsection"/>
        <w:spacing w:before="14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w:t>
      </w:r>
    </w:p>
    <w:p>
      <w:pPr>
        <w:pStyle w:val="Indenta"/>
        <w:rPr>
          <w:snapToGrid w:val="0"/>
        </w:rPr>
      </w:pPr>
      <w:r>
        <w:rPr>
          <w:snapToGrid w:val="0"/>
        </w:rPr>
        <w:tab/>
        <w:t>(b)</w:t>
      </w:r>
      <w:r>
        <w:rPr>
          <w:snapToGrid w:val="0"/>
        </w:rPr>
        <w:tab/>
        <w:t>a footpath;</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Penalty: $500.</w:t>
      </w:r>
    </w:p>
    <w:p>
      <w:pPr>
        <w:pStyle w:val="Heading3"/>
      </w:pPr>
      <w:bookmarkStart w:id="349" w:name="_Toc189456556"/>
      <w:bookmarkStart w:id="350" w:name="_Toc223500364"/>
      <w:bookmarkStart w:id="351" w:name="_Toc223500526"/>
      <w:bookmarkStart w:id="352" w:name="_Toc239150475"/>
      <w:bookmarkStart w:id="353" w:name="_Toc271207485"/>
      <w:bookmarkStart w:id="354" w:name="_Toc271207661"/>
      <w:bookmarkStart w:id="355" w:name="_Toc271208984"/>
      <w:bookmarkStart w:id="356" w:name="_Toc271209318"/>
      <w:bookmarkStart w:id="357" w:name="_Toc271209494"/>
      <w:bookmarkStart w:id="358" w:name="_Toc271209670"/>
      <w:bookmarkStart w:id="359" w:name="_Toc271209846"/>
      <w:bookmarkStart w:id="360" w:name="_Toc524422947"/>
      <w:r>
        <w:rPr>
          <w:rStyle w:val="CharDivNo"/>
        </w:rPr>
        <w:t>Division 3</w:t>
      </w:r>
      <w:r>
        <w:rPr>
          <w:snapToGrid w:val="0"/>
        </w:rPr>
        <w:t xml:space="preserve"> — </w:t>
      </w:r>
      <w:r>
        <w:rPr>
          <w:rStyle w:val="CharDivText"/>
        </w:rPr>
        <w:t>Vessels</w:t>
      </w:r>
      <w:bookmarkEnd w:id="349"/>
      <w:bookmarkEnd w:id="350"/>
      <w:bookmarkEnd w:id="351"/>
      <w:bookmarkEnd w:id="352"/>
      <w:bookmarkEnd w:id="353"/>
      <w:bookmarkEnd w:id="354"/>
      <w:bookmarkEnd w:id="355"/>
      <w:bookmarkEnd w:id="356"/>
      <w:bookmarkEnd w:id="357"/>
      <w:bookmarkEnd w:id="358"/>
      <w:bookmarkEnd w:id="359"/>
      <w:bookmarkEnd w:id="360"/>
    </w:p>
    <w:p>
      <w:pPr>
        <w:pStyle w:val="Heading5"/>
        <w:rPr>
          <w:snapToGrid w:val="0"/>
        </w:rPr>
      </w:pPr>
      <w:bookmarkStart w:id="361" w:name="_Toc271208985"/>
      <w:bookmarkStart w:id="362" w:name="_Toc271209847"/>
      <w:bookmarkStart w:id="363" w:name="_Toc239150476"/>
      <w:bookmarkStart w:id="364" w:name="_Toc524422948"/>
      <w:r>
        <w:rPr>
          <w:rStyle w:val="CharSectno"/>
        </w:rPr>
        <w:t>58</w:t>
      </w:r>
      <w:r>
        <w:rPr>
          <w:snapToGrid w:val="0"/>
        </w:rPr>
        <w:t>.</w:t>
      </w:r>
      <w:r>
        <w:rPr>
          <w:snapToGrid w:val="0"/>
        </w:rPr>
        <w:tab/>
        <w:t>Races</w:t>
      </w:r>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Penalty: $2 000.</w:t>
      </w:r>
    </w:p>
    <w:p>
      <w:pPr>
        <w:pStyle w:val="Heading5"/>
        <w:rPr>
          <w:snapToGrid w:val="0"/>
        </w:rPr>
      </w:pPr>
      <w:bookmarkStart w:id="365" w:name="_Toc271208986"/>
      <w:bookmarkStart w:id="366" w:name="_Toc271209848"/>
      <w:bookmarkStart w:id="367" w:name="_Toc239150477"/>
      <w:bookmarkStart w:id="368" w:name="_Toc524422949"/>
      <w:r>
        <w:rPr>
          <w:rStyle w:val="CharSectno"/>
        </w:rPr>
        <w:t>59</w:t>
      </w:r>
      <w:r>
        <w:rPr>
          <w:snapToGrid w:val="0"/>
        </w:rPr>
        <w:t>.</w:t>
      </w:r>
      <w:r>
        <w:rPr>
          <w:snapToGrid w:val="0"/>
        </w:rPr>
        <w:tab/>
        <w:t>Moorings</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Penalty: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w:t>
      </w:r>
    </w:p>
    <w:p>
      <w:pPr>
        <w:pStyle w:val="Heading5"/>
      </w:pPr>
      <w:bookmarkStart w:id="369" w:name="_Toc271208987"/>
      <w:bookmarkStart w:id="370" w:name="_Toc271209849"/>
      <w:bookmarkStart w:id="371" w:name="_Toc239150478"/>
      <w:bookmarkStart w:id="372" w:name="_Toc524422950"/>
      <w:r>
        <w:rPr>
          <w:rStyle w:val="CharSectno"/>
        </w:rPr>
        <w:t>60</w:t>
      </w:r>
      <w:r>
        <w:rPr>
          <w:snapToGrid w:val="0"/>
        </w:rPr>
        <w:t>.</w:t>
      </w:r>
      <w:r>
        <w:rPr>
          <w:snapToGrid w:val="0"/>
        </w:rPr>
        <w:tab/>
        <w:t>Anchoring vessels</w:t>
      </w:r>
      <w:bookmarkEnd w:id="369"/>
      <w:bookmarkEnd w:id="370"/>
      <w:bookmarkEnd w:id="371"/>
      <w:bookmarkEnd w:id="372"/>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Heading5"/>
        <w:rPr>
          <w:snapToGrid w:val="0"/>
        </w:rPr>
      </w:pPr>
      <w:bookmarkStart w:id="373" w:name="_Toc271208988"/>
      <w:bookmarkStart w:id="374" w:name="_Toc271209850"/>
      <w:bookmarkStart w:id="375" w:name="_Toc239150479"/>
      <w:bookmarkStart w:id="376" w:name="_Toc524422951"/>
      <w:r>
        <w:rPr>
          <w:rStyle w:val="CharSectno"/>
        </w:rPr>
        <w:t>61</w:t>
      </w:r>
      <w:r>
        <w:rPr>
          <w:snapToGrid w:val="0"/>
        </w:rPr>
        <w:t>.</w:t>
      </w:r>
      <w:r>
        <w:rPr>
          <w:snapToGrid w:val="0"/>
        </w:rPr>
        <w:tab/>
        <w:t>Operation of certain vessel in restricted area</w:t>
      </w:r>
      <w:bookmarkEnd w:id="373"/>
      <w:bookmarkEnd w:id="374"/>
      <w:bookmarkEnd w:id="375"/>
      <w:bookmarkEnd w:id="376"/>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Penalty: $500.</w:t>
      </w:r>
    </w:p>
    <w:p>
      <w:pPr>
        <w:pStyle w:val="Heading5"/>
      </w:pPr>
      <w:bookmarkStart w:id="377" w:name="_Toc271208989"/>
      <w:bookmarkStart w:id="378" w:name="_Toc271209851"/>
      <w:bookmarkStart w:id="379" w:name="_Toc239150480"/>
      <w:bookmarkStart w:id="380" w:name="_Toc524422952"/>
      <w:r>
        <w:rPr>
          <w:rStyle w:val="CharSectno"/>
        </w:rPr>
        <w:t>61A</w:t>
      </w:r>
      <w:r>
        <w:t>.</w:t>
      </w:r>
      <w:r>
        <w:tab/>
        <w:t>Operation of vessels in nature reserves</w:t>
      </w:r>
      <w:bookmarkEnd w:id="377"/>
      <w:bookmarkEnd w:id="378"/>
      <w:bookmarkEnd w:id="379"/>
      <w:bookmarkEnd w:id="380"/>
    </w:p>
    <w:p>
      <w:pPr>
        <w:pStyle w:val="Subsection"/>
      </w:pPr>
      <w:r>
        <w:tab/>
      </w:r>
      <w:r>
        <w:tab/>
        <w:t>A person must not, without lawful authority, operate a vessel in a nature reserve, except in a designated area of the reserve.</w:t>
      </w:r>
    </w:p>
    <w:p>
      <w:pPr>
        <w:pStyle w:val="Penstart"/>
      </w:pPr>
      <w:r>
        <w:tab/>
        <w:t>Penalty: $1 000.</w:t>
      </w:r>
    </w:p>
    <w:p>
      <w:pPr>
        <w:pStyle w:val="Footnotesection"/>
      </w:pPr>
      <w:r>
        <w:tab/>
        <w:t>[Regulation 61A inserted in Gazette 29 Sep 2006 p. 4315.]</w:t>
      </w:r>
    </w:p>
    <w:p>
      <w:pPr>
        <w:pStyle w:val="Heading5"/>
        <w:spacing w:before="160"/>
        <w:rPr>
          <w:snapToGrid w:val="0"/>
        </w:rPr>
      </w:pPr>
      <w:bookmarkStart w:id="381" w:name="_Toc271208990"/>
      <w:bookmarkStart w:id="382" w:name="_Toc271209852"/>
      <w:bookmarkStart w:id="383" w:name="_Toc239150481"/>
      <w:bookmarkStart w:id="384" w:name="_Toc524422953"/>
      <w:r>
        <w:rPr>
          <w:rStyle w:val="CharSectno"/>
        </w:rPr>
        <w:t>62</w:t>
      </w:r>
      <w:r>
        <w:rPr>
          <w:snapToGrid w:val="0"/>
        </w:rPr>
        <w:t>.</w:t>
      </w:r>
      <w:r>
        <w:rPr>
          <w:snapToGrid w:val="0"/>
        </w:rPr>
        <w:tab/>
        <w:t>Safe navigation of vessels</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 xml:space="preserve">endanger the safety of that or any other vessel or any person; </w:t>
      </w:r>
    </w:p>
    <w:p>
      <w:pPr>
        <w:pStyle w:val="Indenta"/>
        <w:rPr>
          <w:snapToGrid w:val="0"/>
        </w:rPr>
      </w:pPr>
      <w:r>
        <w:rPr>
          <w:snapToGrid w:val="0"/>
        </w:rPr>
        <w:tab/>
        <w:t>(b)</w:t>
      </w:r>
      <w:r>
        <w:rPr>
          <w:snapToGrid w:val="0"/>
        </w:rPr>
        <w:tab/>
        <w:t xml:space="preserve">cause damage to any person or to any other vessel;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Penalty: $500.</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Penalty: $500.</w:t>
      </w:r>
    </w:p>
    <w:p>
      <w:pPr>
        <w:pStyle w:val="Footnotesection"/>
      </w:pPr>
      <w:r>
        <w:tab/>
        <w:t>[Regulation 62 amended in Gazette 29 Sep 2006 p. 4315</w:t>
      </w:r>
      <w:r>
        <w:noBreakHyphen/>
        <w:t>16.]</w:t>
      </w:r>
    </w:p>
    <w:p>
      <w:pPr>
        <w:pStyle w:val="Heading5"/>
        <w:rPr>
          <w:snapToGrid w:val="0"/>
        </w:rPr>
      </w:pPr>
      <w:bookmarkStart w:id="385" w:name="_Toc271208991"/>
      <w:bookmarkStart w:id="386" w:name="_Toc271209853"/>
      <w:bookmarkStart w:id="387" w:name="_Toc239150482"/>
      <w:bookmarkStart w:id="388" w:name="_Toc524422954"/>
      <w:r>
        <w:rPr>
          <w:rStyle w:val="CharSectno"/>
        </w:rPr>
        <w:t>63</w:t>
      </w:r>
      <w:r>
        <w:rPr>
          <w:snapToGrid w:val="0"/>
        </w:rPr>
        <w:t>.</w:t>
      </w:r>
      <w:r>
        <w:rPr>
          <w:snapToGrid w:val="0"/>
        </w:rPr>
        <w:tab/>
        <w:t>Owner to obey reasonable direction</w:t>
      </w:r>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Penalty: $1 000.</w:t>
      </w:r>
    </w:p>
    <w:p>
      <w:pPr>
        <w:pStyle w:val="Heading5"/>
        <w:rPr>
          <w:snapToGrid w:val="0"/>
        </w:rPr>
      </w:pPr>
      <w:bookmarkStart w:id="389" w:name="_Toc271208992"/>
      <w:bookmarkStart w:id="390" w:name="_Toc271209854"/>
      <w:bookmarkStart w:id="391" w:name="_Toc239150483"/>
      <w:bookmarkStart w:id="392" w:name="_Toc524422955"/>
      <w:r>
        <w:rPr>
          <w:rStyle w:val="CharSectno"/>
        </w:rPr>
        <w:t>64</w:t>
      </w:r>
      <w:r>
        <w:rPr>
          <w:snapToGrid w:val="0"/>
        </w:rPr>
        <w:t>.</w:t>
      </w:r>
      <w:r>
        <w:rPr>
          <w:snapToGrid w:val="0"/>
        </w:rPr>
        <w:tab/>
        <w:t>Launching, beaching and retrieving</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$1 000.</w:t>
      </w:r>
    </w:p>
    <w:p>
      <w:pPr>
        <w:pStyle w:val="Subsection"/>
        <w:spacing w:before="12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2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If — </w:t>
      </w:r>
    </w:p>
    <w:p>
      <w:pPr>
        <w:pStyle w:val="Indenta"/>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80"/>
        <w:ind w:left="890" w:hanging="890"/>
      </w:pPr>
      <w:r>
        <w:tab/>
        <w:t>[Regulation 64 amended in Gazette 29 Sep 2006 p. 4316.]</w:t>
      </w:r>
    </w:p>
    <w:p>
      <w:pPr>
        <w:pStyle w:val="Heading3"/>
      </w:pPr>
      <w:bookmarkStart w:id="393" w:name="_Toc189456565"/>
      <w:bookmarkStart w:id="394" w:name="_Toc223500373"/>
      <w:bookmarkStart w:id="395" w:name="_Toc223500535"/>
      <w:bookmarkStart w:id="396" w:name="_Toc239150484"/>
      <w:bookmarkStart w:id="397" w:name="_Toc271207494"/>
      <w:bookmarkStart w:id="398" w:name="_Toc271207670"/>
      <w:bookmarkStart w:id="399" w:name="_Toc271208993"/>
      <w:bookmarkStart w:id="400" w:name="_Toc271209327"/>
      <w:bookmarkStart w:id="401" w:name="_Toc271209503"/>
      <w:bookmarkStart w:id="402" w:name="_Toc271209679"/>
      <w:bookmarkStart w:id="403" w:name="_Toc271209855"/>
      <w:bookmarkStart w:id="404" w:name="_Toc524422956"/>
      <w:r>
        <w:rPr>
          <w:rStyle w:val="CharDivNo"/>
        </w:rPr>
        <w:t>Division 4</w:t>
      </w:r>
      <w:r>
        <w:rPr>
          <w:snapToGrid w:val="0"/>
        </w:rPr>
        <w:t xml:space="preserve"> — </w:t>
      </w:r>
      <w:r>
        <w:rPr>
          <w:rStyle w:val="CharDivText"/>
        </w:rPr>
        <w:t>Aircraft</w:t>
      </w:r>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271208994"/>
      <w:bookmarkStart w:id="406" w:name="_Toc271209856"/>
      <w:bookmarkStart w:id="407" w:name="_Toc239150485"/>
      <w:bookmarkStart w:id="408" w:name="_Toc524422957"/>
      <w:r>
        <w:rPr>
          <w:rStyle w:val="CharSectno"/>
        </w:rPr>
        <w:t>65</w:t>
      </w:r>
      <w:r>
        <w:rPr>
          <w:snapToGrid w:val="0"/>
        </w:rPr>
        <w:t>.</w:t>
      </w:r>
      <w:r>
        <w:rPr>
          <w:snapToGrid w:val="0"/>
        </w:rPr>
        <w:tab/>
        <w:t>Launching or landing of aircraft</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including an ultra</w:t>
      </w:r>
      <w:r>
        <w:rPr>
          <w:snapToGrid w:val="0"/>
        </w:rPr>
        <w:noBreakHyphen/>
        <w:t>light aircraft, or a helicopter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an aircraft or helicopter that is required to launch, land or touch down contrary to that subregulation to avoid or mitigate danger to human life or significant damage to property.</w:t>
      </w:r>
    </w:p>
    <w:p>
      <w:pPr>
        <w:pStyle w:val="Footnotesection"/>
      </w:pPr>
      <w:r>
        <w:tab/>
        <w:t>[Regulation 65 amended in Gazette 4 Oct 2002 p. 5065.]</w:t>
      </w:r>
    </w:p>
    <w:p>
      <w:pPr>
        <w:pStyle w:val="Heading2"/>
      </w:pPr>
      <w:bookmarkStart w:id="409" w:name="_Toc189456567"/>
      <w:bookmarkStart w:id="410" w:name="_Toc223500375"/>
      <w:bookmarkStart w:id="411" w:name="_Toc223500537"/>
      <w:bookmarkStart w:id="412" w:name="_Toc239150486"/>
      <w:bookmarkStart w:id="413" w:name="_Toc271207496"/>
      <w:bookmarkStart w:id="414" w:name="_Toc271207672"/>
      <w:bookmarkStart w:id="415" w:name="_Toc271208995"/>
      <w:bookmarkStart w:id="416" w:name="_Toc271209329"/>
      <w:bookmarkStart w:id="417" w:name="_Toc271209505"/>
      <w:bookmarkStart w:id="418" w:name="_Toc271209681"/>
      <w:bookmarkStart w:id="419" w:name="_Toc271209857"/>
      <w:bookmarkStart w:id="420" w:name="_Toc524422958"/>
      <w:r>
        <w:rPr>
          <w:rStyle w:val="CharPartNo"/>
        </w:rPr>
        <w:t>Part 4</w:t>
      </w:r>
      <w:r>
        <w:rPr>
          <w:rStyle w:val="CharDivNo"/>
        </w:rPr>
        <w:t xml:space="preserve"> </w:t>
      </w:r>
      <w:r>
        <w:t>—</w:t>
      </w:r>
      <w:r>
        <w:rPr>
          <w:rStyle w:val="CharDivText"/>
        </w:rPr>
        <w:t xml:space="preserve"> </w:t>
      </w:r>
      <w:r>
        <w:rPr>
          <w:rStyle w:val="CharPartText"/>
        </w:rPr>
        <w:t>Camping</w:t>
      </w:r>
      <w:bookmarkEnd w:id="409"/>
      <w:bookmarkEnd w:id="410"/>
      <w:bookmarkEnd w:id="411"/>
      <w:bookmarkEnd w:id="412"/>
      <w:bookmarkEnd w:id="413"/>
      <w:bookmarkEnd w:id="414"/>
      <w:bookmarkEnd w:id="415"/>
      <w:bookmarkEnd w:id="416"/>
      <w:bookmarkEnd w:id="417"/>
      <w:bookmarkEnd w:id="418"/>
      <w:bookmarkEnd w:id="419"/>
      <w:bookmarkEnd w:id="420"/>
      <w:r>
        <w:rPr>
          <w:rStyle w:val="CharPartText"/>
        </w:rPr>
        <w:t xml:space="preserve"> </w:t>
      </w:r>
    </w:p>
    <w:p>
      <w:pPr>
        <w:pStyle w:val="Heading5"/>
        <w:spacing w:before="240"/>
        <w:rPr>
          <w:snapToGrid w:val="0"/>
        </w:rPr>
      </w:pPr>
      <w:bookmarkStart w:id="421" w:name="_Toc271208996"/>
      <w:bookmarkStart w:id="422" w:name="_Toc271209858"/>
      <w:bookmarkStart w:id="423" w:name="_Toc239150487"/>
      <w:bookmarkStart w:id="424" w:name="_Toc524422959"/>
      <w:r>
        <w:rPr>
          <w:rStyle w:val="CharSectno"/>
        </w:rPr>
        <w:t>66</w:t>
      </w:r>
      <w:r>
        <w:rPr>
          <w:snapToGrid w:val="0"/>
        </w:rPr>
        <w:t>.</w:t>
      </w:r>
      <w:r>
        <w:rPr>
          <w:snapToGrid w:val="0"/>
        </w:rPr>
        <w:tab/>
        <w:t>Camping controlled</w:t>
      </w:r>
      <w:bookmarkEnd w:id="421"/>
      <w:bookmarkEnd w:id="422"/>
      <w:bookmarkEnd w:id="423"/>
      <w:bookmarkEnd w:id="424"/>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Penalty: $500.</w:t>
      </w:r>
    </w:p>
    <w:p>
      <w:pPr>
        <w:pStyle w:val="Heading5"/>
        <w:spacing w:before="240"/>
        <w:rPr>
          <w:snapToGrid w:val="0"/>
        </w:rPr>
      </w:pPr>
      <w:bookmarkStart w:id="425" w:name="_Toc271208997"/>
      <w:bookmarkStart w:id="426" w:name="_Toc271209859"/>
      <w:bookmarkStart w:id="427" w:name="_Toc239150488"/>
      <w:bookmarkStart w:id="428" w:name="_Toc524422960"/>
      <w:r>
        <w:rPr>
          <w:rStyle w:val="CharSectno"/>
        </w:rPr>
        <w:t>67</w:t>
      </w:r>
      <w:r>
        <w:rPr>
          <w:snapToGrid w:val="0"/>
        </w:rPr>
        <w:t>.</w:t>
      </w:r>
      <w:r>
        <w:rPr>
          <w:snapToGrid w:val="0"/>
        </w:rPr>
        <w:tab/>
        <w:t>Direction to vacate camp</w:t>
      </w:r>
      <w:bookmarkEnd w:id="425"/>
      <w:bookmarkEnd w:id="426"/>
      <w:bookmarkEnd w:id="427"/>
      <w:bookmarkEnd w:id="428"/>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$1 000.</w:t>
      </w:r>
    </w:p>
    <w:p>
      <w:pPr>
        <w:pStyle w:val="Footnotesection"/>
        <w:keepLines w:val="0"/>
        <w:spacing w:before="80"/>
        <w:ind w:left="890" w:hanging="890"/>
      </w:pPr>
      <w:r>
        <w:tab/>
        <w:t>[Regulation 67 amended in Gazette 29 Sep 2006 p. 4316</w:t>
      </w:r>
      <w:r>
        <w:noBreakHyphen/>
        <w:t>17.]</w:t>
      </w:r>
    </w:p>
    <w:p>
      <w:pPr>
        <w:pStyle w:val="Heading5"/>
        <w:rPr>
          <w:snapToGrid w:val="0"/>
        </w:rPr>
      </w:pPr>
      <w:bookmarkStart w:id="429" w:name="_Toc271208998"/>
      <w:bookmarkStart w:id="430" w:name="_Toc271209860"/>
      <w:bookmarkStart w:id="431" w:name="_Toc239150489"/>
      <w:bookmarkStart w:id="432" w:name="_Toc524422961"/>
      <w:r>
        <w:rPr>
          <w:rStyle w:val="CharSectno"/>
        </w:rPr>
        <w:t>68</w:t>
      </w:r>
      <w:r>
        <w:rPr>
          <w:snapToGrid w:val="0"/>
        </w:rPr>
        <w:t>.</w:t>
      </w:r>
      <w:r>
        <w:rPr>
          <w:snapToGrid w:val="0"/>
        </w:rPr>
        <w:tab/>
        <w:t>Unauthorised persons not to enter camping unit</w:t>
      </w:r>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Penalty: $500.</w:t>
      </w:r>
    </w:p>
    <w:p>
      <w:pPr>
        <w:pStyle w:val="Footnotesection"/>
      </w:pPr>
      <w:r>
        <w:tab/>
        <w:t>[Regulation 68 amended in Gazette 29 Sep 2006 p. 4317.]</w:t>
      </w:r>
    </w:p>
    <w:p>
      <w:pPr>
        <w:pStyle w:val="Heading5"/>
        <w:rPr>
          <w:snapToGrid w:val="0"/>
        </w:rPr>
      </w:pPr>
      <w:bookmarkStart w:id="433" w:name="_Toc271208999"/>
      <w:bookmarkStart w:id="434" w:name="_Toc271209861"/>
      <w:bookmarkStart w:id="435" w:name="_Toc239150490"/>
      <w:bookmarkStart w:id="436" w:name="_Toc524422962"/>
      <w:r>
        <w:rPr>
          <w:rStyle w:val="CharSectno"/>
        </w:rPr>
        <w:t>69</w:t>
      </w:r>
      <w:r>
        <w:rPr>
          <w:snapToGrid w:val="0"/>
        </w:rPr>
        <w:t>.</w:t>
      </w:r>
      <w:r>
        <w:rPr>
          <w:snapToGrid w:val="0"/>
        </w:rPr>
        <w:tab/>
        <w:t>Construction and positioning of camping units</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Penalty: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Penalty: $1 000.</w:t>
      </w:r>
    </w:p>
    <w:p>
      <w:pPr>
        <w:pStyle w:val="Footnotesection"/>
      </w:pPr>
      <w:r>
        <w:tab/>
        <w:t>[Regulation 69 amended in Gazette 29 Sep 2006 p. 4317.]</w:t>
      </w:r>
    </w:p>
    <w:p>
      <w:pPr>
        <w:pStyle w:val="Heading5"/>
        <w:rPr>
          <w:snapToGrid w:val="0"/>
        </w:rPr>
      </w:pPr>
      <w:bookmarkStart w:id="437" w:name="_Toc271209000"/>
      <w:bookmarkStart w:id="438" w:name="_Toc271209862"/>
      <w:bookmarkStart w:id="439" w:name="_Toc239150491"/>
      <w:bookmarkStart w:id="440" w:name="_Toc524422963"/>
      <w:r>
        <w:rPr>
          <w:rStyle w:val="CharSectno"/>
        </w:rPr>
        <w:t>70</w:t>
      </w:r>
      <w:r>
        <w:rPr>
          <w:snapToGrid w:val="0"/>
        </w:rPr>
        <w:t>.</w:t>
      </w:r>
      <w:r>
        <w:rPr>
          <w:snapToGrid w:val="0"/>
        </w:rPr>
        <w:tab/>
        <w:t>Power generating devices</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$1 000.</w:t>
      </w:r>
    </w:p>
    <w:p>
      <w:pPr>
        <w:pStyle w:val="Heading5"/>
        <w:rPr>
          <w:snapToGrid w:val="0"/>
        </w:rPr>
      </w:pPr>
      <w:bookmarkStart w:id="441" w:name="_Toc271209001"/>
      <w:bookmarkStart w:id="442" w:name="_Toc271209863"/>
      <w:bookmarkStart w:id="443" w:name="_Toc239150492"/>
      <w:bookmarkStart w:id="444" w:name="_Toc524422964"/>
      <w:r>
        <w:rPr>
          <w:rStyle w:val="CharSectno"/>
        </w:rPr>
        <w:t>71</w:t>
      </w:r>
      <w:r>
        <w:rPr>
          <w:snapToGrid w:val="0"/>
        </w:rPr>
        <w:t>.</w:t>
      </w:r>
      <w:r>
        <w:rPr>
          <w:snapToGrid w:val="0"/>
        </w:rPr>
        <w:tab/>
        <w:t>Firewood</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$200.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w:t>
      </w:r>
    </w:p>
    <w:p>
      <w:pPr>
        <w:pStyle w:val="Heading2"/>
      </w:pPr>
      <w:bookmarkStart w:id="445" w:name="_Toc189456574"/>
      <w:bookmarkStart w:id="446" w:name="_Toc223500382"/>
      <w:bookmarkStart w:id="447" w:name="_Toc223500544"/>
      <w:bookmarkStart w:id="448" w:name="_Toc239150493"/>
      <w:bookmarkStart w:id="449" w:name="_Toc271207503"/>
      <w:bookmarkStart w:id="450" w:name="_Toc271207679"/>
      <w:bookmarkStart w:id="451" w:name="_Toc271209002"/>
      <w:bookmarkStart w:id="452" w:name="_Toc271209336"/>
      <w:bookmarkStart w:id="453" w:name="_Toc271209512"/>
      <w:bookmarkStart w:id="454" w:name="_Toc271209688"/>
      <w:bookmarkStart w:id="455" w:name="_Toc271209864"/>
      <w:bookmarkStart w:id="456" w:name="_Toc524422965"/>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445"/>
      <w:bookmarkEnd w:id="446"/>
      <w:bookmarkEnd w:id="447"/>
      <w:bookmarkEnd w:id="448"/>
      <w:bookmarkEnd w:id="449"/>
      <w:bookmarkEnd w:id="450"/>
      <w:bookmarkEnd w:id="451"/>
      <w:bookmarkEnd w:id="452"/>
      <w:bookmarkEnd w:id="453"/>
      <w:bookmarkEnd w:id="454"/>
      <w:bookmarkEnd w:id="455"/>
      <w:bookmarkEnd w:id="456"/>
      <w:r>
        <w:rPr>
          <w:rStyle w:val="CharPartText"/>
        </w:rPr>
        <w:t xml:space="preserve"> </w:t>
      </w:r>
    </w:p>
    <w:p>
      <w:pPr>
        <w:pStyle w:val="Heading5"/>
        <w:spacing w:before="240"/>
        <w:rPr>
          <w:snapToGrid w:val="0"/>
        </w:rPr>
      </w:pPr>
      <w:bookmarkStart w:id="457" w:name="_Toc271209003"/>
      <w:bookmarkStart w:id="458" w:name="_Toc271209865"/>
      <w:bookmarkStart w:id="459" w:name="_Toc239150494"/>
      <w:bookmarkStart w:id="460" w:name="_Toc524422966"/>
      <w:r>
        <w:rPr>
          <w:rStyle w:val="CharSectno"/>
        </w:rPr>
        <w:t>72</w:t>
      </w:r>
      <w:r>
        <w:rPr>
          <w:snapToGrid w:val="0"/>
        </w:rPr>
        <w:t>.</w:t>
      </w:r>
      <w:r>
        <w:rPr>
          <w:snapToGrid w:val="0"/>
        </w:rPr>
        <w:tab/>
        <w:t>Authorised officer may direct person to stop activity</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$500.</w:t>
      </w:r>
    </w:p>
    <w:p>
      <w:pPr>
        <w:pStyle w:val="Heading5"/>
        <w:spacing w:before="240"/>
        <w:rPr>
          <w:snapToGrid w:val="0"/>
        </w:rPr>
      </w:pPr>
      <w:bookmarkStart w:id="461" w:name="_Toc271209004"/>
      <w:bookmarkStart w:id="462" w:name="_Toc271209866"/>
      <w:bookmarkStart w:id="463" w:name="_Toc239150495"/>
      <w:bookmarkStart w:id="464" w:name="_Toc524422967"/>
      <w:r>
        <w:rPr>
          <w:rStyle w:val="CharSectno"/>
        </w:rPr>
        <w:t>73</w:t>
      </w:r>
      <w:r>
        <w:rPr>
          <w:snapToGrid w:val="0"/>
        </w:rPr>
        <w:t>.</w:t>
      </w:r>
      <w:r>
        <w:rPr>
          <w:snapToGrid w:val="0"/>
        </w:rPr>
        <w:tab/>
        <w:t>Conduct generally</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w:t>
      </w:r>
    </w:p>
    <w:p>
      <w:pPr>
        <w:pStyle w:val="Indenta"/>
        <w:rPr>
          <w:snapToGrid w:val="0"/>
        </w:rPr>
      </w:pPr>
      <w:r>
        <w:rPr>
          <w:snapToGrid w:val="0"/>
        </w:rPr>
        <w:tab/>
        <w:t>(b)</w:t>
      </w:r>
      <w:r>
        <w:rPr>
          <w:snapToGrid w:val="0"/>
        </w:rPr>
        <w:tab/>
        <w:t>behave in a disorderly or offensive manner;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Penalty: $500.</w:t>
      </w:r>
    </w:p>
    <w:p>
      <w:pPr>
        <w:pStyle w:val="Heading5"/>
        <w:spacing w:before="240"/>
        <w:rPr>
          <w:snapToGrid w:val="0"/>
        </w:rPr>
      </w:pPr>
      <w:bookmarkStart w:id="465" w:name="_Toc271209005"/>
      <w:bookmarkStart w:id="466" w:name="_Toc271209867"/>
      <w:bookmarkStart w:id="467" w:name="_Toc239150496"/>
      <w:bookmarkStart w:id="468" w:name="_Toc524422968"/>
      <w:r>
        <w:rPr>
          <w:rStyle w:val="CharSectno"/>
        </w:rPr>
        <w:t>74</w:t>
      </w:r>
      <w:r>
        <w:rPr>
          <w:snapToGrid w:val="0"/>
        </w:rPr>
        <w:t>.</w:t>
      </w:r>
      <w:r>
        <w:rPr>
          <w:snapToGrid w:val="0"/>
        </w:rPr>
        <w:tab/>
        <w:t>Offensive noise</w:t>
      </w:r>
      <w:bookmarkEnd w:id="465"/>
      <w:bookmarkEnd w:id="466"/>
      <w:bookmarkEnd w:id="467"/>
      <w:bookmarkEnd w:id="468"/>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Penalty: $500.</w:t>
      </w:r>
    </w:p>
    <w:p>
      <w:pPr>
        <w:pStyle w:val="Heading5"/>
        <w:rPr>
          <w:snapToGrid w:val="0"/>
        </w:rPr>
      </w:pPr>
      <w:bookmarkStart w:id="469" w:name="_Toc271209006"/>
      <w:bookmarkStart w:id="470" w:name="_Toc271209868"/>
      <w:bookmarkStart w:id="471" w:name="_Toc239150497"/>
      <w:bookmarkStart w:id="472" w:name="_Toc524422969"/>
      <w:r>
        <w:rPr>
          <w:rStyle w:val="CharSectno"/>
        </w:rPr>
        <w:t>75</w:t>
      </w:r>
      <w:r>
        <w:rPr>
          <w:snapToGrid w:val="0"/>
        </w:rPr>
        <w:t>.</w:t>
      </w:r>
      <w:r>
        <w:rPr>
          <w:snapToGrid w:val="0"/>
        </w:rPr>
        <w:tab/>
        <w:t>Alcohol and drugs</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Penalty: $500.</w:t>
      </w:r>
    </w:p>
    <w:p>
      <w:pPr>
        <w:pStyle w:val="Heading5"/>
        <w:rPr>
          <w:snapToGrid w:val="0"/>
        </w:rPr>
      </w:pPr>
      <w:bookmarkStart w:id="473" w:name="_Toc271209007"/>
      <w:bookmarkStart w:id="474" w:name="_Toc271209869"/>
      <w:bookmarkStart w:id="475" w:name="_Toc239150498"/>
      <w:bookmarkStart w:id="476" w:name="_Toc524422970"/>
      <w:r>
        <w:rPr>
          <w:rStyle w:val="CharSectno"/>
        </w:rPr>
        <w:t>76</w:t>
      </w:r>
      <w:r>
        <w:rPr>
          <w:snapToGrid w:val="0"/>
        </w:rPr>
        <w:t>.</w:t>
      </w:r>
      <w:r>
        <w:rPr>
          <w:snapToGrid w:val="0"/>
        </w:rPr>
        <w:tab/>
        <w:t>Removal of CALM property</w:t>
      </w:r>
      <w:bookmarkEnd w:id="473"/>
      <w:bookmarkEnd w:id="474"/>
      <w:bookmarkEnd w:id="475"/>
      <w:bookmarkEnd w:id="476"/>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Penalty: $1 000.</w:t>
      </w:r>
    </w:p>
    <w:p>
      <w:pPr>
        <w:pStyle w:val="Footnotesection"/>
      </w:pPr>
      <w:r>
        <w:tab/>
        <w:t>[Regulation 76 amended in Gazette 29 Sep 2006 p. 4318.]</w:t>
      </w:r>
    </w:p>
    <w:p>
      <w:pPr>
        <w:pStyle w:val="Heading2"/>
      </w:pPr>
      <w:bookmarkStart w:id="477" w:name="_Toc189456580"/>
      <w:bookmarkStart w:id="478" w:name="_Toc223500388"/>
      <w:bookmarkStart w:id="479" w:name="_Toc223500550"/>
      <w:bookmarkStart w:id="480" w:name="_Toc239150499"/>
      <w:bookmarkStart w:id="481" w:name="_Toc271207509"/>
      <w:bookmarkStart w:id="482" w:name="_Toc271207685"/>
      <w:bookmarkStart w:id="483" w:name="_Toc271209008"/>
      <w:bookmarkStart w:id="484" w:name="_Toc271209342"/>
      <w:bookmarkStart w:id="485" w:name="_Toc271209518"/>
      <w:bookmarkStart w:id="486" w:name="_Toc271209694"/>
      <w:bookmarkStart w:id="487" w:name="_Toc271209870"/>
      <w:bookmarkStart w:id="488" w:name="_Toc524422971"/>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271209009"/>
      <w:bookmarkStart w:id="490" w:name="_Toc271209871"/>
      <w:bookmarkStart w:id="491" w:name="_Toc239150500"/>
      <w:bookmarkStart w:id="492" w:name="_Toc524422972"/>
      <w:r>
        <w:rPr>
          <w:rStyle w:val="CharSectno"/>
        </w:rPr>
        <w:t>77</w:t>
      </w:r>
      <w:r>
        <w:t>.</w:t>
      </w:r>
      <w:r>
        <w:tab/>
        <w:t>Meaning of “property” in this Part</w:t>
      </w:r>
      <w:bookmarkEnd w:id="489"/>
      <w:bookmarkEnd w:id="490"/>
      <w:bookmarkEnd w:id="491"/>
      <w:bookmarkEnd w:id="492"/>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Heading5"/>
      </w:pPr>
      <w:bookmarkStart w:id="493" w:name="_Toc271209010"/>
      <w:bookmarkStart w:id="494" w:name="_Toc271209872"/>
      <w:bookmarkStart w:id="495" w:name="_Toc239150501"/>
      <w:bookmarkStart w:id="496" w:name="_Toc524422973"/>
      <w:r>
        <w:rPr>
          <w:rStyle w:val="CharSectno"/>
        </w:rPr>
        <w:t>78</w:t>
      </w:r>
      <w:r>
        <w:t>.</w:t>
      </w:r>
      <w:r>
        <w:tab/>
        <w:t>Authorised officers may seize and remove unauthorised property</w:t>
      </w:r>
      <w:bookmarkEnd w:id="493"/>
      <w:bookmarkEnd w:id="494"/>
      <w:bookmarkEnd w:id="495"/>
      <w:bookmarkEnd w:id="496"/>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$500.</w:t>
      </w:r>
    </w:p>
    <w:p>
      <w:pPr>
        <w:pStyle w:val="Subsection"/>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w:t>
      </w:r>
    </w:p>
    <w:p>
      <w:pPr>
        <w:pStyle w:val="Heading5"/>
      </w:pPr>
      <w:bookmarkStart w:id="497" w:name="_Toc271209011"/>
      <w:bookmarkStart w:id="498" w:name="_Toc271209873"/>
      <w:bookmarkStart w:id="499" w:name="_Toc239150502"/>
      <w:bookmarkStart w:id="500" w:name="_Toc524422974"/>
      <w:r>
        <w:rPr>
          <w:rStyle w:val="CharSectno"/>
        </w:rPr>
        <w:t>79</w:t>
      </w:r>
      <w:r>
        <w:t>.</w:t>
      </w:r>
      <w:r>
        <w:tab/>
        <w:t>Seized property may be claimed</w:t>
      </w:r>
      <w:bookmarkEnd w:id="497"/>
      <w:bookmarkEnd w:id="498"/>
      <w:bookmarkEnd w:id="499"/>
      <w:bookmarkEnd w:id="500"/>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501" w:name="_Toc271209012"/>
      <w:bookmarkStart w:id="502" w:name="_Toc271209874"/>
      <w:bookmarkStart w:id="503" w:name="_Toc239150503"/>
      <w:bookmarkStart w:id="504" w:name="_Toc524422975"/>
      <w:r>
        <w:rPr>
          <w:rStyle w:val="CharSectno"/>
        </w:rPr>
        <w:t>80</w:t>
      </w:r>
      <w:r>
        <w:t>.</w:t>
      </w:r>
      <w:r>
        <w:tab/>
        <w:t>Unclaimed property may be forfeited</w:t>
      </w:r>
      <w:bookmarkEnd w:id="501"/>
      <w:bookmarkEnd w:id="502"/>
      <w:bookmarkEnd w:id="503"/>
      <w:bookmarkEnd w:id="504"/>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Subsection"/>
      </w:pPr>
      <w:r>
        <w:tab/>
        <w:t>(2)</w:t>
      </w:r>
      <w:r>
        <w:tab/>
        <w:t>The proceeds of a sale under subregulation (1) are to be dealt with under section 63 of the Act.</w:t>
      </w:r>
    </w:p>
    <w:p>
      <w:pPr>
        <w:pStyle w:val="Footnotesection"/>
      </w:pPr>
      <w:r>
        <w:tab/>
        <w:t>[Regulation 80 amended in Gazette 29 Sep 2006 p. 4319 and 4334.]</w:t>
      </w:r>
    </w:p>
    <w:p>
      <w:pPr>
        <w:pStyle w:val="Heading2"/>
      </w:pPr>
      <w:bookmarkStart w:id="505" w:name="_Toc189456585"/>
      <w:bookmarkStart w:id="506" w:name="_Toc223500393"/>
      <w:bookmarkStart w:id="507" w:name="_Toc223500555"/>
      <w:bookmarkStart w:id="508" w:name="_Toc239150504"/>
      <w:bookmarkStart w:id="509" w:name="_Toc271207514"/>
      <w:bookmarkStart w:id="510" w:name="_Toc271207690"/>
      <w:bookmarkStart w:id="511" w:name="_Toc271209013"/>
      <w:bookmarkStart w:id="512" w:name="_Toc271209347"/>
      <w:bookmarkStart w:id="513" w:name="_Toc271209523"/>
      <w:bookmarkStart w:id="514" w:name="_Toc271209699"/>
      <w:bookmarkStart w:id="515" w:name="_Toc271209875"/>
      <w:bookmarkStart w:id="516" w:name="_Toc524422976"/>
      <w:r>
        <w:rPr>
          <w:rStyle w:val="CharPartNo"/>
        </w:rPr>
        <w:t>Part 6A</w:t>
      </w:r>
      <w:r>
        <w:rPr>
          <w:rStyle w:val="CharDivNo"/>
        </w:rPr>
        <w:t> </w:t>
      </w:r>
      <w:r>
        <w:t>—</w:t>
      </w:r>
      <w:r>
        <w:rPr>
          <w:rStyle w:val="CharDivText"/>
        </w:rPr>
        <w:t> </w:t>
      </w:r>
      <w:r>
        <w:rPr>
          <w:rStyle w:val="CharPartText"/>
        </w:rPr>
        <w:t>Management plans</w:t>
      </w:r>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tabs>
          <w:tab w:val="left" w:pos="851"/>
        </w:tabs>
      </w:pPr>
      <w:r>
        <w:tab/>
        <w:t>[Heading inserted in Gazette 4 May 2004 p. 1383.]</w:t>
      </w:r>
    </w:p>
    <w:p>
      <w:pPr>
        <w:pStyle w:val="Heading5"/>
      </w:pPr>
      <w:bookmarkStart w:id="517" w:name="_Toc271209014"/>
      <w:bookmarkStart w:id="518" w:name="_Toc271209876"/>
      <w:bookmarkStart w:id="519" w:name="_Toc239150505"/>
      <w:bookmarkStart w:id="520" w:name="_Toc524422977"/>
      <w:r>
        <w:rPr>
          <w:rStyle w:val="CharSectno"/>
        </w:rPr>
        <w:t>81</w:t>
      </w:r>
      <w:r>
        <w:t>.</w:t>
      </w:r>
      <w:r>
        <w:tab/>
        <w:t>Purposes of reserves</w:t>
      </w:r>
      <w:bookmarkEnd w:id="517"/>
      <w:bookmarkEnd w:id="518"/>
      <w:bookmarkEnd w:id="519"/>
      <w:bookmarkEnd w:id="520"/>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241-2.]</w:t>
      </w:r>
    </w:p>
    <w:p>
      <w:pPr>
        <w:pStyle w:val="Heading2"/>
      </w:pPr>
      <w:bookmarkStart w:id="521" w:name="_Toc189456587"/>
      <w:bookmarkStart w:id="522" w:name="_Toc223500395"/>
      <w:bookmarkStart w:id="523" w:name="_Toc223500557"/>
      <w:bookmarkStart w:id="524" w:name="_Toc239150506"/>
      <w:bookmarkStart w:id="525" w:name="_Toc271207516"/>
      <w:bookmarkStart w:id="526" w:name="_Toc271207692"/>
      <w:bookmarkStart w:id="527" w:name="_Toc271209015"/>
      <w:bookmarkStart w:id="528" w:name="_Toc271209349"/>
      <w:bookmarkStart w:id="529" w:name="_Toc271209525"/>
      <w:bookmarkStart w:id="530" w:name="_Toc271209701"/>
      <w:bookmarkStart w:id="531" w:name="_Toc271209877"/>
      <w:bookmarkStart w:id="532" w:name="_Toc524422978"/>
      <w:r>
        <w:rPr>
          <w:rStyle w:val="CharPartNo"/>
        </w:rPr>
        <w:t>Part 7</w:t>
      </w:r>
      <w:r>
        <w:t xml:space="preserve"> — </w:t>
      </w:r>
      <w:r>
        <w:rPr>
          <w:rStyle w:val="CharPartText"/>
        </w:rPr>
        <w:t>Licences</w:t>
      </w:r>
      <w:bookmarkEnd w:id="521"/>
      <w:bookmarkEnd w:id="522"/>
      <w:bookmarkEnd w:id="523"/>
      <w:bookmarkEnd w:id="524"/>
      <w:bookmarkEnd w:id="525"/>
      <w:bookmarkEnd w:id="526"/>
      <w:bookmarkEnd w:id="527"/>
      <w:bookmarkEnd w:id="528"/>
      <w:bookmarkEnd w:id="529"/>
      <w:bookmarkEnd w:id="530"/>
      <w:bookmarkEnd w:id="531"/>
      <w:bookmarkEnd w:id="532"/>
    </w:p>
    <w:p>
      <w:pPr>
        <w:pStyle w:val="Heading3"/>
      </w:pPr>
      <w:bookmarkStart w:id="533" w:name="_Toc189456588"/>
      <w:bookmarkStart w:id="534" w:name="_Toc223500396"/>
      <w:bookmarkStart w:id="535" w:name="_Toc223500558"/>
      <w:bookmarkStart w:id="536" w:name="_Toc239150507"/>
      <w:bookmarkStart w:id="537" w:name="_Toc271207517"/>
      <w:bookmarkStart w:id="538" w:name="_Toc271207693"/>
      <w:bookmarkStart w:id="539" w:name="_Toc271209016"/>
      <w:bookmarkStart w:id="540" w:name="_Toc271209350"/>
      <w:bookmarkStart w:id="541" w:name="_Toc271209526"/>
      <w:bookmarkStart w:id="542" w:name="_Toc271209702"/>
      <w:bookmarkStart w:id="543" w:name="_Toc271209878"/>
      <w:bookmarkStart w:id="544" w:name="_Toc524422979"/>
      <w:r>
        <w:rPr>
          <w:rStyle w:val="CharDivNo"/>
        </w:rPr>
        <w:t>Division 1</w:t>
      </w:r>
      <w:r>
        <w:rPr>
          <w:snapToGrid w:val="0"/>
        </w:rPr>
        <w:t xml:space="preserve"> — </w:t>
      </w:r>
      <w:r>
        <w:rPr>
          <w:rStyle w:val="CharDivText"/>
        </w:rPr>
        <w:t>General</w:t>
      </w:r>
      <w:bookmarkEnd w:id="533"/>
      <w:bookmarkEnd w:id="534"/>
      <w:bookmarkEnd w:id="535"/>
      <w:bookmarkEnd w:id="536"/>
      <w:bookmarkEnd w:id="537"/>
      <w:bookmarkEnd w:id="538"/>
      <w:bookmarkEnd w:id="539"/>
      <w:bookmarkEnd w:id="540"/>
      <w:bookmarkEnd w:id="541"/>
      <w:bookmarkEnd w:id="542"/>
      <w:bookmarkEnd w:id="543"/>
      <w:bookmarkEnd w:id="544"/>
    </w:p>
    <w:p>
      <w:pPr>
        <w:pStyle w:val="Heading5"/>
        <w:rPr>
          <w:snapToGrid w:val="0"/>
        </w:rPr>
      </w:pPr>
      <w:bookmarkStart w:id="545" w:name="_Toc271209017"/>
      <w:bookmarkStart w:id="546" w:name="_Toc271209879"/>
      <w:bookmarkStart w:id="547" w:name="_Toc239150508"/>
      <w:bookmarkStart w:id="548" w:name="_Toc524422980"/>
      <w:r>
        <w:rPr>
          <w:rStyle w:val="CharSectno"/>
        </w:rPr>
        <w:t>82</w:t>
      </w:r>
      <w:r>
        <w:rPr>
          <w:snapToGrid w:val="0"/>
        </w:rPr>
        <w:t>.</w:t>
      </w:r>
      <w:r>
        <w:rPr>
          <w:snapToGrid w:val="0"/>
        </w:rPr>
        <w:tab/>
        <w:t>Interpretation</w:t>
      </w:r>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549" w:name="_Toc271209018"/>
      <w:bookmarkStart w:id="550" w:name="_Toc271209880"/>
      <w:bookmarkStart w:id="551" w:name="_Toc239150509"/>
      <w:bookmarkStart w:id="552" w:name="_Toc524422981"/>
      <w:r>
        <w:rPr>
          <w:rStyle w:val="CharSectno"/>
        </w:rPr>
        <w:t>83</w:t>
      </w:r>
      <w:r>
        <w:rPr>
          <w:snapToGrid w:val="0"/>
        </w:rPr>
        <w:t>.</w:t>
      </w:r>
      <w:r>
        <w:rPr>
          <w:snapToGrid w:val="0"/>
        </w:rPr>
        <w:tab/>
        <w:t>Application for licence</w:t>
      </w:r>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553" w:name="_Toc271209019"/>
      <w:bookmarkStart w:id="554" w:name="_Toc271209881"/>
      <w:bookmarkStart w:id="555" w:name="_Toc239150510"/>
      <w:bookmarkStart w:id="556" w:name="_Toc524422982"/>
      <w:r>
        <w:rPr>
          <w:rStyle w:val="CharSectno"/>
        </w:rPr>
        <w:t>84</w:t>
      </w:r>
      <w:r>
        <w:rPr>
          <w:snapToGrid w:val="0"/>
        </w:rPr>
        <w:t>.</w:t>
      </w:r>
      <w:r>
        <w:rPr>
          <w:snapToGrid w:val="0"/>
        </w:rPr>
        <w:tab/>
        <w:t>Restriction on exercise of powers</w:t>
      </w:r>
      <w:bookmarkEnd w:id="553"/>
      <w:bookmarkEnd w:id="554"/>
      <w:bookmarkEnd w:id="555"/>
      <w:bookmarkEnd w:id="556"/>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w:t>
      </w:r>
    </w:p>
    <w:p>
      <w:pPr>
        <w:pStyle w:val="Indenta"/>
      </w:pPr>
      <w:r>
        <w:tab/>
        <w:t>(b)</w:t>
      </w:r>
      <w:r>
        <w:tab/>
        <w:t>in the case of land vested in the Conservation Commission, after consultation with the Conservation Commission and, where applicable, an associated body;</w:t>
      </w:r>
    </w:p>
    <w:p>
      <w:pPr>
        <w:pStyle w:val="Indenta"/>
      </w:pPr>
      <w:r>
        <w:tab/>
        <w:t>(c)</w:t>
      </w:r>
      <w:r>
        <w:tab/>
        <w:t>in the case of land classified under Part V Division 2 of the Act as a forest conservation area, consistently with any management plan for the land concerned;</w:t>
      </w:r>
    </w:p>
    <w:p>
      <w:pPr>
        <w:pStyle w:val="Indenta"/>
      </w:pPr>
      <w:r>
        <w:tab/>
        <w:t>(d)</w:t>
      </w:r>
      <w:r>
        <w:tab/>
        <w:t>in the case of land vested in the Marine Authority, after consultation with the Marine Authority;</w:t>
      </w:r>
    </w:p>
    <w:p>
      <w:pPr>
        <w:pStyle w:val="Indenta"/>
      </w:pPr>
      <w:r>
        <w:tab/>
        <w:t>(e)</w:t>
      </w:r>
      <w:r>
        <w:tab/>
        <w:t xml:space="preserve">in the case of land that is in the management area of the Swan River Trust within the meaning of the </w:t>
      </w:r>
      <w:r>
        <w:rPr>
          <w:i/>
        </w:rPr>
        <w:t>Swan River Trust Act 1988</w:t>
      </w:r>
      <w:r>
        <w:t>, after consultation with the Swan River Trust;</w:t>
      </w:r>
    </w:p>
    <w:p>
      <w:pPr>
        <w:pStyle w:val="Indenta"/>
      </w:pPr>
      <w:r>
        <w:tab/>
        <w:t>(f)</w:t>
      </w:r>
      <w:r>
        <w:tab/>
        <w:t>in the case of land for the management of which an agreement is entered into under section 16 of the Act, consistently with the agreement;</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pPr>
      <w:r>
        <w:tab/>
        <w:t>[Regulation 84 amended in Gazette 29 Sep 2006 p. 4319 and 4334.]</w:t>
      </w:r>
    </w:p>
    <w:p>
      <w:pPr>
        <w:pStyle w:val="Heading5"/>
      </w:pPr>
      <w:bookmarkStart w:id="557" w:name="_Toc271209020"/>
      <w:bookmarkStart w:id="558" w:name="_Toc271209882"/>
      <w:bookmarkStart w:id="559" w:name="_Toc239150511"/>
      <w:bookmarkStart w:id="560" w:name="_Toc524422983"/>
      <w:r>
        <w:rPr>
          <w:rStyle w:val="CharSectno"/>
        </w:rPr>
        <w:t>85</w:t>
      </w:r>
      <w:r>
        <w:rPr>
          <w:snapToGrid w:val="0"/>
        </w:rPr>
        <w:t>.</w:t>
      </w:r>
      <w:r>
        <w:rPr>
          <w:snapToGrid w:val="0"/>
        </w:rPr>
        <w:tab/>
        <w:t>Refusal to renew licence</w:t>
      </w:r>
      <w:bookmarkEnd w:id="557"/>
      <w:bookmarkEnd w:id="558"/>
      <w:bookmarkEnd w:id="559"/>
      <w:bookmarkEnd w:id="560"/>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w:t>
      </w:r>
    </w:p>
    <w:p>
      <w:pPr>
        <w:pStyle w:val="Indenta"/>
      </w:pPr>
      <w:r>
        <w:tab/>
        <w:t>(b)</w:t>
      </w:r>
      <w:r>
        <w:tab/>
        <w:t>a condition imposed upon the licence has been contravened;</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561" w:name="_Toc271209021"/>
      <w:bookmarkStart w:id="562" w:name="_Toc271209883"/>
      <w:bookmarkStart w:id="563" w:name="_Toc239150512"/>
      <w:bookmarkStart w:id="564" w:name="_Toc524422984"/>
      <w:r>
        <w:rPr>
          <w:rStyle w:val="CharSectno"/>
        </w:rPr>
        <w:t>86</w:t>
      </w:r>
      <w:r>
        <w:rPr>
          <w:snapToGrid w:val="0"/>
        </w:rPr>
        <w:t>.</w:t>
      </w:r>
      <w:r>
        <w:rPr>
          <w:snapToGrid w:val="0"/>
        </w:rPr>
        <w:tab/>
        <w:t xml:space="preserve">Cancellation or suspension of licence by </w:t>
      </w:r>
      <w:r>
        <w:t>CEO</w:t>
      </w:r>
      <w:bookmarkEnd w:id="561"/>
      <w:bookmarkEnd w:id="562"/>
      <w:bookmarkEnd w:id="563"/>
      <w:bookmarkEnd w:id="56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565" w:name="_Toc271209022"/>
      <w:bookmarkStart w:id="566" w:name="_Toc271209884"/>
      <w:bookmarkStart w:id="567" w:name="_Toc239150513"/>
      <w:bookmarkStart w:id="568" w:name="_Toc524422985"/>
      <w:r>
        <w:rPr>
          <w:rStyle w:val="CharSectno"/>
        </w:rPr>
        <w:t>87</w:t>
      </w:r>
      <w:r>
        <w:rPr>
          <w:snapToGrid w:val="0"/>
        </w:rPr>
        <w:t>.</w:t>
      </w:r>
      <w:r>
        <w:rPr>
          <w:snapToGrid w:val="0"/>
        </w:rPr>
        <w:tab/>
        <w:t>Notice of proposed cancellation or suspension</w:t>
      </w:r>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in Gazette 29 Sep 2006 p. 4319 and 4334.]</w:t>
      </w:r>
    </w:p>
    <w:p>
      <w:pPr>
        <w:pStyle w:val="Heading5"/>
        <w:spacing w:before="240"/>
        <w:rPr>
          <w:snapToGrid w:val="0"/>
        </w:rPr>
      </w:pPr>
      <w:bookmarkStart w:id="569" w:name="_Toc271209023"/>
      <w:bookmarkStart w:id="570" w:name="_Toc271209885"/>
      <w:bookmarkStart w:id="571" w:name="_Toc239150514"/>
      <w:bookmarkStart w:id="572" w:name="_Toc524422986"/>
      <w:r>
        <w:rPr>
          <w:rStyle w:val="CharSectno"/>
        </w:rPr>
        <w:t>88</w:t>
      </w:r>
      <w:r>
        <w:rPr>
          <w:snapToGrid w:val="0"/>
        </w:rPr>
        <w:t>.</w:t>
      </w:r>
      <w:r>
        <w:rPr>
          <w:snapToGrid w:val="0"/>
        </w:rPr>
        <w:tab/>
        <w:t>Return of licence</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 $500.</w:t>
      </w:r>
    </w:p>
    <w:p>
      <w:pPr>
        <w:pStyle w:val="Footnotesection"/>
      </w:pPr>
      <w:r>
        <w:tab/>
        <w:t>[Regulation 88 amended in Gazette 29 Sep 2006 p. 4334.]</w:t>
      </w:r>
    </w:p>
    <w:p>
      <w:pPr>
        <w:pStyle w:val="Heading3"/>
      </w:pPr>
      <w:bookmarkStart w:id="573" w:name="_Toc189456596"/>
      <w:bookmarkStart w:id="574" w:name="_Toc223500404"/>
      <w:bookmarkStart w:id="575" w:name="_Toc223500566"/>
      <w:bookmarkStart w:id="576" w:name="_Toc239150515"/>
      <w:bookmarkStart w:id="577" w:name="_Toc271207525"/>
      <w:bookmarkStart w:id="578" w:name="_Toc271207701"/>
      <w:bookmarkStart w:id="579" w:name="_Toc271209024"/>
      <w:bookmarkStart w:id="580" w:name="_Toc271209358"/>
      <w:bookmarkStart w:id="581" w:name="_Toc271209534"/>
      <w:bookmarkStart w:id="582" w:name="_Toc271209710"/>
      <w:bookmarkStart w:id="583" w:name="_Toc271209886"/>
      <w:bookmarkStart w:id="584" w:name="_Toc524422987"/>
      <w:r>
        <w:rPr>
          <w:rStyle w:val="CharDivNo"/>
        </w:rPr>
        <w:t>Division 2</w:t>
      </w:r>
      <w:r>
        <w:rPr>
          <w:snapToGrid w:val="0"/>
        </w:rPr>
        <w:t xml:space="preserve"> — </w:t>
      </w:r>
      <w:r>
        <w:rPr>
          <w:rStyle w:val="CharDivText"/>
        </w:rPr>
        <w:t>Scientific purposes licences</w:t>
      </w:r>
      <w:bookmarkEnd w:id="573"/>
      <w:bookmarkEnd w:id="574"/>
      <w:bookmarkEnd w:id="575"/>
      <w:bookmarkEnd w:id="576"/>
      <w:bookmarkEnd w:id="577"/>
      <w:bookmarkEnd w:id="578"/>
      <w:bookmarkEnd w:id="579"/>
      <w:bookmarkEnd w:id="580"/>
      <w:bookmarkEnd w:id="581"/>
      <w:bookmarkEnd w:id="582"/>
      <w:bookmarkEnd w:id="583"/>
      <w:bookmarkEnd w:id="584"/>
      <w:r>
        <w:rPr>
          <w:rStyle w:val="CharDivText"/>
        </w:rPr>
        <w:t xml:space="preserve"> </w:t>
      </w:r>
    </w:p>
    <w:p>
      <w:pPr>
        <w:pStyle w:val="Heading5"/>
        <w:spacing w:before="240"/>
        <w:rPr>
          <w:snapToGrid w:val="0"/>
        </w:rPr>
      </w:pPr>
      <w:bookmarkStart w:id="585" w:name="_Toc271209025"/>
      <w:bookmarkStart w:id="586" w:name="_Toc271209887"/>
      <w:bookmarkStart w:id="587" w:name="_Toc239150516"/>
      <w:bookmarkStart w:id="588" w:name="_Toc524422988"/>
      <w:r>
        <w:rPr>
          <w:rStyle w:val="CharSectno"/>
        </w:rPr>
        <w:t>89</w:t>
      </w:r>
      <w:r>
        <w:rPr>
          <w:snapToGrid w:val="0"/>
        </w:rPr>
        <w:t>.</w:t>
      </w:r>
      <w:r>
        <w:rPr>
          <w:snapToGrid w:val="0"/>
        </w:rPr>
        <w:tab/>
        <w:t>Scientific purposes licence</w:t>
      </w:r>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in Gazette 29 Sep 2006 p. 4334.]</w:t>
      </w:r>
    </w:p>
    <w:p>
      <w:pPr>
        <w:pStyle w:val="Heading5"/>
        <w:spacing w:before="240"/>
        <w:rPr>
          <w:snapToGrid w:val="0"/>
        </w:rPr>
      </w:pPr>
      <w:bookmarkStart w:id="589" w:name="_Toc271209026"/>
      <w:bookmarkStart w:id="590" w:name="_Toc271209888"/>
      <w:bookmarkStart w:id="591" w:name="_Toc239150517"/>
      <w:bookmarkStart w:id="592" w:name="_Toc524422989"/>
      <w:r>
        <w:rPr>
          <w:rStyle w:val="CharSectno"/>
        </w:rPr>
        <w:t>90</w:t>
      </w:r>
      <w:r>
        <w:rPr>
          <w:snapToGrid w:val="0"/>
        </w:rPr>
        <w:t>.</w:t>
      </w:r>
      <w:r>
        <w:rPr>
          <w:snapToGrid w:val="0"/>
        </w:rPr>
        <w:tab/>
        <w:t>Application for scientific purposes licence</w:t>
      </w:r>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593" w:name="_Toc271209027"/>
      <w:bookmarkStart w:id="594" w:name="_Toc271209889"/>
      <w:bookmarkStart w:id="595" w:name="_Toc239150518"/>
      <w:bookmarkStart w:id="596" w:name="_Toc524422990"/>
      <w:r>
        <w:rPr>
          <w:rStyle w:val="CharSectno"/>
        </w:rPr>
        <w:t>91</w:t>
      </w:r>
      <w:r>
        <w:rPr>
          <w:snapToGrid w:val="0"/>
        </w:rPr>
        <w:t>.</w:t>
      </w:r>
      <w:r>
        <w:rPr>
          <w:snapToGrid w:val="0"/>
        </w:rPr>
        <w:tab/>
        <w:t>Duration of scientific purposes licence</w:t>
      </w:r>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597" w:name="_Toc271209028"/>
      <w:bookmarkStart w:id="598" w:name="_Toc271209890"/>
      <w:bookmarkStart w:id="599" w:name="_Toc239150519"/>
      <w:bookmarkStart w:id="600" w:name="_Toc524422991"/>
      <w:r>
        <w:rPr>
          <w:rStyle w:val="CharSectno"/>
        </w:rPr>
        <w:t>92</w:t>
      </w:r>
      <w:r>
        <w:rPr>
          <w:snapToGrid w:val="0"/>
        </w:rPr>
        <w:t>.</w:t>
      </w:r>
      <w:r>
        <w:rPr>
          <w:snapToGrid w:val="0"/>
        </w:rPr>
        <w:tab/>
        <w:t>Renewal of scientific purposes licence</w:t>
      </w:r>
      <w:bookmarkEnd w:id="597"/>
      <w:bookmarkEnd w:id="598"/>
      <w:bookmarkEnd w:id="599"/>
      <w:bookmarkEnd w:id="600"/>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601" w:name="_Toc271209029"/>
      <w:bookmarkStart w:id="602" w:name="_Toc271209891"/>
      <w:bookmarkStart w:id="603" w:name="_Toc239150520"/>
      <w:bookmarkStart w:id="604" w:name="_Toc524422992"/>
      <w:r>
        <w:rPr>
          <w:rStyle w:val="CharSectno"/>
        </w:rPr>
        <w:t>93</w:t>
      </w:r>
      <w:r>
        <w:rPr>
          <w:snapToGrid w:val="0"/>
        </w:rPr>
        <w:t>.</w:t>
      </w:r>
      <w:r>
        <w:rPr>
          <w:snapToGrid w:val="0"/>
        </w:rPr>
        <w:tab/>
        <w:t>Conditions and restrictions</w:t>
      </w:r>
      <w:bookmarkEnd w:id="601"/>
      <w:bookmarkEnd w:id="602"/>
      <w:bookmarkEnd w:id="603"/>
      <w:bookmarkEnd w:id="604"/>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w:t>
      </w:r>
    </w:p>
    <w:p>
      <w:pPr>
        <w:pStyle w:val="Indenta"/>
        <w:rPr>
          <w:snapToGrid w:val="0"/>
        </w:rPr>
      </w:pPr>
      <w:r>
        <w:rPr>
          <w:snapToGrid w:val="0"/>
        </w:rPr>
        <w:tab/>
        <w:t>(b)</w:t>
      </w:r>
      <w:r>
        <w:rPr>
          <w:snapToGrid w:val="0"/>
        </w:rPr>
        <w:tab/>
        <w:t>the scientific purposes for which the flora and fauna may be used;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Penalty: $500.</w:t>
      </w:r>
    </w:p>
    <w:p>
      <w:pPr>
        <w:pStyle w:val="Footnotesection"/>
      </w:pPr>
      <w:r>
        <w:tab/>
        <w:t>[Regulation 93 amended in Gazette 4 Oct 2002 p. 5065; 29 Sep 2006 p. 4334.]</w:t>
      </w:r>
    </w:p>
    <w:p>
      <w:pPr>
        <w:pStyle w:val="Heading3"/>
      </w:pPr>
      <w:bookmarkStart w:id="605" w:name="_Toc189456602"/>
      <w:bookmarkStart w:id="606" w:name="_Toc223500410"/>
      <w:bookmarkStart w:id="607" w:name="_Toc223500572"/>
      <w:bookmarkStart w:id="608" w:name="_Toc239150521"/>
      <w:bookmarkStart w:id="609" w:name="_Toc271207531"/>
      <w:bookmarkStart w:id="610" w:name="_Toc271207707"/>
      <w:bookmarkStart w:id="611" w:name="_Toc271209030"/>
      <w:bookmarkStart w:id="612" w:name="_Toc271209364"/>
      <w:bookmarkStart w:id="613" w:name="_Toc271209540"/>
      <w:bookmarkStart w:id="614" w:name="_Toc271209716"/>
      <w:bookmarkStart w:id="615" w:name="_Toc271209892"/>
      <w:bookmarkStart w:id="616" w:name="_Toc524422993"/>
      <w:r>
        <w:rPr>
          <w:rStyle w:val="CharDivNo"/>
        </w:rPr>
        <w:t>Division 3</w:t>
      </w:r>
      <w:r>
        <w:rPr>
          <w:snapToGrid w:val="0"/>
        </w:rPr>
        <w:t xml:space="preserve"> — </w:t>
      </w:r>
      <w:r>
        <w:rPr>
          <w:rStyle w:val="CharDivText"/>
        </w:rPr>
        <w:t>Commercial operations licences</w:t>
      </w:r>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Heading5"/>
        <w:rPr>
          <w:snapToGrid w:val="0"/>
        </w:rPr>
      </w:pPr>
      <w:bookmarkStart w:id="617" w:name="_Toc271209031"/>
      <w:bookmarkStart w:id="618" w:name="_Toc271209893"/>
      <w:bookmarkStart w:id="619" w:name="_Toc239150522"/>
      <w:bookmarkStart w:id="620" w:name="_Toc524422994"/>
      <w:r>
        <w:rPr>
          <w:rStyle w:val="CharSectno"/>
        </w:rPr>
        <w:t>94</w:t>
      </w:r>
      <w:r>
        <w:rPr>
          <w:snapToGrid w:val="0"/>
        </w:rPr>
        <w:t>.</w:t>
      </w:r>
      <w:r>
        <w:rPr>
          <w:snapToGrid w:val="0"/>
        </w:rPr>
        <w:tab/>
        <w:t>Commercial operations licence</w:t>
      </w:r>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621" w:name="_Toc271209032"/>
      <w:bookmarkStart w:id="622" w:name="_Toc271209894"/>
      <w:bookmarkStart w:id="623" w:name="_Toc239150523"/>
      <w:bookmarkStart w:id="624" w:name="_Toc524422995"/>
      <w:r>
        <w:rPr>
          <w:rStyle w:val="CharSectno"/>
        </w:rPr>
        <w:t>95</w:t>
      </w:r>
      <w:r>
        <w:rPr>
          <w:snapToGrid w:val="0"/>
        </w:rPr>
        <w:t>.</w:t>
      </w:r>
      <w:r>
        <w:rPr>
          <w:snapToGrid w:val="0"/>
        </w:rPr>
        <w:tab/>
        <w:t>Application for commercial operations licence</w:t>
      </w:r>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keepNext/>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625" w:name="_Toc271209033"/>
      <w:bookmarkStart w:id="626" w:name="_Toc271209895"/>
      <w:bookmarkStart w:id="627" w:name="_Toc239150524"/>
      <w:bookmarkStart w:id="628" w:name="_Toc524422996"/>
      <w:r>
        <w:rPr>
          <w:rStyle w:val="CharSectno"/>
        </w:rPr>
        <w:t>96</w:t>
      </w:r>
      <w:r>
        <w:rPr>
          <w:snapToGrid w:val="0"/>
        </w:rPr>
        <w:t>.</w:t>
      </w:r>
      <w:r>
        <w:rPr>
          <w:snapToGrid w:val="0"/>
        </w:rPr>
        <w:tab/>
        <w:t>Duration of commercial operations licence</w:t>
      </w:r>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5 years, as is specified in the licence.</w:t>
      </w:r>
    </w:p>
    <w:p>
      <w:pPr>
        <w:pStyle w:val="Heading5"/>
        <w:rPr>
          <w:snapToGrid w:val="0"/>
        </w:rPr>
      </w:pPr>
      <w:bookmarkStart w:id="629" w:name="_Toc271209034"/>
      <w:bookmarkStart w:id="630" w:name="_Toc271209896"/>
      <w:bookmarkStart w:id="631" w:name="_Toc239150525"/>
      <w:bookmarkStart w:id="632" w:name="_Toc524422997"/>
      <w:r>
        <w:rPr>
          <w:rStyle w:val="CharSectno"/>
        </w:rPr>
        <w:t>97</w:t>
      </w:r>
      <w:r>
        <w:rPr>
          <w:snapToGrid w:val="0"/>
        </w:rPr>
        <w:t>.</w:t>
      </w:r>
      <w:r>
        <w:rPr>
          <w:snapToGrid w:val="0"/>
        </w:rPr>
        <w:tab/>
        <w:t>Renewal of commercial operations licence</w:t>
      </w:r>
      <w:bookmarkEnd w:id="629"/>
      <w:bookmarkEnd w:id="630"/>
      <w:bookmarkEnd w:id="631"/>
      <w:bookmarkEnd w:id="632"/>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633" w:name="_Toc271209035"/>
      <w:bookmarkStart w:id="634" w:name="_Toc271209897"/>
      <w:bookmarkStart w:id="635" w:name="_Toc239150526"/>
      <w:bookmarkStart w:id="636" w:name="_Toc524422998"/>
      <w:r>
        <w:rPr>
          <w:rStyle w:val="CharSectno"/>
        </w:rPr>
        <w:t>98</w:t>
      </w:r>
      <w:r>
        <w:rPr>
          <w:snapToGrid w:val="0"/>
        </w:rPr>
        <w:t>.</w:t>
      </w:r>
      <w:r>
        <w:rPr>
          <w:snapToGrid w:val="0"/>
        </w:rPr>
        <w:tab/>
        <w:t>Conditions</w:t>
      </w:r>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w:t>
      </w:r>
    </w:p>
    <w:p>
      <w:pPr>
        <w:pStyle w:val="Indenta"/>
        <w:rPr>
          <w:snapToGrid w:val="0"/>
        </w:rPr>
      </w:pPr>
      <w:r>
        <w:rPr>
          <w:snapToGrid w:val="0"/>
        </w:rPr>
        <w:tab/>
        <w:t>(b)</w:t>
      </w:r>
      <w:r>
        <w:rPr>
          <w:snapToGrid w:val="0"/>
        </w:rPr>
        <w:tab/>
        <w:t>the class or description of goods, services or activity to which the licence applies;</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Penalty: $1 000.</w:t>
      </w:r>
    </w:p>
    <w:p>
      <w:pPr>
        <w:pStyle w:val="Footnotesection"/>
      </w:pPr>
      <w:r>
        <w:tab/>
        <w:t>[Regulation 98 amended in Gazette 29 Sep 2006 p. 4334.]</w:t>
      </w:r>
    </w:p>
    <w:p>
      <w:pPr>
        <w:pStyle w:val="Heading2"/>
        <w:rPr>
          <w:ins w:id="637" w:author="Master Repository Process" w:date="2021-07-31T18:45:00Z"/>
          <w:rStyle w:val="CharPartText"/>
        </w:rPr>
      </w:pPr>
      <w:del w:id="638" w:author="Master Repository Process" w:date="2021-07-31T18:45:00Z">
        <w:r>
          <w:delText>[</w:delText>
        </w:r>
      </w:del>
      <w:bookmarkStart w:id="639" w:name="_Toc271207537"/>
      <w:bookmarkStart w:id="640" w:name="_Toc271207713"/>
      <w:bookmarkStart w:id="641" w:name="_Toc271209036"/>
      <w:bookmarkStart w:id="642" w:name="_Toc271209370"/>
      <w:bookmarkStart w:id="643" w:name="_Toc271209546"/>
      <w:bookmarkStart w:id="644" w:name="_Toc271209722"/>
      <w:bookmarkStart w:id="645" w:name="_Toc271209898"/>
      <w:bookmarkStart w:id="646" w:name="_Toc189456613"/>
      <w:bookmarkStart w:id="647" w:name="_Toc223500416"/>
      <w:bookmarkStart w:id="648" w:name="_Toc223500578"/>
      <w:bookmarkStart w:id="649" w:name="_Toc239150527"/>
      <w:r>
        <w:rPr>
          <w:rStyle w:val="CharPartNo"/>
        </w:rPr>
        <w:t>Part</w:t>
      </w:r>
      <w:del w:id="650" w:author="Master Repository Process" w:date="2021-07-31T18:45:00Z">
        <w:r>
          <w:delText xml:space="preserve"> 7A (r. 98A-98D) deleted</w:delText>
        </w:r>
      </w:del>
      <w:ins w:id="651" w:author="Master Repository Process" w:date="2021-07-31T18:45:00Z">
        <w:r>
          <w:rPr>
            <w:rStyle w:val="CharPartNo"/>
          </w:rPr>
          <w:t> 8A</w:t>
        </w:r>
        <w:r>
          <w:rPr>
            <w:rStyle w:val="CharDivNo"/>
          </w:rPr>
          <w:t> </w:t>
        </w:r>
        <w:r>
          <w:t>—</w:t>
        </w:r>
        <w:r>
          <w:rPr>
            <w:rStyle w:val="CharDivText"/>
          </w:rPr>
          <w:t> </w:t>
        </w:r>
        <w:r>
          <w:rPr>
            <w:rStyle w:val="CharPartText"/>
          </w:rPr>
          <w:t>Apiary permits and licences</w:t>
        </w:r>
        <w:bookmarkEnd w:id="639"/>
        <w:bookmarkEnd w:id="640"/>
        <w:bookmarkEnd w:id="641"/>
        <w:bookmarkEnd w:id="642"/>
        <w:bookmarkEnd w:id="643"/>
        <w:bookmarkEnd w:id="644"/>
        <w:bookmarkEnd w:id="645"/>
      </w:ins>
    </w:p>
    <w:p>
      <w:pPr>
        <w:pStyle w:val="yFootnoteheading"/>
        <w:rPr>
          <w:ins w:id="652" w:author="Master Repository Process" w:date="2021-07-31T18:45:00Z"/>
        </w:rPr>
      </w:pPr>
      <w:ins w:id="653" w:author="Master Repository Process" w:date="2021-07-31T18:45:00Z">
        <w:r>
          <w:tab/>
          <w:t>[Heading inserted</w:t>
        </w:r>
      </w:ins>
      <w:r>
        <w:t xml:space="preserve"> in Gazette </w:t>
      </w:r>
      <w:del w:id="654" w:author="Master Repository Process" w:date="2021-07-31T18:45:00Z">
        <w:r>
          <w:delText>27 Feb</w:delText>
        </w:r>
      </w:del>
      <w:ins w:id="655" w:author="Master Repository Process" w:date="2021-07-31T18:45:00Z">
        <w:r>
          <w:t>3 Sep 2010 p. 4278.]</w:t>
        </w:r>
      </w:ins>
    </w:p>
    <w:p>
      <w:pPr>
        <w:pStyle w:val="Heading5"/>
        <w:rPr>
          <w:ins w:id="656" w:author="Master Repository Process" w:date="2021-07-31T18:45:00Z"/>
        </w:rPr>
      </w:pPr>
      <w:bookmarkStart w:id="657" w:name="_Toc271209037"/>
      <w:bookmarkStart w:id="658" w:name="_Toc271209899"/>
      <w:ins w:id="659" w:author="Master Repository Process" w:date="2021-07-31T18:45:00Z">
        <w:r>
          <w:rPr>
            <w:rStyle w:val="CharSectno"/>
          </w:rPr>
          <w:t>98A</w:t>
        </w:r>
        <w:r>
          <w:t>.</w:t>
        </w:r>
        <w:r>
          <w:tab/>
          <w:t>Terms used</w:t>
        </w:r>
        <w:bookmarkEnd w:id="657"/>
        <w:bookmarkEnd w:id="658"/>
      </w:ins>
    </w:p>
    <w:p>
      <w:pPr>
        <w:pStyle w:val="Subsection"/>
        <w:rPr>
          <w:ins w:id="660" w:author="Master Repository Process" w:date="2021-07-31T18:45:00Z"/>
        </w:rPr>
      </w:pPr>
      <w:ins w:id="661" w:author="Master Repository Process" w:date="2021-07-31T18:45:00Z">
        <w:r>
          <w:tab/>
        </w:r>
        <w:r>
          <w:tab/>
          <w:t xml:space="preserve">In this Part — </w:t>
        </w:r>
      </w:ins>
    </w:p>
    <w:p>
      <w:pPr>
        <w:pStyle w:val="Defstart"/>
        <w:rPr>
          <w:ins w:id="662" w:author="Master Repository Process" w:date="2021-07-31T18:45:00Z"/>
        </w:rPr>
      </w:pPr>
      <w:ins w:id="663" w:author="Master Repository Process" w:date="2021-07-31T18:45:00Z">
        <w:r>
          <w:rPr>
            <w:b/>
          </w:rPr>
          <w:tab/>
        </w:r>
        <w:r>
          <w:rPr>
            <w:rStyle w:val="CharDefText"/>
          </w:rPr>
          <w:t>apiary authority</w:t>
        </w:r>
        <w:r>
          <w:t xml:space="preserve"> means an apiary licence or apiary permit;</w:t>
        </w:r>
      </w:ins>
    </w:p>
    <w:p>
      <w:pPr>
        <w:pStyle w:val="Defstart"/>
        <w:rPr>
          <w:ins w:id="664" w:author="Master Repository Process" w:date="2021-07-31T18:45:00Z"/>
        </w:rPr>
      </w:pPr>
      <w:ins w:id="665" w:author="Master Repository Process" w:date="2021-07-31T18:45:00Z">
        <w:r>
          <w:rPr>
            <w:b/>
          </w:rPr>
          <w:tab/>
        </w:r>
        <w:r>
          <w:rPr>
            <w:rStyle w:val="CharDefText"/>
          </w:rPr>
          <w:t>apiary licence</w:t>
        </w:r>
        <w:r>
          <w:t xml:space="preserve"> means a licence granted under Part VIII Division 2 of the Act to — </w:t>
        </w:r>
      </w:ins>
    </w:p>
    <w:p>
      <w:pPr>
        <w:pStyle w:val="Defpara"/>
        <w:rPr>
          <w:ins w:id="666" w:author="Master Repository Process" w:date="2021-07-31T18:45:00Z"/>
        </w:rPr>
      </w:pPr>
      <w:ins w:id="667" w:author="Master Repository Process" w:date="2021-07-31T18:45:00Z">
        <w:r>
          <w:tab/>
          <w:t>(a)</w:t>
        </w:r>
        <w:r>
          <w:tab/>
          <w:t>enter and use the land specified in the licence for the purpose of operating an apiary; and</w:t>
        </w:r>
      </w:ins>
    </w:p>
    <w:p>
      <w:pPr>
        <w:pStyle w:val="Defpara"/>
        <w:rPr>
          <w:ins w:id="668" w:author="Master Repository Process" w:date="2021-07-31T18:45:00Z"/>
        </w:rPr>
      </w:pPr>
      <w:ins w:id="669" w:author="Master Repository Process" w:date="2021-07-31T18:45:00Z">
        <w:r>
          <w:tab/>
          <w:t>(b)</w:t>
        </w:r>
        <w:r>
          <w:tab/>
          <w:t>remove honey, bees</w:t>
        </w:r>
        <w:r>
          <w:noBreakHyphen/>
          <w:t>wax and pollen from that land;</w:t>
        </w:r>
      </w:ins>
    </w:p>
    <w:p>
      <w:pPr>
        <w:pStyle w:val="Defstart"/>
        <w:rPr>
          <w:ins w:id="670" w:author="Master Repository Process" w:date="2021-07-31T18:45:00Z"/>
        </w:rPr>
      </w:pPr>
      <w:ins w:id="671" w:author="Master Repository Process" w:date="2021-07-31T18:45:00Z">
        <w:r>
          <w:rPr>
            <w:b/>
          </w:rPr>
          <w:tab/>
        </w:r>
        <w:r>
          <w:rPr>
            <w:rStyle w:val="CharDefText"/>
          </w:rPr>
          <w:t>apiary permit</w:t>
        </w:r>
        <w:r>
          <w:t xml:space="preserve"> means a permit granted under Part VIII Division 1 of the Act to — </w:t>
        </w:r>
      </w:ins>
    </w:p>
    <w:p>
      <w:pPr>
        <w:pStyle w:val="Defpara"/>
        <w:rPr>
          <w:ins w:id="672" w:author="Master Repository Process" w:date="2021-07-31T18:45:00Z"/>
        </w:rPr>
      </w:pPr>
      <w:ins w:id="673" w:author="Master Repository Process" w:date="2021-07-31T18:45:00Z">
        <w:r>
          <w:tab/>
          <w:t>(a)</w:t>
        </w:r>
        <w:r>
          <w:tab/>
          <w:t>occupy the land specified in the permit for the purpose of operating an apiary; and</w:t>
        </w:r>
      </w:ins>
    </w:p>
    <w:p>
      <w:pPr>
        <w:pStyle w:val="Defpara"/>
        <w:rPr>
          <w:ins w:id="674" w:author="Master Repository Process" w:date="2021-07-31T18:45:00Z"/>
        </w:rPr>
      </w:pPr>
      <w:ins w:id="675" w:author="Master Repository Process" w:date="2021-07-31T18:45:00Z">
        <w:r>
          <w:tab/>
          <w:t>(b)</w:t>
        </w:r>
        <w:r>
          <w:tab/>
          <w:t>remove honey, bees</w:t>
        </w:r>
        <w:r>
          <w:noBreakHyphen/>
          <w:t>wax and pollen from that land;</w:t>
        </w:r>
      </w:ins>
    </w:p>
    <w:p>
      <w:pPr>
        <w:pStyle w:val="Defstart"/>
        <w:rPr>
          <w:ins w:id="676" w:author="Master Repository Process" w:date="2021-07-31T18:45:00Z"/>
        </w:rPr>
      </w:pPr>
      <w:ins w:id="677" w:author="Master Repository Process" w:date="2021-07-31T18:45:00Z">
        <w:r>
          <w:rPr>
            <w:b/>
          </w:rPr>
          <w:tab/>
        </w:r>
        <w:r>
          <w:rPr>
            <w:rStyle w:val="CharDefText"/>
          </w:rPr>
          <w:t>apiary site</w:t>
        </w:r>
        <w:r>
          <w:t xml:space="preserve"> means the land specified in an apiary authority as the land to which the authority relates;</w:t>
        </w:r>
      </w:ins>
    </w:p>
    <w:p>
      <w:pPr>
        <w:pStyle w:val="Defstart"/>
        <w:rPr>
          <w:ins w:id="678" w:author="Master Repository Process" w:date="2021-07-31T18:45:00Z"/>
        </w:rPr>
      </w:pPr>
      <w:ins w:id="679" w:author="Master Repository Process" w:date="2021-07-31T18:45:00Z">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 plan entitled “South</w:t>
        </w:r>
        <w:r>
          <w:noBreakHyphen/>
          <w:t>west zone — Apiary Permits and Licenses” dated August</w:t>
        </w:r>
      </w:ins>
      <w:r>
        <w:t> 2009</w:t>
      </w:r>
      <w:del w:id="680" w:author="Master Repository Process" w:date="2021-07-31T18:45:00Z">
        <w:r>
          <w:delText xml:space="preserve"> p. 530</w:delText>
        </w:r>
      </w:del>
      <w:ins w:id="681" w:author="Master Repository Process" w:date="2021-07-31T18:45:00Z">
        <w:r>
          <w:t>.</w:t>
        </w:r>
      </w:ins>
    </w:p>
    <w:p>
      <w:pPr>
        <w:pStyle w:val="Footnotesection"/>
        <w:rPr>
          <w:ins w:id="682" w:author="Master Repository Process" w:date="2021-07-31T18:45:00Z"/>
        </w:rPr>
      </w:pPr>
      <w:ins w:id="683" w:author="Master Repository Process" w:date="2021-07-31T18:45:00Z">
        <w:r>
          <w:tab/>
          <w:t>[Regulation 98A inserted in Gazette 3 Sep 2010 p. 4278</w:t>
        </w:r>
        <w:r>
          <w:noBreakHyphen/>
          <w:t>9.]</w:t>
        </w:r>
      </w:ins>
    </w:p>
    <w:p>
      <w:pPr>
        <w:pStyle w:val="Heading5"/>
        <w:rPr>
          <w:ins w:id="684" w:author="Master Repository Process" w:date="2021-07-31T18:45:00Z"/>
        </w:rPr>
      </w:pPr>
      <w:bookmarkStart w:id="685" w:name="_Toc271209038"/>
      <w:bookmarkStart w:id="686" w:name="_Toc271209900"/>
      <w:ins w:id="687" w:author="Master Repository Process" w:date="2021-07-31T18:45:00Z">
        <w:r>
          <w:rPr>
            <w:rStyle w:val="CharSectno"/>
          </w:rPr>
          <w:t>98B</w:t>
        </w:r>
        <w:r>
          <w:t>.</w:t>
        </w:r>
        <w:r>
          <w:tab/>
          <w:t>Application of Part 8A</w:t>
        </w:r>
        <w:bookmarkEnd w:id="685"/>
        <w:bookmarkEnd w:id="686"/>
      </w:ins>
    </w:p>
    <w:p>
      <w:pPr>
        <w:pStyle w:val="Subsection"/>
        <w:rPr>
          <w:ins w:id="688" w:author="Master Repository Process" w:date="2021-07-31T18:45:00Z"/>
        </w:rPr>
      </w:pPr>
      <w:ins w:id="689" w:author="Master Repository Process" w:date="2021-07-31T18:45:00Z">
        <w:r>
          <w:tab/>
        </w:r>
        <w:r>
          <w:tab/>
          <w:t>This Part applies to all land in respect of which an apiary licence or apiary permit may be granted.</w:t>
        </w:r>
      </w:ins>
    </w:p>
    <w:p>
      <w:pPr>
        <w:pStyle w:val="Footnotesection"/>
        <w:rPr>
          <w:ins w:id="690" w:author="Master Repository Process" w:date="2021-07-31T18:45:00Z"/>
        </w:rPr>
      </w:pPr>
      <w:ins w:id="691" w:author="Master Repository Process" w:date="2021-07-31T18:45:00Z">
        <w:r>
          <w:tab/>
          <w:t>[Regulation 98B inserted in Gazette 3 Sep 2010 p. 4279.]</w:t>
        </w:r>
      </w:ins>
    </w:p>
    <w:p>
      <w:pPr>
        <w:pStyle w:val="Heading5"/>
        <w:rPr>
          <w:ins w:id="692" w:author="Master Repository Process" w:date="2021-07-31T18:45:00Z"/>
        </w:rPr>
      </w:pPr>
      <w:bookmarkStart w:id="693" w:name="_Toc271209039"/>
      <w:bookmarkStart w:id="694" w:name="_Toc271209901"/>
      <w:ins w:id="695" w:author="Master Repository Process" w:date="2021-07-31T18:45:00Z">
        <w:r>
          <w:rPr>
            <w:rStyle w:val="CharSectno"/>
          </w:rPr>
          <w:t>98C</w:t>
        </w:r>
        <w:r>
          <w:t>.</w:t>
        </w:r>
        <w:r>
          <w:tab/>
          <w:t>Applications</w:t>
        </w:r>
        <w:bookmarkEnd w:id="693"/>
        <w:bookmarkEnd w:id="694"/>
      </w:ins>
    </w:p>
    <w:p>
      <w:pPr>
        <w:pStyle w:val="Subsection"/>
        <w:rPr>
          <w:ins w:id="696" w:author="Master Repository Process" w:date="2021-07-31T18:45:00Z"/>
        </w:rPr>
      </w:pPr>
      <w:ins w:id="697" w:author="Master Repository Process" w:date="2021-07-31T18:45:00Z">
        <w:r>
          <w:tab/>
          <w:t>(1)</w:t>
        </w:r>
        <w:r>
          <w:tab/>
          <w:t xml:space="preserve">An application — </w:t>
        </w:r>
      </w:ins>
    </w:p>
    <w:p>
      <w:pPr>
        <w:pStyle w:val="Indenta"/>
        <w:rPr>
          <w:ins w:id="698" w:author="Master Repository Process" w:date="2021-07-31T18:45:00Z"/>
        </w:rPr>
      </w:pPr>
      <w:ins w:id="699" w:author="Master Repository Process" w:date="2021-07-31T18:45:00Z">
        <w:r>
          <w:tab/>
          <w:t>(a)</w:t>
        </w:r>
        <w:r>
          <w:tab/>
          <w:t>for the grant, renewal or transfer of an apiary authority; or</w:t>
        </w:r>
      </w:ins>
    </w:p>
    <w:p>
      <w:pPr>
        <w:pStyle w:val="Indenta"/>
        <w:rPr>
          <w:ins w:id="700" w:author="Master Repository Process" w:date="2021-07-31T18:45:00Z"/>
        </w:rPr>
      </w:pPr>
      <w:ins w:id="701" w:author="Master Repository Process" w:date="2021-07-31T18:45:00Z">
        <w:r>
          <w:tab/>
          <w:t>(b)</w:t>
        </w:r>
        <w:r>
          <w:tab/>
          <w:t>for the variation of an apiary licence to change the site to which it relates; or</w:t>
        </w:r>
      </w:ins>
    </w:p>
    <w:p>
      <w:pPr>
        <w:pStyle w:val="Indenta"/>
        <w:rPr>
          <w:ins w:id="702" w:author="Master Repository Process" w:date="2021-07-31T18:45:00Z"/>
        </w:rPr>
      </w:pPr>
      <w:ins w:id="703" w:author="Master Repository Process" w:date="2021-07-31T18:45:00Z">
        <w:r>
          <w:tab/>
          <w:t>(c)</w:t>
        </w:r>
        <w:r>
          <w:tab/>
          <w:t>otherwise relating to an apiary authority,</w:t>
        </w:r>
      </w:ins>
    </w:p>
    <w:p>
      <w:pPr>
        <w:pStyle w:val="Subsection"/>
        <w:rPr>
          <w:ins w:id="704" w:author="Master Repository Process" w:date="2021-07-31T18:45:00Z"/>
        </w:rPr>
      </w:pPr>
      <w:ins w:id="705" w:author="Master Repository Process" w:date="2021-07-31T18:45:00Z">
        <w:r>
          <w:tab/>
        </w:r>
        <w:r>
          <w:tab/>
          <w:t>must be made to the CEO in writing.</w:t>
        </w:r>
      </w:ins>
    </w:p>
    <w:p>
      <w:pPr>
        <w:pStyle w:val="Subsection"/>
        <w:rPr>
          <w:ins w:id="706" w:author="Master Repository Process" w:date="2021-07-31T18:45:00Z"/>
        </w:rPr>
      </w:pPr>
      <w:ins w:id="707" w:author="Master Repository Process" w:date="2021-07-31T18:45:00Z">
        <w:r>
          <w:tab/>
          <w:t>(2)</w:t>
        </w:r>
        <w:r>
          <w:tab/>
          <w:t>An applicant must provide the CEO with any relevant information requested by the CEO.</w:t>
        </w:r>
      </w:ins>
    </w:p>
    <w:p>
      <w:pPr>
        <w:pStyle w:val="Subsection"/>
        <w:rPr>
          <w:ins w:id="708" w:author="Master Repository Process" w:date="2021-07-31T18:45:00Z"/>
        </w:rPr>
      </w:pPr>
      <w:ins w:id="709" w:author="Master Repository Process" w:date="2021-07-31T18:45:00Z">
        <w:r>
          <w:tab/>
          <w:t>(3)</w:t>
        </w:r>
        <w:r>
          <w:tab/>
          <w:t xml:space="preserve">An application may be made in relation to 2 or more apiary authorities in the same form. </w:t>
        </w:r>
      </w:ins>
    </w:p>
    <w:p>
      <w:pPr>
        <w:pStyle w:val="Subsection"/>
        <w:rPr>
          <w:ins w:id="710" w:author="Master Repository Process" w:date="2021-07-31T18:45:00Z"/>
        </w:rPr>
      </w:pPr>
      <w:ins w:id="711" w:author="Master Repository Process" w:date="2021-07-31T18:45:00Z">
        <w:r>
          <w:tab/>
          <w:t>(4)</w:t>
        </w:r>
        <w:r>
          <w:tab/>
          <w:t>The fees specified in Schedule 1 Division 11 are payable in respect of an application made in relation to an apiary authority.</w:t>
        </w:r>
      </w:ins>
    </w:p>
    <w:p>
      <w:pPr>
        <w:pStyle w:val="Footnotesection"/>
        <w:rPr>
          <w:ins w:id="712" w:author="Master Repository Process" w:date="2021-07-31T18:45:00Z"/>
        </w:rPr>
      </w:pPr>
      <w:ins w:id="713" w:author="Master Repository Process" w:date="2021-07-31T18:45:00Z">
        <w:r>
          <w:tab/>
          <w:t>[Regulation 98C inserted in Gazette 3 Sep 2010 p. 4279.]</w:t>
        </w:r>
      </w:ins>
    </w:p>
    <w:p>
      <w:pPr>
        <w:pStyle w:val="Heading5"/>
        <w:rPr>
          <w:ins w:id="714" w:author="Master Repository Process" w:date="2021-07-31T18:45:00Z"/>
        </w:rPr>
      </w:pPr>
      <w:bookmarkStart w:id="715" w:name="_Toc271209040"/>
      <w:bookmarkStart w:id="716" w:name="_Toc271209902"/>
      <w:ins w:id="717" w:author="Master Repository Process" w:date="2021-07-31T18:45:00Z">
        <w:r>
          <w:rPr>
            <w:rStyle w:val="CharSectno"/>
          </w:rPr>
          <w:t>98D</w:t>
        </w:r>
        <w:r>
          <w:t>.</w:t>
        </w:r>
        <w:r>
          <w:tab/>
          <w:t>Maximum area of apiary site</w:t>
        </w:r>
        <w:bookmarkEnd w:id="715"/>
        <w:bookmarkEnd w:id="716"/>
      </w:ins>
    </w:p>
    <w:p>
      <w:pPr>
        <w:pStyle w:val="Subsection"/>
        <w:rPr>
          <w:ins w:id="718" w:author="Master Repository Process" w:date="2021-07-31T18:45:00Z"/>
        </w:rPr>
      </w:pPr>
      <w:ins w:id="719" w:author="Master Repository Process" w:date="2021-07-31T18:45:00Z">
        <w:r>
          <w:tab/>
        </w:r>
        <w:r>
          <w:tab/>
          <w:t xml:space="preserve">The area of an apiary site for which an apiary authority is granted must not exceed the area that the CEO considers is reasonably necessary to enable an apiary to be efficiently operated on the site. </w:t>
        </w:r>
      </w:ins>
    </w:p>
    <w:p>
      <w:pPr>
        <w:pStyle w:val="Footnotesection"/>
        <w:rPr>
          <w:ins w:id="720" w:author="Master Repository Process" w:date="2021-07-31T18:45:00Z"/>
        </w:rPr>
      </w:pPr>
      <w:ins w:id="721" w:author="Master Repository Process" w:date="2021-07-31T18:45:00Z">
        <w:r>
          <w:tab/>
          <w:t>[Regulation 98D inserted in Gazette 3 Sep 2010 p. 4279.]</w:t>
        </w:r>
      </w:ins>
    </w:p>
    <w:p>
      <w:pPr>
        <w:pStyle w:val="Heading5"/>
        <w:rPr>
          <w:ins w:id="722" w:author="Master Repository Process" w:date="2021-07-31T18:45:00Z"/>
        </w:rPr>
      </w:pPr>
      <w:bookmarkStart w:id="723" w:name="_Toc271209041"/>
      <w:bookmarkStart w:id="724" w:name="_Toc271209903"/>
      <w:ins w:id="725" w:author="Master Repository Process" w:date="2021-07-31T18:45:00Z">
        <w:r>
          <w:rPr>
            <w:rStyle w:val="CharSectno"/>
          </w:rPr>
          <w:t>98E</w:t>
        </w:r>
        <w:r>
          <w:t>.</w:t>
        </w:r>
        <w:r>
          <w:tab/>
          <w:t>Form of apiary authority</w:t>
        </w:r>
        <w:bookmarkEnd w:id="723"/>
        <w:bookmarkEnd w:id="724"/>
      </w:ins>
    </w:p>
    <w:p>
      <w:pPr>
        <w:pStyle w:val="Subsection"/>
        <w:rPr>
          <w:ins w:id="726" w:author="Master Repository Process" w:date="2021-07-31T18:45:00Z"/>
        </w:rPr>
      </w:pPr>
      <w:ins w:id="727" w:author="Master Repository Process" w:date="2021-07-31T18:45:00Z">
        <w:r>
          <w:tab/>
          <w:t>(1)</w:t>
        </w:r>
        <w:r>
          <w:tab/>
          <w:t>An apiary permit is to be in the form of Schedule 3 Form 3.</w:t>
        </w:r>
      </w:ins>
    </w:p>
    <w:p>
      <w:pPr>
        <w:pStyle w:val="Subsection"/>
        <w:rPr>
          <w:ins w:id="728" w:author="Master Repository Process" w:date="2021-07-31T18:45:00Z"/>
        </w:rPr>
      </w:pPr>
      <w:ins w:id="729" w:author="Master Repository Process" w:date="2021-07-31T18:45:00Z">
        <w:r>
          <w:tab/>
          <w:t>(2)</w:t>
        </w:r>
        <w:r>
          <w:tab/>
          <w:t>An apiary licence is to be in writing in such form as the CEO thinks fit.</w:t>
        </w:r>
      </w:ins>
    </w:p>
    <w:p>
      <w:pPr>
        <w:pStyle w:val="Footnotesection"/>
        <w:rPr>
          <w:ins w:id="730" w:author="Master Repository Process" w:date="2021-07-31T18:45:00Z"/>
        </w:rPr>
      </w:pPr>
      <w:ins w:id="731" w:author="Master Repository Process" w:date="2021-07-31T18:45:00Z">
        <w:r>
          <w:tab/>
          <w:t>[Regulation 98E inserted in Gazette 3 Sep 2010 p. 4279</w:t>
        </w:r>
        <w:r>
          <w:noBreakHyphen/>
          <w:t>80.]</w:t>
        </w:r>
      </w:ins>
    </w:p>
    <w:p>
      <w:pPr>
        <w:pStyle w:val="Heading5"/>
        <w:rPr>
          <w:ins w:id="732" w:author="Master Repository Process" w:date="2021-07-31T18:45:00Z"/>
        </w:rPr>
      </w:pPr>
      <w:bookmarkStart w:id="733" w:name="_Toc271209042"/>
      <w:bookmarkStart w:id="734" w:name="_Toc271209904"/>
      <w:ins w:id="735" w:author="Master Repository Process" w:date="2021-07-31T18:45:00Z">
        <w:r>
          <w:rPr>
            <w:rStyle w:val="CharSectno"/>
          </w:rPr>
          <w:t>98F</w:t>
        </w:r>
        <w:r>
          <w:t>.</w:t>
        </w:r>
        <w:r>
          <w:tab/>
          <w:t>Duration of apiary authority</w:t>
        </w:r>
        <w:bookmarkEnd w:id="733"/>
        <w:bookmarkEnd w:id="734"/>
      </w:ins>
    </w:p>
    <w:p>
      <w:pPr>
        <w:pStyle w:val="Subsection"/>
        <w:rPr>
          <w:ins w:id="736" w:author="Master Repository Process" w:date="2021-07-31T18:45:00Z"/>
        </w:rPr>
      </w:pPr>
      <w:ins w:id="737" w:author="Master Repository Process" w:date="2021-07-31T18:45:00Z">
        <w:r>
          <w:tab/>
          <w:t>(1)</w:t>
        </w:r>
        <w:r>
          <w:tab/>
          <w:t>An apiary authority —</w:t>
        </w:r>
      </w:ins>
    </w:p>
    <w:p>
      <w:pPr>
        <w:pStyle w:val="Indenta"/>
        <w:rPr>
          <w:ins w:id="738" w:author="Master Repository Process" w:date="2021-07-31T18:45:00Z"/>
        </w:rPr>
      </w:pPr>
      <w:ins w:id="739" w:author="Master Repository Process" w:date="2021-07-31T18:45:00Z">
        <w:r>
          <w:tab/>
          <w:t>(a)</w:t>
        </w:r>
        <w:r>
          <w:tab/>
          <w:t>takes effect on the day on which it is granted or any later day specified in it; and</w:t>
        </w:r>
      </w:ins>
    </w:p>
    <w:p>
      <w:pPr>
        <w:pStyle w:val="Indenta"/>
        <w:rPr>
          <w:ins w:id="740" w:author="Master Repository Process" w:date="2021-07-31T18:45:00Z"/>
        </w:rPr>
      </w:pPr>
      <w:ins w:id="741" w:author="Master Repository Process" w:date="2021-07-31T18:45:00Z">
        <w:r>
          <w:tab/>
          <w:t>(b)</w:t>
        </w:r>
        <w:r>
          <w:tab/>
          <w:t>remains in force for the period specified in it unless before then it expires under subregulation (2), is surrendered or is cancelled.</w:t>
        </w:r>
      </w:ins>
    </w:p>
    <w:p>
      <w:pPr>
        <w:pStyle w:val="Subsection"/>
        <w:rPr>
          <w:ins w:id="742" w:author="Master Repository Process" w:date="2021-07-31T18:45:00Z"/>
        </w:rPr>
      </w:pPr>
      <w:ins w:id="743" w:author="Master Repository Process" w:date="2021-07-31T18:45:00Z">
        <w:r>
          <w:tab/>
          <w:t>(2)</w:t>
        </w:r>
        <w:r>
          <w:tab/>
          <w:t>An apiary authority expires if the apiary site ceases to be land in respect of which the authority can be granted under Part VIII Division 1 or 2, as the case requires, of the Act.</w:t>
        </w:r>
      </w:ins>
    </w:p>
    <w:p>
      <w:pPr>
        <w:pStyle w:val="Subsection"/>
        <w:rPr>
          <w:ins w:id="744" w:author="Master Repository Process" w:date="2021-07-31T18:45:00Z"/>
        </w:rPr>
      </w:pPr>
      <w:ins w:id="745" w:author="Master Repository Process" w:date="2021-07-31T18:45:00Z">
        <w:r>
          <w:tab/>
          <w:t>(3)</w:t>
        </w:r>
        <w:r>
          <w:tab/>
          <w:t>The holder of an apiary authority may surrender it at any time by returning the permit or licence to the CEO, in which case it ceases to have effect when it is received by the CEO.</w:t>
        </w:r>
      </w:ins>
    </w:p>
    <w:p>
      <w:pPr>
        <w:pStyle w:val="Footnotesection"/>
        <w:rPr>
          <w:ins w:id="746" w:author="Master Repository Process" w:date="2021-07-31T18:45:00Z"/>
        </w:rPr>
      </w:pPr>
      <w:ins w:id="747" w:author="Master Repository Process" w:date="2021-07-31T18:45:00Z">
        <w:r>
          <w:tab/>
          <w:t>[Regulation 98F inserted in Gazette 3 Sep 2010 p. 4280.]</w:t>
        </w:r>
      </w:ins>
    </w:p>
    <w:p>
      <w:pPr>
        <w:pStyle w:val="Heading5"/>
        <w:rPr>
          <w:ins w:id="748" w:author="Master Repository Process" w:date="2021-07-31T18:45:00Z"/>
        </w:rPr>
      </w:pPr>
      <w:bookmarkStart w:id="749" w:name="_Toc271209043"/>
      <w:bookmarkStart w:id="750" w:name="_Toc271209905"/>
      <w:ins w:id="751" w:author="Master Repository Process" w:date="2021-07-31T18:45:00Z">
        <w:r>
          <w:rPr>
            <w:rStyle w:val="CharSectno"/>
          </w:rPr>
          <w:t>98G</w:t>
        </w:r>
        <w:r>
          <w:t>.</w:t>
        </w:r>
        <w:r>
          <w:tab/>
          <w:t>Conditions</w:t>
        </w:r>
        <w:bookmarkEnd w:id="749"/>
        <w:bookmarkEnd w:id="750"/>
      </w:ins>
    </w:p>
    <w:p>
      <w:pPr>
        <w:pStyle w:val="Subsection"/>
        <w:rPr>
          <w:ins w:id="752" w:author="Master Repository Process" w:date="2021-07-31T18:45:00Z"/>
        </w:rPr>
      </w:pPr>
      <w:ins w:id="753" w:author="Master Repository Process" w:date="2021-07-31T18:45:00Z">
        <w:r>
          <w:tab/>
          <w:t>(1)</w:t>
        </w:r>
        <w:r>
          <w:tab/>
          <w:t xml:space="preserve">In this regulation — </w:t>
        </w:r>
      </w:ins>
    </w:p>
    <w:p>
      <w:pPr>
        <w:pStyle w:val="Defstart"/>
        <w:rPr>
          <w:ins w:id="754" w:author="Master Repository Process" w:date="2021-07-31T18:45:00Z"/>
        </w:rPr>
      </w:pPr>
      <w:ins w:id="755" w:author="Master Repository Process" w:date="2021-07-31T18:45:00Z">
        <w:r>
          <w:rPr>
            <w:b/>
          </w:rPr>
          <w:tab/>
        </w:r>
        <w:r>
          <w:rPr>
            <w:rStyle w:val="CharDefText"/>
          </w:rPr>
          <w:t>apiarist</w:t>
        </w:r>
        <w:r>
          <w:t xml:space="preserve"> includes an employee or agent of the apiarist; </w:t>
        </w:r>
      </w:ins>
    </w:p>
    <w:p>
      <w:pPr>
        <w:pStyle w:val="Defstart"/>
        <w:rPr>
          <w:ins w:id="756" w:author="Master Repository Process" w:date="2021-07-31T18:45:00Z"/>
        </w:rPr>
      </w:pPr>
      <w:ins w:id="757" w:author="Master Repository Process" w:date="2021-07-31T18:45:00Z">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ins>
    </w:p>
    <w:p>
      <w:pPr>
        <w:pStyle w:val="Subsection"/>
        <w:rPr>
          <w:ins w:id="758" w:author="Master Repository Process" w:date="2021-07-31T18:45:00Z"/>
        </w:rPr>
      </w:pPr>
      <w:ins w:id="759" w:author="Master Repository Process" w:date="2021-07-31T18:45:00Z">
        <w:r>
          <w:tab/>
          <w:t>(2)</w:t>
        </w:r>
        <w:r>
          <w:tab/>
          <w:t xml:space="preserve">The following conditions apply to every apiary authority — </w:t>
        </w:r>
      </w:ins>
    </w:p>
    <w:p>
      <w:pPr>
        <w:pStyle w:val="Indenta"/>
        <w:rPr>
          <w:ins w:id="760" w:author="Master Repository Process" w:date="2021-07-31T18:45:00Z"/>
        </w:rPr>
      </w:pPr>
      <w:ins w:id="761" w:author="Master Repository Process" w:date="2021-07-31T18:45:00Z">
        <w:r>
          <w:tab/>
          <w:t>(a)</w:t>
        </w:r>
        <w:r>
          <w:tab/>
          <w:t>the apiarist must immediately report any outbreak of fire on or near the apiary site to the local departmental office;</w:t>
        </w:r>
      </w:ins>
    </w:p>
    <w:p>
      <w:pPr>
        <w:pStyle w:val="Indenta"/>
        <w:rPr>
          <w:ins w:id="762" w:author="Master Repository Process" w:date="2021-07-31T18:45:00Z"/>
        </w:rPr>
      </w:pPr>
      <w:ins w:id="763" w:author="Master Repository Process" w:date="2021-07-31T18:45:00Z">
        <w:r>
          <w:tab/>
          <w:t>(b)</w:t>
        </w:r>
        <w:r>
          <w:tab/>
          <w:t>the apiarist must cooperate with the Department and any other authority or person lawfully carrying out fire prevention or control activities on or near the apiary site;</w:t>
        </w:r>
      </w:ins>
    </w:p>
    <w:p>
      <w:pPr>
        <w:pStyle w:val="Indenta"/>
        <w:rPr>
          <w:ins w:id="764" w:author="Master Repository Process" w:date="2021-07-31T18:45:00Z"/>
        </w:rPr>
      </w:pPr>
      <w:ins w:id="765" w:author="Master Repository Process" w:date="2021-07-31T18:45:00Z">
        <w:r>
          <w:tab/>
          <w:t>(c)</w:t>
        </w:r>
        <w:r>
          <w:tab/>
          <w:t>the apiarist must ensure that there is adequate water on the apiary site for all apiary requirements;</w:t>
        </w:r>
      </w:ins>
    </w:p>
    <w:p>
      <w:pPr>
        <w:pStyle w:val="Indenta"/>
        <w:rPr>
          <w:ins w:id="766" w:author="Master Repository Process" w:date="2021-07-31T18:45:00Z"/>
        </w:rPr>
      </w:pPr>
      <w:ins w:id="767" w:author="Master Repository Process" w:date="2021-07-31T18:45:00Z">
        <w:r>
          <w:tab/>
          <w:t>(d)</w:t>
        </w:r>
        <w:r>
          <w:tab/>
          <w:t xml:space="preserve">before placing hives on the apiary site the apiarist must give notice to — </w:t>
        </w:r>
      </w:ins>
    </w:p>
    <w:p>
      <w:pPr>
        <w:pStyle w:val="Indenti"/>
        <w:rPr>
          <w:ins w:id="768" w:author="Master Repository Process" w:date="2021-07-31T18:45:00Z"/>
        </w:rPr>
      </w:pPr>
      <w:ins w:id="769" w:author="Master Repository Process" w:date="2021-07-31T18:45:00Z">
        <w:r>
          <w:tab/>
          <w:t>(i)</w:t>
        </w:r>
        <w:r>
          <w:tab/>
          <w:t>the local departmental office; and</w:t>
        </w:r>
      </w:ins>
    </w:p>
    <w:p>
      <w:pPr>
        <w:pStyle w:val="Indenti"/>
        <w:rPr>
          <w:ins w:id="770" w:author="Master Repository Process" w:date="2021-07-31T18:45:00Z"/>
        </w:rPr>
      </w:pPr>
      <w:ins w:id="771" w:author="Master Repository Process" w:date="2021-07-31T18:45:00Z">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ins>
    </w:p>
    <w:p>
      <w:pPr>
        <w:pStyle w:val="Indenta"/>
        <w:rPr>
          <w:ins w:id="772" w:author="Master Repository Process" w:date="2021-07-31T18:45:00Z"/>
        </w:rPr>
      </w:pPr>
      <w:ins w:id="773" w:author="Master Repository Process" w:date="2021-07-31T18:45:00Z">
        <w:r>
          <w:tab/>
          <w:t>(e)</w:t>
        </w:r>
        <w:r>
          <w:tab/>
          <w:t>the apiarist must take all reasonably practicable steps to ensure that the apiarist’s activities do not infect the site with, or spread, a forest disease;</w:t>
        </w:r>
      </w:ins>
    </w:p>
    <w:p>
      <w:pPr>
        <w:pStyle w:val="Indenta"/>
        <w:rPr>
          <w:ins w:id="774" w:author="Master Repository Process" w:date="2021-07-31T18:45:00Z"/>
        </w:rPr>
      </w:pPr>
      <w:ins w:id="775" w:author="Master Repository Process" w:date="2021-07-31T18:45:00Z">
        <w:r>
          <w:tab/>
          <w:t>(f)</w:t>
        </w:r>
        <w:r>
          <w:tab/>
          <w:t xml:space="preserve">the apiarist must comply with the following written laws — </w:t>
        </w:r>
      </w:ins>
    </w:p>
    <w:p>
      <w:pPr>
        <w:pStyle w:val="Indenti"/>
        <w:rPr>
          <w:ins w:id="776" w:author="Master Repository Process" w:date="2021-07-31T18:45:00Z"/>
          <w:snapToGrid w:val="0"/>
        </w:rPr>
      </w:pPr>
      <w:ins w:id="777" w:author="Master Repository Process" w:date="2021-07-31T18:45:00Z">
        <w:r>
          <w:rPr>
            <w:snapToGrid w:val="0"/>
          </w:rPr>
          <w:tab/>
          <w:t>(i)</w:t>
        </w:r>
        <w:r>
          <w:rPr>
            <w:snapToGrid w:val="0"/>
          </w:rPr>
          <w:tab/>
        </w:r>
        <w:r>
          <w:rPr>
            <w:i/>
            <w:iCs/>
            <w:snapToGrid w:val="0"/>
          </w:rPr>
          <w:t>Conservation and Land Management Act 1984</w:t>
        </w:r>
        <w:r>
          <w:rPr>
            <w:snapToGrid w:val="0"/>
          </w:rPr>
          <w:t>;</w:t>
        </w:r>
      </w:ins>
    </w:p>
    <w:p>
      <w:pPr>
        <w:pStyle w:val="Indenti"/>
        <w:rPr>
          <w:ins w:id="778" w:author="Master Repository Process" w:date="2021-07-31T18:45:00Z"/>
          <w:snapToGrid w:val="0"/>
        </w:rPr>
      </w:pPr>
      <w:ins w:id="779" w:author="Master Repository Process" w:date="2021-07-31T18:45:00Z">
        <w:r>
          <w:rPr>
            <w:snapToGrid w:val="0"/>
          </w:rPr>
          <w:tab/>
          <w:t>(ii)</w:t>
        </w:r>
        <w:r>
          <w:rPr>
            <w:snapToGrid w:val="0"/>
          </w:rPr>
          <w:tab/>
        </w:r>
        <w:r>
          <w:rPr>
            <w:i/>
            <w:iCs/>
            <w:snapToGrid w:val="0"/>
          </w:rPr>
          <w:t>Bush Fires Act 1954</w:t>
        </w:r>
        <w:r>
          <w:rPr>
            <w:snapToGrid w:val="0"/>
          </w:rPr>
          <w:t>;</w:t>
        </w:r>
      </w:ins>
    </w:p>
    <w:p>
      <w:pPr>
        <w:pStyle w:val="Indenti"/>
        <w:rPr>
          <w:ins w:id="780" w:author="Master Repository Process" w:date="2021-07-31T18:45:00Z"/>
          <w:snapToGrid w:val="0"/>
        </w:rPr>
      </w:pPr>
      <w:ins w:id="781" w:author="Master Repository Process" w:date="2021-07-31T18:45:00Z">
        <w:r>
          <w:rPr>
            <w:snapToGrid w:val="0"/>
          </w:rPr>
          <w:tab/>
          <w:t>(iii)</w:t>
        </w:r>
        <w:r>
          <w:rPr>
            <w:snapToGrid w:val="0"/>
          </w:rPr>
          <w:tab/>
        </w:r>
        <w:r>
          <w:rPr>
            <w:i/>
            <w:iCs/>
            <w:snapToGrid w:val="0"/>
          </w:rPr>
          <w:t>Health Act 1911</w:t>
        </w:r>
        <w:r>
          <w:rPr>
            <w:snapToGrid w:val="0"/>
          </w:rPr>
          <w:t>;</w:t>
        </w:r>
      </w:ins>
    </w:p>
    <w:p>
      <w:pPr>
        <w:pStyle w:val="Indenti"/>
        <w:rPr>
          <w:ins w:id="782" w:author="Master Repository Process" w:date="2021-07-31T18:45:00Z"/>
          <w:snapToGrid w:val="0"/>
        </w:rPr>
      </w:pPr>
      <w:ins w:id="783" w:author="Master Repository Process" w:date="2021-07-31T18:45:00Z">
        <w:r>
          <w:tab/>
          <w:t>(iv)</w:t>
        </w:r>
        <w:r>
          <w:tab/>
          <w:t xml:space="preserve">any written law relating to </w:t>
        </w:r>
        <w:r>
          <w:rPr>
            <w:snapToGrid w:val="0"/>
          </w:rPr>
          <w:t>protection of water catchments or regulation of water supplies.</w:t>
        </w:r>
      </w:ins>
    </w:p>
    <w:p>
      <w:pPr>
        <w:pStyle w:val="Subsection"/>
        <w:rPr>
          <w:ins w:id="784" w:author="Master Repository Process" w:date="2021-07-31T18:45:00Z"/>
        </w:rPr>
      </w:pPr>
      <w:ins w:id="785" w:author="Master Repository Process" w:date="2021-07-31T18:45:00Z">
        <w:r>
          <w:tab/>
          <w:t>(3)</w:t>
        </w:r>
        <w:r>
          <w:tab/>
          <w:t xml:space="preserve">A notice for the purposes of subregulation (2)(d) must include the following information — </w:t>
        </w:r>
      </w:ins>
    </w:p>
    <w:p>
      <w:pPr>
        <w:pStyle w:val="Indenta"/>
        <w:rPr>
          <w:ins w:id="786" w:author="Master Repository Process" w:date="2021-07-31T18:45:00Z"/>
        </w:rPr>
      </w:pPr>
      <w:ins w:id="787" w:author="Master Repository Process" w:date="2021-07-31T18:45:00Z">
        <w:r>
          <w:tab/>
          <w:t>(a)</w:t>
        </w:r>
        <w:r>
          <w:tab/>
          <w:t>the proposed location of the hives;</w:t>
        </w:r>
      </w:ins>
    </w:p>
    <w:p>
      <w:pPr>
        <w:pStyle w:val="Indenta"/>
        <w:rPr>
          <w:ins w:id="788" w:author="Master Repository Process" w:date="2021-07-31T18:45:00Z"/>
        </w:rPr>
      </w:pPr>
      <w:ins w:id="789" w:author="Master Repository Process" w:date="2021-07-31T18:45:00Z">
        <w:r>
          <w:tab/>
          <w:t>(b)</w:t>
        </w:r>
        <w:r>
          <w:tab/>
          <w:t>the number of hives proposed to be placed on the site;</w:t>
        </w:r>
      </w:ins>
    </w:p>
    <w:p>
      <w:pPr>
        <w:pStyle w:val="Indenta"/>
        <w:rPr>
          <w:ins w:id="790" w:author="Master Repository Process" w:date="2021-07-31T18:45:00Z"/>
        </w:rPr>
      </w:pPr>
      <w:ins w:id="791" w:author="Master Repository Process" w:date="2021-07-31T18:45:00Z">
        <w:r>
          <w:tab/>
          <w:t>(c)</w:t>
        </w:r>
        <w:r>
          <w:tab/>
          <w:t>how long it is proposed the hives will remain on the site;</w:t>
        </w:r>
      </w:ins>
    </w:p>
    <w:p>
      <w:pPr>
        <w:pStyle w:val="Indenta"/>
        <w:rPr>
          <w:ins w:id="792" w:author="Master Repository Process" w:date="2021-07-31T18:45:00Z"/>
        </w:rPr>
      </w:pPr>
      <w:ins w:id="793" w:author="Master Repository Process" w:date="2021-07-31T18:45:00Z">
        <w:r>
          <w:tab/>
          <w:t>(d)</w:t>
        </w:r>
        <w:r>
          <w:tab/>
          <w:t>the names of the people who are expected to be entering the site for apiary purposes.</w:t>
        </w:r>
      </w:ins>
    </w:p>
    <w:p>
      <w:pPr>
        <w:pStyle w:val="Footnotesection"/>
        <w:rPr>
          <w:ins w:id="794" w:author="Master Repository Process" w:date="2021-07-31T18:45:00Z"/>
        </w:rPr>
      </w:pPr>
      <w:ins w:id="795" w:author="Master Repository Process" w:date="2021-07-31T18:45:00Z">
        <w:r>
          <w:tab/>
          <w:t>[Regulation 98G inserted in Gazette 3 Sep 2010 p. 4280</w:t>
        </w:r>
        <w:r>
          <w:noBreakHyphen/>
          <w:t>1.]</w:t>
        </w:r>
      </w:ins>
    </w:p>
    <w:p>
      <w:pPr>
        <w:pStyle w:val="Heading5"/>
        <w:rPr>
          <w:ins w:id="796" w:author="Master Repository Process" w:date="2021-07-31T18:45:00Z"/>
        </w:rPr>
      </w:pPr>
      <w:bookmarkStart w:id="797" w:name="_Toc271209044"/>
      <w:bookmarkStart w:id="798" w:name="_Toc271209906"/>
      <w:ins w:id="799" w:author="Master Repository Process" w:date="2021-07-31T18:45:00Z">
        <w:r>
          <w:rPr>
            <w:rStyle w:val="CharSectno"/>
          </w:rPr>
          <w:t>98H</w:t>
        </w:r>
        <w:r>
          <w:t>.</w:t>
        </w:r>
        <w:r>
          <w:tab/>
          <w:t>Application of regulations to apiary sites that are not on CALM land</w:t>
        </w:r>
        <w:bookmarkEnd w:id="797"/>
        <w:bookmarkEnd w:id="798"/>
      </w:ins>
    </w:p>
    <w:p>
      <w:pPr>
        <w:pStyle w:val="Subsection"/>
        <w:rPr>
          <w:ins w:id="800" w:author="Master Repository Process" w:date="2021-07-31T18:45:00Z"/>
        </w:rPr>
      </w:pPr>
      <w:ins w:id="801" w:author="Master Repository Process" w:date="2021-07-31T18:45:00Z">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ins>
    </w:p>
    <w:p>
      <w:pPr>
        <w:pStyle w:val="THeadingNAm"/>
        <w:rPr>
          <w:ins w:id="802" w:author="Master Repository Process" w:date="2021-07-31T18:45:00Z"/>
        </w:rPr>
      </w:pPr>
      <w:ins w:id="803" w:author="Master Repository Process" w:date="2021-07-31T18:45: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804" w:author="Master Repository Process" w:date="2021-07-31T18:45:00Z"/>
        </w:trPr>
        <w:tc>
          <w:tcPr>
            <w:tcW w:w="2764" w:type="dxa"/>
          </w:tcPr>
          <w:p>
            <w:pPr>
              <w:pStyle w:val="TableNAm"/>
              <w:rPr>
                <w:ins w:id="805" w:author="Master Repository Process" w:date="2021-07-31T18:45:00Z"/>
              </w:rPr>
            </w:pPr>
            <w:ins w:id="806" w:author="Master Repository Process" w:date="2021-07-31T18:45:00Z">
              <w:r>
                <w:t>r. 21</w:t>
              </w:r>
            </w:ins>
          </w:p>
        </w:tc>
        <w:tc>
          <w:tcPr>
            <w:tcW w:w="2764" w:type="dxa"/>
          </w:tcPr>
          <w:p>
            <w:pPr>
              <w:pStyle w:val="TableNAm"/>
              <w:rPr>
                <w:ins w:id="807" w:author="Master Repository Process" w:date="2021-07-31T18:45:00Z"/>
              </w:rPr>
            </w:pPr>
            <w:ins w:id="808" w:author="Master Repository Process" w:date="2021-07-31T18:45:00Z">
              <w:r>
                <w:t>r. 23</w:t>
              </w:r>
            </w:ins>
          </w:p>
        </w:tc>
      </w:tr>
      <w:tr>
        <w:trPr>
          <w:ins w:id="809" w:author="Master Repository Process" w:date="2021-07-31T18:45:00Z"/>
        </w:trPr>
        <w:tc>
          <w:tcPr>
            <w:tcW w:w="2764" w:type="dxa"/>
          </w:tcPr>
          <w:p>
            <w:pPr>
              <w:pStyle w:val="TableNAm"/>
              <w:rPr>
                <w:ins w:id="810" w:author="Master Repository Process" w:date="2021-07-31T18:45:00Z"/>
              </w:rPr>
            </w:pPr>
            <w:ins w:id="811" w:author="Master Repository Process" w:date="2021-07-31T18:45:00Z">
              <w:r>
                <w:t>r. 24</w:t>
              </w:r>
            </w:ins>
          </w:p>
        </w:tc>
        <w:tc>
          <w:tcPr>
            <w:tcW w:w="2764" w:type="dxa"/>
          </w:tcPr>
          <w:p>
            <w:pPr>
              <w:pStyle w:val="TableNAm"/>
              <w:rPr>
                <w:ins w:id="812" w:author="Master Repository Process" w:date="2021-07-31T18:45:00Z"/>
              </w:rPr>
            </w:pPr>
            <w:ins w:id="813" w:author="Master Repository Process" w:date="2021-07-31T18:45:00Z">
              <w:r>
                <w:t>r. 25</w:t>
              </w:r>
            </w:ins>
          </w:p>
        </w:tc>
      </w:tr>
      <w:tr>
        <w:trPr>
          <w:ins w:id="814" w:author="Master Repository Process" w:date="2021-07-31T18:45:00Z"/>
        </w:trPr>
        <w:tc>
          <w:tcPr>
            <w:tcW w:w="2764" w:type="dxa"/>
          </w:tcPr>
          <w:p>
            <w:pPr>
              <w:pStyle w:val="TableNAm"/>
              <w:rPr>
                <w:ins w:id="815" w:author="Master Repository Process" w:date="2021-07-31T18:45:00Z"/>
              </w:rPr>
            </w:pPr>
            <w:ins w:id="816" w:author="Master Repository Process" w:date="2021-07-31T18:45:00Z">
              <w:r>
                <w:t>r. 27</w:t>
              </w:r>
            </w:ins>
          </w:p>
        </w:tc>
        <w:tc>
          <w:tcPr>
            <w:tcW w:w="2764" w:type="dxa"/>
          </w:tcPr>
          <w:p>
            <w:pPr>
              <w:pStyle w:val="TableNAm"/>
              <w:rPr>
                <w:ins w:id="817" w:author="Master Repository Process" w:date="2021-07-31T18:45:00Z"/>
              </w:rPr>
            </w:pPr>
            <w:ins w:id="818" w:author="Master Repository Process" w:date="2021-07-31T18:45:00Z">
              <w:r>
                <w:t>r. 31</w:t>
              </w:r>
            </w:ins>
          </w:p>
        </w:tc>
      </w:tr>
      <w:tr>
        <w:trPr>
          <w:ins w:id="819" w:author="Master Repository Process" w:date="2021-07-31T18:45:00Z"/>
        </w:trPr>
        <w:tc>
          <w:tcPr>
            <w:tcW w:w="2764" w:type="dxa"/>
          </w:tcPr>
          <w:p>
            <w:pPr>
              <w:pStyle w:val="TableNAm"/>
              <w:rPr>
                <w:ins w:id="820" w:author="Master Repository Process" w:date="2021-07-31T18:45:00Z"/>
              </w:rPr>
            </w:pPr>
            <w:ins w:id="821" w:author="Master Repository Process" w:date="2021-07-31T18:45:00Z">
              <w:r>
                <w:t>r. 34</w:t>
              </w:r>
            </w:ins>
          </w:p>
        </w:tc>
        <w:tc>
          <w:tcPr>
            <w:tcW w:w="2764" w:type="dxa"/>
          </w:tcPr>
          <w:p>
            <w:pPr>
              <w:pStyle w:val="TableNAm"/>
              <w:rPr>
                <w:ins w:id="822" w:author="Master Repository Process" w:date="2021-07-31T18:45:00Z"/>
              </w:rPr>
            </w:pPr>
            <w:ins w:id="823" w:author="Master Repository Process" w:date="2021-07-31T18:45:00Z">
              <w:r>
                <w:t>r. 35</w:t>
              </w:r>
            </w:ins>
          </w:p>
        </w:tc>
      </w:tr>
      <w:tr>
        <w:trPr>
          <w:ins w:id="824" w:author="Master Repository Process" w:date="2021-07-31T18:45:00Z"/>
        </w:trPr>
        <w:tc>
          <w:tcPr>
            <w:tcW w:w="2764" w:type="dxa"/>
          </w:tcPr>
          <w:p>
            <w:pPr>
              <w:pStyle w:val="TableNAm"/>
              <w:rPr>
                <w:ins w:id="825" w:author="Master Repository Process" w:date="2021-07-31T18:45:00Z"/>
              </w:rPr>
            </w:pPr>
            <w:ins w:id="826" w:author="Master Repository Process" w:date="2021-07-31T18:45:00Z">
              <w:r>
                <w:t>r. 36</w:t>
              </w:r>
            </w:ins>
          </w:p>
        </w:tc>
        <w:tc>
          <w:tcPr>
            <w:tcW w:w="2764" w:type="dxa"/>
          </w:tcPr>
          <w:p>
            <w:pPr>
              <w:pStyle w:val="TableNAm"/>
              <w:rPr>
                <w:ins w:id="827" w:author="Master Repository Process" w:date="2021-07-31T18:45:00Z"/>
              </w:rPr>
            </w:pPr>
            <w:ins w:id="828" w:author="Master Repository Process" w:date="2021-07-31T18:45:00Z">
              <w:r>
                <w:t>r. 38</w:t>
              </w:r>
            </w:ins>
          </w:p>
        </w:tc>
      </w:tr>
    </w:tbl>
    <w:p>
      <w:pPr>
        <w:pStyle w:val="Footnotesection"/>
        <w:rPr>
          <w:ins w:id="829" w:author="Master Repository Process" w:date="2021-07-31T18:45:00Z"/>
        </w:rPr>
      </w:pPr>
      <w:ins w:id="830" w:author="Master Repository Process" w:date="2021-07-31T18:45:00Z">
        <w:r>
          <w:tab/>
          <w:t>[Regulation 98H inserted in Gazette 3 Sep 2010 p. 4281.]</w:t>
        </w:r>
      </w:ins>
    </w:p>
    <w:p>
      <w:pPr>
        <w:pStyle w:val="Heading5"/>
        <w:rPr>
          <w:ins w:id="831" w:author="Master Repository Process" w:date="2021-07-31T18:45:00Z"/>
        </w:rPr>
      </w:pPr>
      <w:bookmarkStart w:id="832" w:name="_Toc271209045"/>
      <w:bookmarkStart w:id="833" w:name="_Toc271209907"/>
      <w:ins w:id="834" w:author="Master Repository Process" w:date="2021-07-31T18:45:00Z">
        <w:r>
          <w:rPr>
            <w:rStyle w:val="CharSectno"/>
          </w:rPr>
          <w:t>98I</w:t>
        </w:r>
        <w:r>
          <w:t>.</w:t>
        </w:r>
        <w:r>
          <w:tab/>
          <w:t>Other operations not affected by apiary</w:t>
        </w:r>
        <w:bookmarkEnd w:id="832"/>
        <w:bookmarkEnd w:id="833"/>
      </w:ins>
    </w:p>
    <w:p>
      <w:pPr>
        <w:pStyle w:val="Subsection"/>
        <w:rPr>
          <w:ins w:id="835" w:author="Master Repository Process" w:date="2021-07-31T18:45:00Z"/>
        </w:rPr>
      </w:pPr>
      <w:ins w:id="836" w:author="Master Repository Process" w:date="2021-07-31T18:45:00Z">
        <w:r>
          <w:tab/>
          <w:t>(1)</w:t>
        </w:r>
        <w:r>
          <w:tab/>
          <w:t>The fact that an apiary authority is in force in respect of a site does not affect the right of any person who has lawful authority to do so from doing any of the following, whether on the site or elsewhere —</w:t>
        </w:r>
      </w:ins>
    </w:p>
    <w:p>
      <w:pPr>
        <w:pStyle w:val="Indenta"/>
        <w:rPr>
          <w:ins w:id="837" w:author="Master Repository Process" w:date="2021-07-31T18:45:00Z"/>
        </w:rPr>
      </w:pPr>
      <w:ins w:id="838" w:author="Master Repository Process" w:date="2021-07-31T18:45:00Z">
        <w:r>
          <w:tab/>
          <w:t>(a)</w:t>
        </w:r>
        <w:r>
          <w:tab/>
          <w:t>felling, cutting or removing any forest produce;</w:t>
        </w:r>
      </w:ins>
    </w:p>
    <w:p>
      <w:pPr>
        <w:pStyle w:val="Indenta"/>
        <w:rPr>
          <w:ins w:id="839" w:author="Master Repository Process" w:date="2021-07-31T18:45:00Z"/>
        </w:rPr>
      </w:pPr>
      <w:ins w:id="840" w:author="Master Repository Process" w:date="2021-07-31T18:45:00Z">
        <w:r>
          <w:tab/>
          <w:t>(b)</w:t>
        </w:r>
        <w:r>
          <w:tab/>
          <w:t>carrying out any fire control or prevention activity, including the construction and maintenance of firebreaks and managed burning;</w:t>
        </w:r>
      </w:ins>
    </w:p>
    <w:p>
      <w:pPr>
        <w:pStyle w:val="Indenta"/>
        <w:rPr>
          <w:ins w:id="841" w:author="Master Repository Process" w:date="2021-07-31T18:45:00Z"/>
        </w:rPr>
      </w:pPr>
      <w:ins w:id="842" w:author="Master Repository Process" w:date="2021-07-31T18:45:00Z">
        <w:r>
          <w:tab/>
          <w:t>(c)</w:t>
        </w:r>
        <w:r>
          <w:tab/>
          <w:t>doing anything that is required or permitted to be done under a management plan.</w:t>
        </w:r>
      </w:ins>
    </w:p>
    <w:p>
      <w:pPr>
        <w:pStyle w:val="Subsection"/>
        <w:rPr>
          <w:ins w:id="843" w:author="Master Repository Process" w:date="2021-07-31T18:45:00Z"/>
        </w:rPr>
      </w:pPr>
      <w:ins w:id="844" w:author="Master Repository Process" w:date="2021-07-31T18:45:00Z">
        <w:r>
          <w:tab/>
          <w:t>(2)</w:t>
        </w:r>
        <w:r>
          <w:tab/>
          <w:t>The holder of an apiary authority is not entitled to compensation for any loss or damage arising from the carrying out of any such activity.</w:t>
        </w:r>
      </w:ins>
    </w:p>
    <w:p>
      <w:pPr>
        <w:pStyle w:val="Footnotesection"/>
        <w:rPr>
          <w:ins w:id="845" w:author="Master Repository Process" w:date="2021-07-31T18:45:00Z"/>
        </w:rPr>
      </w:pPr>
      <w:ins w:id="846" w:author="Master Repository Process" w:date="2021-07-31T18:45:00Z">
        <w:r>
          <w:tab/>
          <w:t>[Regulation 98I inserted in Gazette 3 Sep 2010 p. 4282.]</w:t>
        </w:r>
      </w:ins>
    </w:p>
    <w:p>
      <w:pPr>
        <w:pStyle w:val="Heading5"/>
        <w:rPr>
          <w:ins w:id="847" w:author="Master Repository Process" w:date="2021-07-31T18:45:00Z"/>
        </w:rPr>
      </w:pPr>
      <w:bookmarkStart w:id="848" w:name="_Toc271209046"/>
      <w:bookmarkStart w:id="849" w:name="_Toc271209908"/>
      <w:ins w:id="850" w:author="Master Repository Process" w:date="2021-07-31T18:45:00Z">
        <w:r>
          <w:rPr>
            <w:rStyle w:val="CharSectno"/>
          </w:rPr>
          <w:t>98J</w:t>
        </w:r>
        <w:r>
          <w:t>.</w:t>
        </w:r>
        <w:r>
          <w:tab/>
          <w:t>False or misleading information</w:t>
        </w:r>
        <w:bookmarkEnd w:id="848"/>
        <w:bookmarkEnd w:id="849"/>
      </w:ins>
    </w:p>
    <w:p>
      <w:pPr>
        <w:pStyle w:val="Subsection"/>
        <w:rPr>
          <w:ins w:id="851" w:author="Master Repository Process" w:date="2021-07-31T18:45:00Z"/>
        </w:rPr>
      </w:pPr>
      <w:ins w:id="852" w:author="Master Repository Process" w:date="2021-07-31T18:45:00Z">
        <w:r>
          <w:tab/>
        </w:r>
        <w:r>
          <w:tab/>
          <w:t>A person must not, in relation to an apiary authority, give information orally or in writing to the CEO that the person knows to be —</w:t>
        </w:r>
      </w:ins>
    </w:p>
    <w:p>
      <w:pPr>
        <w:pStyle w:val="Indenta"/>
        <w:rPr>
          <w:ins w:id="853" w:author="Master Repository Process" w:date="2021-07-31T18:45:00Z"/>
        </w:rPr>
      </w:pPr>
      <w:ins w:id="854" w:author="Master Repository Process" w:date="2021-07-31T18:45:00Z">
        <w:r>
          <w:tab/>
          <w:t>(a)</w:t>
        </w:r>
        <w:r>
          <w:tab/>
          <w:t>false or misleading in a material particular; or</w:t>
        </w:r>
      </w:ins>
    </w:p>
    <w:p>
      <w:pPr>
        <w:pStyle w:val="Indenta"/>
        <w:rPr>
          <w:ins w:id="855" w:author="Master Repository Process" w:date="2021-07-31T18:45:00Z"/>
        </w:rPr>
      </w:pPr>
      <w:ins w:id="856" w:author="Master Repository Process" w:date="2021-07-31T18:45:00Z">
        <w:r>
          <w:tab/>
          <w:t>(b)</w:t>
        </w:r>
        <w:r>
          <w:tab/>
          <w:t>likely to deceive in a material way.</w:t>
        </w:r>
      </w:ins>
    </w:p>
    <w:p>
      <w:pPr>
        <w:pStyle w:val="Penstart"/>
        <w:rPr>
          <w:ins w:id="857" w:author="Master Repository Process" w:date="2021-07-31T18:45:00Z"/>
        </w:rPr>
      </w:pPr>
      <w:ins w:id="858" w:author="Master Repository Process" w:date="2021-07-31T18:45:00Z">
        <w:r>
          <w:tab/>
          <w:t>Penalty: a fine of $1 000.</w:t>
        </w:r>
      </w:ins>
    </w:p>
    <w:p>
      <w:pPr>
        <w:pStyle w:val="Footnotesection"/>
        <w:rPr>
          <w:ins w:id="859" w:author="Master Repository Process" w:date="2021-07-31T18:45:00Z"/>
        </w:rPr>
      </w:pPr>
      <w:ins w:id="860" w:author="Master Repository Process" w:date="2021-07-31T18:45:00Z">
        <w:r>
          <w:tab/>
          <w:t>[Regulation 98J inserted in Gazette 3 Sep 2010 p. 4282.]</w:t>
        </w:r>
      </w:ins>
    </w:p>
    <w:p>
      <w:pPr>
        <w:pStyle w:val="Heading5"/>
        <w:rPr>
          <w:ins w:id="861" w:author="Master Repository Process" w:date="2021-07-31T18:45:00Z"/>
        </w:rPr>
      </w:pPr>
      <w:bookmarkStart w:id="862" w:name="_Toc271209047"/>
      <w:bookmarkStart w:id="863" w:name="_Toc271209909"/>
      <w:ins w:id="864" w:author="Master Repository Process" w:date="2021-07-31T18:45:00Z">
        <w:r>
          <w:rPr>
            <w:rStyle w:val="CharSectno"/>
          </w:rPr>
          <w:t>98K</w:t>
        </w:r>
        <w:r>
          <w:t>.</w:t>
        </w:r>
        <w:r>
          <w:tab/>
          <w:t>Rent for apiary sites</w:t>
        </w:r>
        <w:bookmarkEnd w:id="862"/>
        <w:bookmarkEnd w:id="863"/>
      </w:ins>
    </w:p>
    <w:p>
      <w:pPr>
        <w:pStyle w:val="Subsection"/>
        <w:rPr>
          <w:ins w:id="865" w:author="Master Repository Process" w:date="2021-07-31T18:45:00Z"/>
        </w:rPr>
      </w:pPr>
      <w:ins w:id="866" w:author="Master Repository Process" w:date="2021-07-31T18:45:00Z">
        <w:r>
          <w:tab/>
          <w:t>(1)</w:t>
        </w:r>
        <w:r>
          <w:tab/>
          <w:t>The holder of an apiary authority is to pay to the CEO annual rent for each apiary site at the rate set out in subregulation (2).</w:t>
        </w:r>
      </w:ins>
    </w:p>
    <w:p>
      <w:pPr>
        <w:pStyle w:val="Subsection"/>
        <w:rPr>
          <w:ins w:id="867" w:author="Master Repository Process" w:date="2021-07-31T18:45:00Z"/>
        </w:rPr>
      </w:pPr>
      <w:ins w:id="868" w:author="Master Repository Process" w:date="2021-07-31T18:45:00Z">
        <w:r>
          <w:tab/>
          <w:t>(2)</w:t>
        </w:r>
        <w:r>
          <w:tab/>
          <w:t xml:space="preserve">The rate of rent is — </w:t>
        </w:r>
      </w:ins>
    </w:p>
    <w:p>
      <w:pPr>
        <w:pStyle w:val="Indenta"/>
        <w:rPr>
          <w:ins w:id="869" w:author="Master Repository Process" w:date="2021-07-31T18:45:00Z"/>
        </w:rPr>
      </w:pPr>
      <w:ins w:id="870" w:author="Master Repository Process" w:date="2021-07-31T18:45:00Z">
        <w:r>
          <w:tab/>
          <w:t>(a)</w:t>
        </w:r>
        <w:r>
          <w:tab/>
          <w:t>if the site is in the South</w:t>
        </w:r>
        <w:r>
          <w:noBreakHyphen/>
          <w:t>west zone — $84; or</w:t>
        </w:r>
      </w:ins>
    </w:p>
    <w:p>
      <w:pPr>
        <w:pStyle w:val="Indenta"/>
        <w:rPr>
          <w:ins w:id="871" w:author="Master Repository Process" w:date="2021-07-31T18:45:00Z"/>
        </w:rPr>
      </w:pPr>
      <w:ins w:id="872" w:author="Master Repository Process" w:date="2021-07-31T18:45:00Z">
        <w:r>
          <w:tab/>
          <w:t>(b)</w:t>
        </w:r>
        <w:r>
          <w:tab/>
          <w:t>if the site is outside the South</w:t>
        </w:r>
        <w:r>
          <w:noBreakHyphen/>
          <w:t>west zone — $42.</w:t>
        </w:r>
      </w:ins>
    </w:p>
    <w:p>
      <w:pPr>
        <w:pStyle w:val="Subsection"/>
        <w:rPr>
          <w:ins w:id="873" w:author="Master Repository Process" w:date="2021-07-31T18:45:00Z"/>
        </w:rPr>
      </w:pPr>
      <w:ins w:id="874" w:author="Master Repository Process" w:date="2021-07-31T18:45:00Z">
        <w:r>
          <w:tab/>
          <w:t>(3)</w:t>
        </w:r>
        <w:r>
          <w:tab/>
          <w:t>The rent is payable annually in advance on the date on which the apiary authority takes effect and each anniversary of that date.</w:t>
        </w:r>
      </w:ins>
    </w:p>
    <w:p>
      <w:pPr>
        <w:pStyle w:val="Subsection"/>
        <w:rPr>
          <w:ins w:id="875" w:author="Master Repository Process" w:date="2021-07-31T18:45:00Z"/>
        </w:rPr>
      </w:pPr>
      <w:ins w:id="876" w:author="Master Repository Process" w:date="2021-07-31T18:45:00Z">
        <w:r>
          <w:tab/>
          <w:t>(4)</w:t>
        </w:r>
        <w:r>
          <w:tab/>
          <w:t>If an apiary authority is to be in force for part only of a year the rent payable for that year is reduced proportionately.</w:t>
        </w:r>
      </w:ins>
    </w:p>
    <w:p>
      <w:pPr>
        <w:pStyle w:val="Subsection"/>
        <w:rPr>
          <w:ins w:id="877" w:author="Master Repository Process" w:date="2021-07-31T18:45:00Z"/>
        </w:rPr>
      </w:pPr>
      <w:ins w:id="878" w:author="Master Repository Process" w:date="2021-07-31T18:45:00Z">
        <w:r>
          <w:tab/>
          <w:t>(5)</w:t>
        </w:r>
        <w:r>
          <w:tab/>
          <w:t>The rent is payable whether or not the apiarist places any hives on, or removes any forest produce from, the apiary site.</w:t>
        </w:r>
      </w:ins>
    </w:p>
    <w:p>
      <w:pPr>
        <w:pStyle w:val="Footnotesection"/>
      </w:pPr>
      <w:ins w:id="879" w:author="Master Repository Process" w:date="2021-07-31T18:45:00Z">
        <w:r>
          <w:tab/>
          <w:t>[Regulation 98K inserted in Gazette 3 Sep 2010 p. 4282</w:t>
        </w:r>
      </w:ins>
      <w:r>
        <w:t>.]</w:t>
      </w:r>
    </w:p>
    <w:p>
      <w:pPr>
        <w:pStyle w:val="Heading2"/>
      </w:pPr>
      <w:bookmarkStart w:id="880" w:name="_Toc271207549"/>
      <w:bookmarkStart w:id="881" w:name="_Toc271207725"/>
      <w:bookmarkStart w:id="882" w:name="_Toc271209048"/>
      <w:bookmarkStart w:id="883" w:name="_Toc271209382"/>
      <w:bookmarkStart w:id="884" w:name="_Toc271209558"/>
      <w:bookmarkStart w:id="885" w:name="_Toc271209734"/>
      <w:bookmarkStart w:id="886" w:name="_Toc271209910"/>
      <w:bookmarkStart w:id="887" w:name="_Toc524422999"/>
      <w:r>
        <w:rPr>
          <w:rStyle w:val="CharPartNo"/>
        </w:rPr>
        <w:t>Part 8</w:t>
      </w:r>
      <w:r>
        <w:rPr>
          <w:rStyle w:val="CharDivNo"/>
        </w:rPr>
        <w:t xml:space="preserve"> </w:t>
      </w:r>
      <w:r>
        <w:t>—</w:t>
      </w:r>
      <w:r>
        <w:rPr>
          <w:rStyle w:val="CharDivText"/>
        </w:rPr>
        <w:t xml:space="preserve"> </w:t>
      </w:r>
      <w:r>
        <w:rPr>
          <w:rStyle w:val="CharPartText"/>
        </w:rPr>
        <w:t>Fees</w:t>
      </w:r>
      <w:bookmarkEnd w:id="646"/>
      <w:bookmarkEnd w:id="647"/>
      <w:bookmarkEnd w:id="648"/>
      <w:bookmarkEnd w:id="649"/>
      <w:bookmarkEnd w:id="880"/>
      <w:bookmarkEnd w:id="881"/>
      <w:bookmarkEnd w:id="882"/>
      <w:bookmarkEnd w:id="883"/>
      <w:bookmarkEnd w:id="884"/>
      <w:bookmarkEnd w:id="885"/>
      <w:bookmarkEnd w:id="886"/>
      <w:bookmarkEnd w:id="887"/>
    </w:p>
    <w:p>
      <w:pPr>
        <w:pStyle w:val="Footnoteheading"/>
      </w:pPr>
      <w:r>
        <w:tab/>
        <w:t>[Heading amended in Gazette 29 Sep 2006 p. 4319.]</w:t>
      </w:r>
    </w:p>
    <w:p>
      <w:pPr>
        <w:pStyle w:val="Heading5"/>
        <w:spacing w:before="240"/>
        <w:rPr>
          <w:snapToGrid w:val="0"/>
        </w:rPr>
      </w:pPr>
      <w:bookmarkStart w:id="888" w:name="_Toc271209049"/>
      <w:bookmarkStart w:id="889" w:name="_Toc271209911"/>
      <w:bookmarkStart w:id="890" w:name="_Toc239150528"/>
      <w:bookmarkStart w:id="891" w:name="_Toc524423000"/>
      <w:r>
        <w:rPr>
          <w:rStyle w:val="CharSectno"/>
        </w:rPr>
        <w:t>99</w:t>
      </w:r>
      <w:r>
        <w:rPr>
          <w:snapToGrid w:val="0"/>
        </w:rPr>
        <w:t>.</w:t>
      </w:r>
      <w:r>
        <w:rPr>
          <w:snapToGrid w:val="0"/>
        </w:rPr>
        <w:tab/>
        <w:t>Entrance fees</w:t>
      </w:r>
      <w:r>
        <w:rPr>
          <w:b w:val="0"/>
        </w:rPr>
        <w:t xml:space="preserve"> </w:t>
      </w:r>
      <w:r>
        <w:t>for motor vehicles</w:t>
      </w:r>
      <w:bookmarkEnd w:id="888"/>
      <w:bookmarkEnd w:id="889"/>
      <w:bookmarkEnd w:id="890"/>
      <w:bookmarkEnd w:id="891"/>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pPr>
      <w:r>
        <w:tab/>
        <w:t>(a)</w:t>
      </w:r>
      <w:r>
        <w:tab/>
        <w:t>a vehicle that is fitted with seats for 8 or more adult persons, including the driver, and is being used to carry passengers for separate fares;</w:t>
      </w:r>
    </w:p>
    <w:p>
      <w:pPr>
        <w:pStyle w:val="Defpara"/>
      </w:pPr>
      <w:r>
        <w:tab/>
        <w:t>(b)</w:t>
      </w:r>
      <w:r>
        <w:tab/>
        <w:t xml:space="preserve">a taxi within the meaning of the </w:t>
      </w:r>
      <w:r>
        <w:rPr>
          <w:i/>
        </w:rPr>
        <w:t>Taxi Act 1994</w:t>
      </w:r>
      <w:r>
        <w:t>;</w:t>
      </w:r>
    </w:p>
    <w:p>
      <w:pPr>
        <w:pStyle w:val="Defpara"/>
      </w:pPr>
      <w:r>
        <w:tab/>
        <w:t>(c)</w:t>
      </w:r>
      <w:r>
        <w:tab/>
        <w:t>a vehicle that is licensed to stand or ply for the carriage of passengers for reward; or</w:t>
      </w:r>
    </w:p>
    <w:p>
      <w:pPr>
        <w:pStyle w:val="Defpara"/>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rPr>
          <w:snapToGrid w:val="0"/>
        </w:rPr>
      </w:pPr>
      <w:r>
        <w:rPr>
          <w:snapToGrid w:val="0"/>
        </w:rPr>
        <w:tab/>
        <w:t>(3)</w:t>
      </w:r>
      <w:r>
        <w:rPr>
          <w:snapToGrid w:val="0"/>
        </w:rPr>
        <w:tab/>
        <w:t xml:space="preserve">Fees are not payable under this regulation unless the </w:t>
      </w:r>
      <w:r>
        <w:t xml:space="preserve">CEO </w:t>
      </w:r>
      <w:r>
        <w:rPr>
          <w:snapToGrid w:val="0"/>
        </w:rPr>
        <w:t>has erected signs at or near the entrances to the area of CALM land — </w:t>
      </w:r>
    </w:p>
    <w:p>
      <w:pPr>
        <w:pStyle w:val="Indenta"/>
        <w:rPr>
          <w:snapToGrid w:val="0"/>
        </w:rPr>
      </w:pPr>
      <w:r>
        <w:rPr>
          <w:snapToGrid w:val="0"/>
        </w:rPr>
        <w:tab/>
        <w:t>(a)</w:t>
      </w:r>
      <w:r>
        <w:rPr>
          <w:snapToGrid w:val="0"/>
        </w:rPr>
        <w:tab/>
        <w:t>stating that fees are payable for entry to that area;</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(3)(c), a fee for which the person is liable under this regulation.</w:t>
      </w:r>
    </w:p>
    <w:p>
      <w:pPr>
        <w:pStyle w:val="Penstart"/>
        <w:rPr>
          <w:snapToGrid w:val="0"/>
        </w:rPr>
      </w:pPr>
      <w:r>
        <w:rPr>
          <w:snapToGrid w:val="0"/>
        </w:rPr>
        <w:tab/>
        <w:t>Penalty: $200.</w:t>
      </w:r>
    </w:p>
    <w:p>
      <w:pPr>
        <w:pStyle w:val="Subsection"/>
      </w:pPr>
      <w:r>
        <w:tab/>
        <w:t>(6)</w:t>
      </w:r>
      <w:r>
        <w:tab/>
        <w:t>This regulation does not apply to aircraft.</w:t>
      </w:r>
    </w:p>
    <w:p>
      <w:pPr>
        <w:pStyle w:val="Footnotesection"/>
      </w:pPr>
      <w:r>
        <w:tab/>
        <w:t>[Regulation 99 amended in Gazette 29 Sep 2006 p. 4320 and 4334.]</w:t>
      </w:r>
    </w:p>
    <w:p>
      <w:pPr>
        <w:pStyle w:val="Heading5"/>
      </w:pPr>
      <w:bookmarkStart w:id="892" w:name="_Toc271209050"/>
      <w:bookmarkStart w:id="893" w:name="_Toc271209912"/>
      <w:bookmarkStart w:id="894" w:name="_Toc239150529"/>
      <w:bookmarkStart w:id="895" w:name="_Toc524423001"/>
      <w:r>
        <w:rPr>
          <w:rStyle w:val="CharSectno"/>
        </w:rPr>
        <w:t>99A</w:t>
      </w:r>
      <w:r>
        <w:t>.</w:t>
      </w:r>
      <w:r>
        <w:tab/>
        <w:t>Landing fees for tour aircraft — Ibis Aerial Highway</w:t>
      </w:r>
      <w:bookmarkEnd w:id="892"/>
      <w:bookmarkEnd w:id="893"/>
      <w:bookmarkEnd w:id="894"/>
      <w:bookmarkEnd w:id="895"/>
    </w:p>
    <w:p>
      <w:pPr>
        <w:pStyle w:val="Subsection"/>
      </w:pPr>
      <w:r>
        <w:tab/>
        <w:t>(1)</w:t>
      </w:r>
      <w:r>
        <w:tab/>
        <w:t xml:space="preserve">The fee specified in Schedule 1 Division 1 item 7 is payable daily per occupant of a tour aircraft, other than the pilot and crew of the tour aircraft, that lands on an aircraft landing area that is — </w:t>
      </w:r>
    </w:p>
    <w:p>
      <w:pPr>
        <w:pStyle w:val="Indenta"/>
      </w:pPr>
      <w:r>
        <w:tab/>
        <w:t>(a)</w:t>
      </w:r>
      <w:r>
        <w:tab/>
        <w:t>in Windjana Gorge National Park; or</w:t>
      </w:r>
    </w:p>
    <w:p>
      <w:pPr>
        <w:pStyle w:val="Indenta"/>
      </w:pPr>
      <w:r>
        <w:tab/>
        <w:t>(b)</w:t>
      </w:r>
      <w:r>
        <w:tab/>
        <w:t>at Bell Creek Homestead; or</w:t>
      </w:r>
    </w:p>
    <w:p>
      <w:pPr>
        <w:pStyle w:val="Indenta"/>
      </w:pPr>
      <w:r>
        <w:tab/>
        <w:t>(c)</w:t>
      </w:r>
      <w:r>
        <w:tab/>
        <w:t>at Mt. Hart Homestead.</w:t>
      </w:r>
    </w:p>
    <w:p>
      <w:pPr>
        <w:pStyle w:val="Subsection"/>
      </w:pPr>
      <w:r>
        <w:tab/>
        <w:t>(2)</w:t>
      </w:r>
      <w:r>
        <w:tab/>
        <w:t>The operator of the aircraft is liable to pay the fee for every occupant of the aircraft.</w:t>
      </w:r>
    </w:p>
    <w:p>
      <w:pPr>
        <w:pStyle w:val="Subsection"/>
      </w:pPr>
      <w:r>
        <w:tab/>
        <w:t>(3)</w:t>
      </w:r>
      <w:r>
        <w:tab/>
        <w:t>The operator must pay the fee for which the operator is liable.</w:t>
      </w:r>
    </w:p>
    <w:p>
      <w:pPr>
        <w:pStyle w:val="Penstart"/>
      </w:pPr>
      <w:r>
        <w:tab/>
        <w:t>Penalty: $1 000.</w:t>
      </w:r>
    </w:p>
    <w:p>
      <w:pPr>
        <w:pStyle w:val="Subsection"/>
      </w:pPr>
      <w:r>
        <w:tab/>
        <w:t>(4)</w:t>
      </w:r>
      <w:r>
        <w:tab/>
        <w:t xml:space="preserve">In this regulation and Schedule 1 — </w:t>
      </w:r>
    </w:p>
    <w:p>
      <w:pPr>
        <w:pStyle w:val="Defstart"/>
      </w:pPr>
      <w:r>
        <w:rPr>
          <w:b/>
        </w:rPr>
        <w:tab/>
      </w:r>
      <w:r>
        <w:rPr>
          <w:rStyle w:val="CharDefText"/>
        </w:rPr>
        <w:t>tour aircraft</w:t>
      </w:r>
      <w:r>
        <w:t xml:space="preserve"> means an aircraft operating under a commercial operations licence.</w:t>
      </w:r>
    </w:p>
    <w:p>
      <w:pPr>
        <w:pStyle w:val="Footnotesection"/>
      </w:pPr>
      <w:r>
        <w:tab/>
        <w:t>[Regulation 99A inserted in Gazette 29 Sep 2006 p. 4320</w:t>
      </w:r>
      <w:r>
        <w:noBreakHyphen/>
        <w:t>1.]</w:t>
      </w:r>
    </w:p>
    <w:p>
      <w:pPr>
        <w:pStyle w:val="Heading5"/>
        <w:rPr>
          <w:snapToGrid w:val="0"/>
        </w:rPr>
      </w:pPr>
      <w:bookmarkStart w:id="896" w:name="_Toc271209051"/>
      <w:bookmarkStart w:id="897" w:name="_Toc271209913"/>
      <w:bookmarkStart w:id="898" w:name="_Toc239150530"/>
      <w:bookmarkStart w:id="899" w:name="_Toc524423002"/>
      <w:r>
        <w:rPr>
          <w:rStyle w:val="CharSectno"/>
        </w:rPr>
        <w:t>100</w:t>
      </w:r>
      <w:r>
        <w:rPr>
          <w:snapToGrid w:val="0"/>
        </w:rPr>
        <w:t>.</w:t>
      </w:r>
      <w:r>
        <w:rPr>
          <w:snapToGrid w:val="0"/>
        </w:rPr>
        <w:tab/>
        <w:t>Entrance fees for Tree Top Walk</w:t>
      </w:r>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 amended in Gazette 29 Sep 2006 p. 4334.]</w:t>
      </w:r>
    </w:p>
    <w:p>
      <w:pPr>
        <w:pStyle w:val="Heading5"/>
      </w:pPr>
      <w:bookmarkStart w:id="900" w:name="_Toc271209052"/>
      <w:bookmarkStart w:id="901" w:name="_Toc271209914"/>
      <w:bookmarkStart w:id="902" w:name="_Toc239150531"/>
      <w:bookmarkStart w:id="903" w:name="_Toc524423003"/>
      <w:r>
        <w:rPr>
          <w:rStyle w:val="CharSectno"/>
        </w:rPr>
        <w:t>100A</w:t>
      </w:r>
      <w:r>
        <w:t>.</w:t>
      </w:r>
      <w:r>
        <w:tab/>
        <w:t>Entrance fees for Crystal Cave and Calgardup and Giants Caves</w:t>
      </w:r>
      <w:bookmarkEnd w:id="900"/>
      <w:bookmarkEnd w:id="901"/>
      <w:bookmarkEnd w:id="902"/>
      <w:bookmarkEnd w:id="903"/>
    </w:p>
    <w:p>
      <w:pPr>
        <w:pStyle w:val="Subsection"/>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rPr>
          <w:snapToGrid w:val="0"/>
        </w:rPr>
      </w:pPr>
      <w:r>
        <w:rPr>
          <w:snapToGrid w:val="0"/>
        </w:rPr>
        <w:tab/>
        <w:t>(3)</w:t>
      </w:r>
      <w:r>
        <w:rPr>
          <w:snapToGrid w:val="0"/>
        </w:rPr>
        <w:tab/>
        <w:t>The CEO is to erect signs at the entrance to each of the caves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100A inserted in Gazette 29 Sep 2006 p. 4321</w:t>
      </w:r>
      <w:r>
        <w:noBreakHyphen/>
        <w:t>2.]</w:t>
      </w:r>
    </w:p>
    <w:p>
      <w:pPr>
        <w:pStyle w:val="Heading5"/>
        <w:rPr>
          <w:snapToGrid w:val="0"/>
        </w:rPr>
      </w:pPr>
      <w:bookmarkStart w:id="904" w:name="_Toc271209053"/>
      <w:bookmarkStart w:id="905" w:name="_Toc271209915"/>
      <w:bookmarkStart w:id="906" w:name="_Toc239150532"/>
      <w:bookmarkStart w:id="907" w:name="_Toc524423004"/>
      <w:r>
        <w:rPr>
          <w:rStyle w:val="CharSectno"/>
        </w:rPr>
        <w:t>101</w:t>
      </w:r>
      <w:r>
        <w:rPr>
          <w:snapToGrid w:val="0"/>
        </w:rPr>
        <w:t>.</w:t>
      </w:r>
      <w:r>
        <w:rPr>
          <w:snapToGrid w:val="0"/>
        </w:rPr>
        <w:tab/>
        <w:t>Fees for Geikie Gorge National Park Boat Trip</w:t>
      </w:r>
      <w:bookmarkEnd w:id="904"/>
      <w:bookmarkEnd w:id="905"/>
      <w:bookmarkEnd w:id="906"/>
      <w:bookmarkEnd w:id="907"/>
      <w:r>
        <w:rPr>
          <w:snapToGrid w:val="0"/>
        </w:rPr>
        <w:t xml:space="preserve"> </w:t>
      </w:r>
    </w:p>
    <w:p>
      <w:pPr>
        <w:pStyle w:val="Subsection"/>
        <w:rPr>
          <w:snapToGrid w:val="0"/>
        </w:rPr>
      </w:pPr>
      <w:r>
        <w:rPr>
          <w:snapToGrid w:val="0"/>
        </w:rPr>
        <w:tab/>
      </w:r>
      <w:r>
        <w:rPr>
          <w:snapToGrid w:val="0"/>
        </w:rPr>
        <w:tab/>
        <w:t>The fees for the Geikie Gorge National Park Boat Trip are as prescribed in Schedule 1 Division 4.</w:t>
      </w:r>
    </w:p>
    <w:p>
      <w:pPr>
        <w:pStyle w:val="Heading5"/>
        <w:rPr>
          <w:snapToGrid w:val="0"/>
        </w:rPr>
      </w:pPr>
      <w:bookmarkStart w:id="908" w:name="_Toc271209054"/>
      <w:bookmarkStart w:id="909" w:name="_Toc271209916"/>
      <w:bookmarkStart w:id="910" w:name="_Toc239150533"/>
      <w:bookmarkStart w:id="911" w:name="_Toc524423005"/>
      <w:r>
        <w:rPr>
          <w:rStyle w:val="CharSectno"/>
        </w:rPr>
        <w:t>102</w:t>
      </w:r>
      <w:r>
        <w:rPr>
          <w:snapToGrid w:val="0"/>
        </w:rPr>
        <w:t>.</w:t>
      </w:r>
      <w:r>
        <w:rPr>
          <w:snapToGrid w:val="0"/>
        </w:rPr>
        <w:tab/>
        <w:t>Fees for entry on horseback</w:t>
      </w:r>
      <w:bookmarkEnd w:id="908"/>
      <w:bookmarkEnd w:id="909"/>
      <w:bookmarkEnd w:id="910"/>
      <w:bookmarkEnd w:id="911"/>
    </w:p>
    <w:p>
      <w:pPr>
        <w:pStyle w:val="Subsection"/>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rPr>
          <w:snapToGrid w:val="0"/>
        </w:rPr>
      </w:pPr>
      <w:r>
        <w:rPr>
          <w:snapToGrid w:val="0"/>
        </w:rPr>
        <w:tab/>
        <w:t>(a)</w:t>
      </w:r>
      <w:r>
        <w:rPr>
          <w:snapToGrid w:val="0"/>
        </w:rPr>
        <w:tab/>
        <w:t>in the case of a daily entrance fee, to an authorised officer; and</w:t>
      </w:r>
    </w:p>
    <w:p>
      <w:pPr>
        <w:pStyle w:val="Indenta"/>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rPr>
          <w:snapToGrid w:val="0"/>
        </w:rPr>
      </w:pPr>
      <w:r>
        <w:rPr>
          <w:snapToGrid w:val="0"/>
        </w:rPr>
        <w:tab/>
      </w:r>
      <w:r>
        <w:rPr>
          <w:snapToGrid w:val="0"/>
        </w:rPr>
        <w:tab/>
        <w:t>before entering that area.</w:t>
      </w:r>
    </w:p>
    <w:p>
      <w:pPr>
        <w:pStyle w:val="Penstart"/>
        <w:rPr>
          <w:snapToGrid w:val="0"/>
        </w:rPr>
      </w:pPr>
      <w:r>
        <w:rPr>
          <w:snapToGrid w:val="0"/>
        </w:rPr>
        <w:tab/>
        <w:t>Penalty: $200.</w:t>
      </w:r>
    </w:p>
    <w:p>
      <w:pPr>
        <w:pStyle w:val="Footnotesection"/>
      </w:pPr>
      <w:r>
        <w:tab/>
        <w:t>[Regulation 102 amended in Gazette 29 Sep 2006 p. 4334.]</w:t>
      </w:r>
    </w:p>
    <w:p>
      <w:pPr>
        <w:pStyle w:val="Heading5"/>
      </w:pPr>
      <w:bookmarkStart w:id="912" w:name="_Toc271209055"/>
      <w:bookmarkStart w:id="913" w:name="_Toc271209917"/>
      <w:bookmarkStart w:id="914" w:name="_Toc239150534"/>
      <w:bookmarkStart w:id="915" w:name="_Toc524423006"/>
      <w:r>
        <w:rPr>
          <w:rStyle w:val="CharSectno"/>
        </w:rPr>
        <w:t>102A</w:t>
      </w:r>
      <w:r>
        <w:t>.</w:t>
      </w:r>
      <w:r>
        <w:tab/>
        <w:t>Abseiling fee</w:t>
      </w:r>
      <w:bookmarkEnd w:id="912"/>
      <w:bookmarkEnd w:id="913"/>
      <w:bookmarkEnd w:id="914"/>
      <w:bookmarkEnd w:id="915"/>
    </w:p>
    <w:p>
      <w:pPr>
        <w:pStyle w:val="Subsection"/>
        <w:rPr>
          <w:snapToGrid w:val="0"/>
        </w:rPr>
      </w:pPr>
      <w:r>
        <w:rPr>
          <w:snapToGrid w:val="0"/>
        </w:rPr>
        <w:tab/>
        <w:t>(1)</w:t>
      </w:r>
      <w:r>
        <w:rPr>
          <w:snapToGrid w:val="0"/>
        </w:rPr>
        <w:tab/>
        <w:t>Subject to subregulation (2), a person who intends to abseil in a designated abseiling area during a particular half</w:t>
      </w:r>
      <w:r>
        <w:rPr>
          <w:snapToGrid w:val="0"/>
        </w:rPr>
        <w:noBreakHyphen/>
        <w:t>day, or day in the case of Willyabrup Cliffs, is liable to pay the relevant fee specified in Schedule 1 Division 9 in respect of the half</w:t>
      </w:r>
      <w:r>
        <w:rPr>
          <w:snapToGrid w:val="0"/>
        </w:rPr>
        <w:noBreakHyphen/>
        <w:t>day or day.</w:t>
      </w:r>
    </w:p>
    <w:p>
      <w:pPr>
        <w:pStyle w:val="Subsection"/>
        <w:rPr>
          <w:snapToGrid w:val="0"/>
        </w:rPr>
      </w:pPr>
      <w:r>
        <w:rPr>
          <w:snapToGrid w:val="0"/>
        </w:rPr>
        <w:tab/>
        <w:t>(2)</w:t>
      </w:r>
      <w:r>
        <w:rPr>
          <w:snapToGrid w:val="0"/>
        </w:rPr>
        <w:tab/>
        <w:t>Fees are not payable under this regulation unless the CEO has erected a sign at the abseiling area — </w:t>
      </w:r>
    </w:p>
    <w:p>
      <w:pPr>
        <w:pStyle w:val="Indenta"/>
        <w:rPr>
          <w:snapToGrid w:val="0"/>
        </w:rPr>
      </w:pPr>
      <w:r>
        <w:rPr>
          <w:snapToGrid w:val="0"/>
        </w:rPr>
        <w:tab/>
        <w:t>(a)</w:t>
      </w:r>
      <w:r>
        <w:rPr>
          <w:snapToGrid w:val="0"/>
        </w:rPr>
        <w:tab/>
        <w:t>stating that fees are payable for abseiling;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 $200.</w:t>
      </w:r>
    </w:p>
    <w:p>
      <w:pPr>
        <w:pStyle w:val="Subsection"/>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Subsection"/>
      </w:pPr>
      <w:r>
        <w:tab/>
        <w:t>(5)</w:t>
      </w:r>
      <w:r>
        <w:tab/>
        <w:t xml:space="preserve">In this regulation — </w:t>
      </w:r>
    </w:p>
    <w:p>
      <w:pPr>
        <w:pStyle w:val="Defstart"/>
      </w:pPr>
      <w:r>
        <w:rPr>
          <w:b/>
        </w:rPr>
        <w:tab/>
      </w:r>
      <w:r>
        <w:rPr>
          <w:rStyle w:val="CharDefText"/>
        </w:rPr>
        <w:t>designated abseiling area</w:t>
      </w:r>
      <w:r>
        <w:t xml:space="preserve"> means an area designated under regulation 6 for the purposes of regulation 33.</w:t>
      </w:r>
    </w:p>
    <w:p>
      <w:pPr>
        <w:pStyle w:val="Footnotesection"/>
      </w:pPr>
      <w:r>
        <w:tab/>
        <w:t>[Regulation 102A inserted in Gazette 29 Sep 2006 p. 4322</w:t>
      </w:r>
      <w:r>
        <w:noBreakHyphen/>
        <w:t>3.]</w:t>
      </w:r>
    </w:p>
    <w:p>
      <w:pPr>
        <w:pStyle w:val="Heading5"/>
        <w:spacing w:before="180"/>
        <w:rPr>
          <w:snapToGrid w:val="0"/>
        </w:rPr>
      </w:pPr>
      <w:bookmarkStart w:id="916" w:name="_Toc271209056"/>
      <w:bookmarkStart w:id="917" w:name="_Toc271209918"/>
      <w:bookmarkStart w:id="918" w:name="_Toc239150535"/>
      <w:bookmarkStart w:id="919" w:name="_Toc524423007"/>
      <w:r>
        <w:rPr>
          <w:rStyle w:val="CharSectno"/>
        </w:rPr>
        <w:t>103</w:t>
      </w:r>
      <w:r>
        <w:rPr>
          <w:snapToGrid w:val="0"/>
        </w:rPr>
        <w:t>.</w:t>
      </w:r>
      <w:r>
        <w:rPr>
          <w:snapToGrid w:val="0"/>
        </w:rPr>
        <w:tab/>
        <w:t>Camping fees</w:t>
      </w:r>
      <w:bookmarkEnd w:id="916"/>
      <w:bookmarkEnd w:id="917"/>
      <w:bookmarkEnd w:id="918"/>
      <w:bookmarkEnd w:id="919"/>
      <w:r>
        <w:rPr>
          <w:snapToGrid w:val="0"/>
        </w:rPr>
        <w:t xml:space="preserve"> </w:t>
      </w:r>
    </w:p>
    <w:p>
      <w:pPr>
        <w:pStyle w:val="Subsection"/>
        <w:spacing w:before="12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2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2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rPr>
          <w:snapToGrid w:val="0"/>
        </w:rPr>
      </w:pPr>
      <w:r>
        <w:rPr>
          <w:snapToGrid w:val="0"/>
        </w:rPr>
        <w:tab/>
        <w:t>(a)</w:t>
      </w:r>
      <w:r>
        <w:rPr>
          <w:snapToGrid w:val="0"/>
        </w:rPr>
        <w:tab/>
        <w:t>stating that fees are payable for camping;</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 $200.</w:t>
      </w:r>
    </w:p>
    <w:p>
      <w:pPr>
        <w:pStyle w:val="Footnotesection"/>
      </w:pPr>
      <w:r>
        <w:tab/>
        <w:t>[Regulation 103 amended in Gazette 29 Sep 2006 p. 4334.]</w:t>
      </w:r>
    </w:p>
    <w:p>
      <w:pPr>
        <w:pStyle w:val="Heading5"/>
      </w:pPr>
      <w:bookmarkStart w:id="920" w:name="_Toc271209057"/>
      <w:bookmarkStart w:id="921" w:name="_Toc271209919"/>
      <w:bookmarkStart w:id="922" w:name="_Toc239150536"/>
      <w:bookmarkStart w:id="923" w:name="_Toc524423008"/>
      <w:r>
        <w:rPr>
          <w:rStyle w:val="CharSectno"/>
        </w:rPr>
        <w:t>103A</w:t>
      </w:r>
      <w:r>
        <w:t>.</w:t>
      </w:r>
      <w:r>
        <w:tab/>
        <w:t>Companion of Companion Card holder</w:t>
      </w:r>
      <w:bookmarkEnd w:id="920"/>
      <w:bookmarkEnd w:id="921"/>
      <w:bookmarkEnd w:id="922"/>
      <w:bookmarkEnd w:id="923"/>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924" w:name="_Toc271209058"/>
      <w:bookmarkStart w:id="925" w:name="_Toc271209920"/>
      <w:bookmarkStart w:id="926" w:name="_Toc239150537"/>
      <w:bookmarkStart w:id="927" w:name="_Toc524423009"/>
      <w:r>
        <w:rPr>
          <w:rStyle w:val="CharSectno"/>
        </w:rPr>
        <w:t>104</w:t>
      </w:r>
      <w:r>
        <w:rPr>
          <w:snapToGrid w:val="0"/>
        </w:rPr>
        <w:t>.</w:t>
      </w:r>
      <w:r>
        <w:rPr>
          <w:snapToGrid w:val="0"/>
        </w:rPr>
        <w:tab/>
        <w:t>Fees may be waived or reduced</w:t>
      </w:r>
      <w:bookmarkEnd w:id="924"/>
      <w:bookmarkEnd w:id="925"/>
      <w:bookmarkEnd w:id="926"/>
      <w:bookmarkEnd w:id="927"/>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928" w:name="_Toc189456624"/>
      <w:bookmarkStart w:id="929" w:name="_Toc223500427"/>
      <w:bookmarkStart w:id="930" w:name="_Toc223500589"/>
      <w:bookmarkStart w:id="931" w:name="_Toc239150538"/>
      <w:bookmarkStart w:id="932" w:name="_Toc271207560"/>
      <w:bookmarkStart w:id="933" w:name="_Toc271207736"/>
      <w:bookmarkStart w:id="934" w:name="_Toc271209059"/>
      <w:bookmarkStart w:id="935" w:name="_Toc271209393"/>
      <w:bookmarkStart w:id="936" w:name="_Toc271209569"/>
      <w:bookmarkStart w:id="937" w:name="_Toc271209745"/>
      <w:bookmarkStart w:id="938" w:name="_Toc271209921"/>
      <w:bookmarkStart w:id="939" w:name="_Toc524423010"/>
      <w:r>
        <w:rPr>
          <w:rStyle w:val="CharPartNo"/>
        </w:rPr>
        <w:t>Part 9</w:t>
      </w:r>
      <w:r>
        <w:rPr>
          <w:b w:val="0"/>
        </w:rPr>
        <w:t> </w:t>
      </w:r>
      <w:r>
        <w:t>—</w:t>
      </w:r>
      <w:r>
        <w:rPr>
          <w:b w:val="0"/>
        </w:rPr>
        <w:t> </w:t>
      </w:r>
      <w:r>
        <w:rPr>
          <w:rStyle w:val="CharPartText"/>
        </w:rPr>
        <w:t>Miscellaneous</w:t>
      </w:r>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pPr>
      <w:r>
        <w:tab/>
        <w:t>[Heading inserted in Gazette 29 Sep 2006 p. 4323.]</w:t>
      </w:r>
    </w:p>
    <w:p>
      <w:pPr>
        <w:pStyle w:val="Heading5"/>
        <w:rPr>
          <w:snapToGrid w:val="0"/>
        </w:rPr>
      </w:pPr>
      <w:bookmarkStart w:id="940" w:name="_Toc271209060"/>
      <w:bookmarkStart w:id="941" w:name="_Toc271209922"/>
      <w:bookmarkStart w:id="942" w:name="_Toc239150539"/>
      <w:bookmarkStart w:id="943" w:name="_Toc524423011"/>
      <w:r>
        <w:rPr>
          <w:rStyle w:val="CharSectno"/>
        </w:rPr>
        <w:t>105</w:t>
      </w:r>
      <w:r>
        <w:rPr>
          <w:snapToGrid w:val="0"/>
        </w:rPr>
        <w:t>.</w:t>
      </w:r>
      <w:r>
        <w:rPr>
          <w:snapToGrid w:val="0"/>
        </w:rPr>
        <w:tab/>
        <w:t>Organised events and meetings</w:t>
      </w:r>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 $2 000.</w:t>
      </w:r>
    </w:p>
    <w:p>
      <w:pPr>
        <w:pStyle w:val="Subsection"/>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in Gazette 29 Sep 2006 p. 4323</w:t>
      </w:r>
      <w:r>
        <w:noBreakHyphen/>
        <w:t>4.]</w:t>
      </w:r>
    </w:p>
    <w:p>
      <w:pPr>
        <w:pStyle w:val="Heading5"/>
        <w:rPr>
          <w:snapToGrid w:val="0"/>
        </w:rPr>
      </w:pPr>
      <w:bookmarkStart w:id="944" w:name="_Toc271209061"/>
      <w:bookmarkStart w:id="945" w:name="_Toc271209923"/>
      <w:bookmarkStart w:id="946" w:name="_Toc239150540"/>
      <w:bookmarkStart w:id="947" w:name="_Toc524423012"/>
      <w:r>
        <w:rPr>
          <w:rStyle w:val="CharSectno"/>
        </w:rPr>
        <w:t>106</w:t>
      </w:r>
      <w:r>
        <w:rPr>
          <w:snapToGrid w:val="0"/>
        </w:rPr>
        <w:t>.</w:t>
      </w:r>
      <w:r>
        <w:rPr>
          <w:snapToGrid w:val="0"/>
        </w:rPr>
        <w:tab/>
        <w:t>Unlawful commercial operations</w:t>
      </w:r>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 $2 000.</w:t>
      </w:r>
    </w:p>
    <w:p>
      <w:pPr>
        <w:pStyle w:val="Subsection"/>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$2 000.</w:t>
      </w:r>
    </w:p>
    <w:p>
      <w:pPr>
        <w:pStyle w:val="Footnotesection"/>
      </w:pPr>
      <w:r>
        <w:tab/>
        <w:t>[Regulation 106 amended in Gazette 29 Sep 2006 p. 4324.]</w:t>
      </w:r>
    </w:p>
    <w:p>
      <w:pPr>
        <w:pStyle w:val="Heading5"/>
      </w:pPr>
      <w:bookmarkStart w:id="948" w:name="_Toc271209062"/>
      <w:bookmarkStart w:id="949" w:name="_Toc271209924"/>
      <w:bookmarkStart w:id="950" w:name="_Toc239150541"/>
      <w:bookmarkStart w:id="951" w:name="_Toc524423013"/>
      <w:r>
        <w:rPr>
          <w:rStyle w:val="CharSectno"/>
        </w:rPr>
        <w:t>107</w:t>
      </w:r>
      <w:r>
        <w:t>.</w:t>
      </w:r>
      <w:r>
        <w:tab/>
        <w:t>Distribution of printed matter and advertising material</w:t>
      </w:r>
      <w:bookmarkEnd w:id="948"/>
      <w:bookmarkEnd w:id="949"/>
      <w:bookmarkEnd w:id="950"/>
      <w:bookmarkEnd w:id="951"/>
    </w:p>
    <w:p>
      <w:pPr>
        <w:pStyle w:val="Subsection"/>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pPr>
      <w:r>
        <w:tab/>
        <w:t>(b)</w:t>
      </w:r>
      <w:r>
        <w:tab/>
        <w:t>distribute any printed or written matter for a commercial purpose; or</w:t>
      </w:r>
    </w:p>
    <w:p>
      <w:pPr>
        <w:pStyle w:val="Indenta"/>
      </w:pPr>
      <w:r>
        <w:tab/>
        <w:t>(c)</w:t>
      </w:r>
      <w:r>
        <w:tab/>
        <w:t>advertise or promote any product, service or event for a commercial purpose.</w:t>
      </w:r>
    </w:p>
    <w:p>
      <w:pPr>
        <w:pStyle w:val="Penstart"/>
      </w:pPr>
      <w:r>
        <w:tab/>
        <w:t>Penalty: $500.</w:t>
      </w:r>
    </w:p>
    <w:p>
      <w:pPr>
        <w:pStyle w:val="Footnotesection"/>
      </w:pPr>
      <w:r>
        <w:tab/>
        <w:t>[Regulation 107 inserted in Gazette 29 Sep 2006 p. 4324</w:t>
      </w:r>
      <w:r>
        <w:noBreakHyphen/>
        <w:t>5.]</w:t>
      </w:r>
    </w:p>
    <w:p>
      <w:pPr>
        <w:pStyle w:val="Heading5"/>
        <w:rPr>
          <w:snapToGrid w:val="0"/>
        </w:rPr>
      </w:pPr>
      <w:bookmarkStart w:id="952" w:name="_Toc271209063"/>
      <w:bookmarkStart w:id="953" w:name="_Toc271209925"/>
      <w:bookmarkStart w:id="954" w:name="_Toc239150542"/>
      <w:bookmarkStart w:id="955" w:name="_Toc524423014"/>
      <w:r>
        <w:rPr>
          <w:rStyle w:val="CharSectno"/>
        </w:rPr>
        <w:t>108</w:t>
      </w:r>
      <w:r>
        <w:rPr>
          <w:snapToGrid w:val="0"/>
        </w:rPr>
        <w:t>.</w:t>
      </w:r>
      <w:r>
        <w:rPr>
          <w:snapToGrid w:val="0"/>
        </w:rPr>
        <w:tab/>
        <w:t>Photography for commercial purposes</w:t>
      </w:r>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A person must not, without lawful authority, take — </w:t>
      </w:r>
    </w:p>
    <w:p>
      <w:pPr>
        <w:pStyle w:val="Indenta"/>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 $500.</w:t>
      </w:r>
    </w:p>
    <w:p>
      <w:pPr>
        <w:pStyle w:val="Footnotesection"/>
      </w:pPr>
      <w:r>
        <w:tab/>
        <w:t>[Regulation 108 amended in Gazette 29 Sep 2006 p. 4325.]</w:t>
      </w:r>
    </w:p>
    <w:p>
      <w:pPr>
        <w:pStyle w:val="Heading5"/>
        <w:rPr>
          <w:snapToGrid w:val="0"/>
        </w:rPr>
      </w:pPr>
      <w:bookmarkStart w:id="956" w:name="_Toc271209064"/>
      <w:bookmarkStart w:id="957" w:name="_Toc271209926"/>
      <w:bookmarkStart w:id="958" w:name="_Toc239150543"/>
      <w:bookmarkStart w:id="959" w:name="_Toc524423015"/>
      <w:r>
        <w:rPr>
          <w:rStyle w:val="CharSectno"/>
        </w:rPr>
        <w:t>109</w:t>
      </w:r>
      <w:r>
        <w:rPr>
          <w:snapToGrid w:val="0"/>
        </w:rPr>
        <w:t>.</w:t>
      </w:r>
      <w:r>
        <w:rPr>
          <w:snapToGrid w:val="0"/>
        </w:rPr>
        <w:tab/>
        <w:t>Production of licences etc.</w:t>
      </w:r>
      <w:bookmarkEnd w:id="956"/>
      <w:bookmarkEnd w:id="957"/>
      <w:bookmarkEnd w:id="958"/>
      <w:bookmarkEnd w:id="959"/>
      <w:r>
        <w:rPr>
          <w:snapToGrid w:val="0"/>
        </w:rPr>
        <w:t xml:space="preserve"> </w:t>
      </w:r>
    </w:p>
    <w:p>
      <w:pPr>
        <w:pStyle w:val="Subsection"/>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pPr>
      <w:r>
        <w:tab/>
        <w:t>(a)</w:t>
      </w:r>
      <w:r>
        <w:tab/>
        <w:t>if it is a condition of the licence, permit, authorisation or pass that the holder produce the licence, permit, authorisation or pass upon demand of an authorised officer — at the time of the request; or</w:t>
      </w:r>
    </w:p>
    <w:p>
      <w:pPr>
        <w:pStyle w:val="Indenta"/>
        <w:rPr>
          <w:snapToGrid w:val="0"/>
        </w:rPr>
      </w:pPr>
      <w:r>
        <w:tab/>
        <w:t>(b)</w:t>
      </w:r>
      <w:r>
        <w:tab/>
        <w:t>if paragraph (a) does not apply — as soon as is practicable.</w:t>
      </w:r>
    </w:p>
    <w:p>
      <w:pPr>
        <w:pStyle w:val="Penstart"/>
        <w:rPr>
          <w:snapToGrid w:val="0"/>
        </w:rPr>
      </w:pPr>
      <w:r>
        <w:rPr>
          <w:snapToGrid w:val="0"/>
        </w:rPr>
        <w:tab/>
        <w:t>Penalty: $1 000.</w:t>
      </w:r>
    </w:p>
    <w:p>
      <w:pPr>
        <w:pStyle w:val="Footnotesection"/>
      </w:pPr>
      <w:r>
        <w:tab/>
        <w:t>[Regulation 109 amended in Gazette 29 Sep 2006 p. 4325.]</w:t>
      </w:r>
    </w:p>
    <w:p>
      <w:pPr>
        <w:pStyle w:val="Heading5"/>
        <w:rPr>
          <w:snapToGrid w:val="0"/>
        </w:rPr>
      </w:pPr>
      <w:bookmarkStart w:id="960" w:name="_Toc271209065"/>
      <w:bookmarkStart w:id="961" w:name="_Toc271209927"/>
      <w:bookmarkStart w:id="962" w:name="_Toc239150544"/>
      <w:bookmarkStart w:id="963" w:name="_Toc524423016"/>
      <w:r>
        <w:rPr>
          <w:rStyle w:val="CharSectno"/>
        </w:rPr>
        <w:t>110</w:t>
      </w:r>
      <w:r>
        <w:rPr>
          <w:snapToGrid w:val="0"/>
        </w:rPr>
        <w:t>.</w:t>
      </w:r>
      <w:r>
        <w:rPr>
          <w:snapToGrid w:val="0"/>
        </w:rPr>
        <w:tab/>
        <w:t>False or misleading information</w:t>
      </w:r>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$1 000.</w:t>
      </w:r>
    </w:p>
    <w:p>
      <w:pPr>
        <w:pStyle w:val="Heading5"/>
        <w:rPr>
          <w:snapToGrid w:val="0"/>
        </w:rPr>
      </w:pPr>
      <w:bookmarkStart w:id="964" w:name="_Toc271209066"/>
      <w:bookmarkStart w:id="965" w:name="_Toc271209928"/>
      <w:bookmarkStart w:id="966" w:name="_Toc239150545"/>
      <w:bookmarkStart w:id="967" w:name="_Toc524423017"/>
      <w:r>
        <w:rPr>
          <w:rStyle w:val="CharSectno"/>
        </w:rPr>
        <w:t>111</w:t>
      </w:r>
      <w:r>
        <w:rPr>
          <w:snapToGrid w:val="0"/>
        </w:rPr>
        <w:t>.</w:t>
      </w:r>
      <w:r>
        <w:rPr>
          <w:snapToGrid w:val="0"/>
        </w:rPr>
        <w:tab/>
        <w:t>Signs — presumption</w:t>
      </w:r>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968" w:name="_Toc271209067"/>
      <w:bookmarkStart w:id="969" w:name="_Toc271209929"/>
      <w:bookmarkStart w:id="970" w:name="_Toc239150546"/>
      <w:bookmarkStart w:id="971" w:name="_Toc524423018"/>
      <w:r>
        <w:rPr>
          <w:rStyle w:val="CharSectno"/>
        </w:rPr>
        <w:t>111A</w:t>
      </w:r>
      <w:r>
        <w:t>.</w:t>
      </w:r>
      <w:r>
        <w:tab/>
        <w:t>Reasons for decisions</w:t>
      </w:r>
      <w:bookmarkEnd w:id="968"/>
      <w:bookmarkEnd w:id="969"/>
      <w:bookmarkEnd w:id="970"/>
      <w:bookmarkEnd w:id="971"/>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972" w:name="_Toc271209068"/>
      <w:bookmarkStart w:id="973" w:name="_Toc271209930"/>
      <w:bookmarkStart w:id="974" w:name="_Toc239150547"/>
      <w:bookmarkStart w:id="975" w:name="_Toc524423019"/>
      <w:r>
        <w:rPr>
          <w:rStyle w:val="CharSectno"/>
        </w:rPr>
        <w:t>112</w:t>
      </w:r>
      <w:r>
        <w:rPr>
          <w:snapToGrid w:val="0"/>
        </w:rPr>
        <w:t>.</w:t>
      </w:r>
      <w:r>
        <w:rPr>
          <w:snapToGrid w:val="0"/>
        </w:rPr>
        <w:tab/>
        <w:t>Infringement notices</w:t>
      </w:r>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976" w:name="_Toc271209069"/>
      <w:bookmarkStart w:id="977" w:name="_Toc271209931"/>
      <w:bookmarkStart w:id="978" w:name="_Toc239150548"/>
      <w:bookmarkStart w:id="979" w:name="_Toc524423020"/>
      <w:r>
        <w:rPr>
          <w:rStyle w:val="CharSectno"/>
        </w:rPr>
        <w:t>113</w:t>
      </w:r>
      <w:r>
        <w:rPr>
          <w:snapToGrid w:val="0"/>
        </w:rPr>
        <w:t>.</w:t>
      </w:r>
      <w:r>
        <w:rPr>
          <w:snapToGrid w:val="0"/>
        </w:rPr>
        <w:tab/>
        <w:t>Evidence</w:t>
      </w:r>
      <w:bookmarkEnd w:id="976"/>
      <w:bookmarkEnd w:id="977"/>
      <w:bookmarkEnd w:id="978"/>
      <w:bookmarkEnd w:id="979"/>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 xml:space="preserve">that the place at or in respect of which a contravention of a regulation is alleged to have occurred was, or was within, a restricted area declared for the purpose of that regulation; </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5"/>
        <w:rPr>
          <w:snapToGrid w:val="0"/>
        </w:rPr>
      </w:pPr>
      <w:bookmarkStart w:id="980" w:name="_Toc271209070"/>
      <w:bookmarkStart w:id="981" w:name="_Toc271209932"/>
      <w:bookmarkStart w:id="982" w:name="_Toc239150549"/>
      <w:bookmarkStart w:id="983" w:name="_Toc524423021"/>
      <w:r>
        <w:rPr>
          <w:rStyle w:val="CharSectno"/>
        </w:rPr>
        <w:t>114</w:t>
      </w:r>
      <w:r>
        <w:rPr>
          <w:snapToGrid w:val="0"/>
        </w:rPr>
        <w:t>.</w:t>
      </w:r>
      <w:r>
        <w:rPr>
          <w:snapToGrid w:val="0"/>
        </w:rPr>
        <w:tab/>
      </w:r>
      <w:r>
        <w:rPr>
          <w:i/>
          <w:snapToGrid w:val="0"/>
        </w:rPr>
        <w:t xml:space="preserve">Forest Management Regulations 1993 </w:t>
      </w:r>
      <w:r>
        <w:rPr>
          <w:snapToGrid w:val="0"/>
        </w:rPr>
        <w:t>amended</w:t>
      </w:r>
      <w:bookmarkEnd w:id="980"/>
      <w:bookmarkEnd w:id="981"/>
      <w:bookmarkEnd w:id="982"/>
      <w:bookmarkEnd w:id="983"/>
    </w:p>
    <w:p>
      <w:pPr>
        <w:pStyle w:val="Subsection"/>
        <w:rPr>
          <w:i/>
          <w:snapToGrid w:val="0"/>
        </w:rPr>
      </w:pPr>
      <w:r>
        <w:rPr>
          <w:snapToGrid w:val="0"/>
        </w:rPr>
        <w:tab/>
        <w:t>(1)</w:t>
      </w:r>
      <w:r>
        <w:rPr>
          <w:snapToGrid w:val="0"/>
        </w:rPr>
        <w:tab/>
      </w:r>
      <w:r>
        <w:t xml:space="preserve">The amendments in this regulation are to the </w:t>
      </w:r>
      <w:r>
        <w:rPr>
          <w:i/>
          <w:snapToGrid w:val="0"/>
        </w:rPr>
        <w:t>Forest Management Regulations 1993*.</w:t>
      </w:r>
    </w:p>
    <w:p>
      <w:pPr>
        <w:pStyle w:val="Subsection"/>
        <w:tabs>
          <w:tab w:val="clear" w:pos="595"/>
          <w:tab w:val="left" w:pos="1134"/>
        </w:tabs>
        <w:ind w:left="1134" w:hanging="1134"/>
      </w:pPr>
      <w:r>
        <w:tab/>
        <w:t>[*</w:t>
      </w:r>
      <w:r>
        <w:tab/>
      </w:r>
      <w:r>
        <w:rPr>
          <w:i/>
          <w:iCs/>
        </w:rPr>
        <w:t xml:space="preserve">Reprinted 15 September 1999. </w:t>
      </w:r>
      <w:r>
        <w:rPr>
          <w:i/>
          <w:iCs/>
        </w:rPr>
        <w:br/>
        <w:t>For amendments to 28 March 2002 see 2000 Index to Legislation of Western Australia, Table 4, p. 50.]</w:t>
      </w:r>
    </w:p>
    <w:p>
      <w:pPr>
        <w:pStyle w:val="Subsection"/>
        <w:rPr>
          <w:snapToGrid w:val="0"/>
        </w:rPr>
      </w:pPr>
      <w:r>
        <w:rPr>
          <w:snapToGrid w:val="0"/>
        </w:rPr>
        <w:tab/>
        <w:t>(2)</w:t>
      </w:r>
      <w:r>
        <w:rPr>
          <w:snapToGrid w:val="0"/>
        </w:rPr>
        <w:tab/>
        <w:t>Regulation 2 is amended by deleting the definitions of “camp”, “camping area”, “camping unit”, “caravan”, “non</w:t>
      </w:r>
      <w:r>
        <w:rPr>
          <w:snapToGrid w:val="0"/>
        </w:rPr>
        <w:noBreakHyphen/>
        <w:t>tour motor vehicle”, “tour motor vehicle” and “Tree Top Walk”.</w:t>
      </w:r>
    </w:p>
    <w:p>
      <w:pPr>
        <w:pStyle w:val="Subsection"/>
        <w:rPr>
          <w:snapToGrid w:val="0"/>
        </w:rPr>
      </w:pPr>
      <w:r>
        <w:rPr>
          <w:snapToGrid w:val="0"/>
        </w:rPr>
        <w:tab/>
        <w:t>(3)</w:t>
      </w:r>
      <w:r>
        <w:rPr>
          <w:snapToGrid w:val="0"/>
        </w:rPr>
        <w:tab/>
        <w:t>The</w:t>
      </w:r>
      <w:r>
        <w:rPr>
          <w:i/>
          <w:snapToGrid w:val="0"/>
        </w:rPr>
        <w:t xml:space="preserve"> </w:t>
      </w:r>
      <w:r>
        <w:rPr>
          <w:snapToGrid w:val="0"/>
        </w:rPr>
        <w:t>regulations are amended by repealing — </w:t>
      </w:r>
    </w:p>
    <w:p>
      <w:pPr>
        <w:pStyle w:val="Indenta"/>
        <w:rPr>
          <w:snapToGrid w:val="0"/>
        </w:rPr>
      </w:pPr>
      <w:r>
        <w:rPr>
          <w:snapToGrid w:val="0"/>
        </w:rPr>
        <w:tab/>
        <w:t>(a)</w:t>
      </w:r>
      <w:r>
        <w:rPr>
          <w:snapToGrid w:val="0"/>
        </w:rPr>
        <w:tab/>
        <w:t>Part 12;</w:t>
      </w:r>
    </w:p>
    <w:p>
      <w:pPr>
        <w:pStyle w:val="Indenta"/>
        <w:rPr>
          <w:snapToGrid w:val="0"/>
        </w:rPr>
      </w:pPr>
      <w:r>
        <w:rPr>
          <w:snapToGrid w:val="0"/>
        </w:rPr>
        <w:tab/>
        <w:t>(b)</w:t>
      </w:r>
      <w:r>
        <w:rPr>
          <w:snapToGrid w:val="0"/>
        </w:rPr>
        <w:tab/>
        <w:t>regulation 90;</w:t>
      </w:r>
    </w:p>
    <w:p>
      <w:pPr>
        <w:pStyle w:val="Indenta"/>
        <w:rPr>
          <w:snapToGrid w:val="0"/>
        </w:rPr>
      </w:pPr>
      <w:r>
        <w:rPr>
          <w:snapToGrid w:val="0"/>
        </w:rPr>
        <w:tab/>
        <w:t>(c)</w:t>
      </w:r>
      <w:r>
        <w:rPr>
          <w:snapToGrid w:val="0"/>
        </w:rPr>
        <w:tab/>
        <w:t>regulation 103;</w:t>
      </w:r>
    </w:p>
    <w:p>
      <w:pPr>
        <w:pStyle w:val="Indenta"/>
        <w:rPr>
          <w:snapToGrid w:val="0"/>
        </w:rPr>
      </w:pPr>
      <w:r>
        <w:rPr>
          <w:snapToGrid w:val="0"/>
        </w:rPr>
        <w:tab/>
        <w:t>(d)</w:t>
      </w:r>
      <w:r>
        <w:rPr>
          <w:snapToGrid w:val="0"/>
        </w:rPr>
        <w:tab/>
        <w:t>Part 17A;</w:t>
      </w:r>
    </w:p>
    <w:p>
      <w:pPr>
        <w:pStyle w:val="Indenta"/>
        <w:rPr>
          <w:snapToGrid w:val="0"/>
        </w:rPr>
      </w:pPr>
      <w:r>
        <w:rPr>
          <w:snapToGrid w:val="0"/>
        </w:rPr>
        <w:tab/>
        <w:t>(e)</w:t>
      </w:r>
      <w:r>
        <w:rPr>
          <w:snapToGrid w:val="0"/>
        </w:rPr>
        <w:tab/>
        <w:t>regulations 131, 132, 133 and 134;</w:t>
      </w:r>
    </w:p>
    <w:p>
      <w:pPr>
        <w:pStyle w:val="Indenta"/>
        <w:rPr>
          <w:snapToGrid w:val="0"/>
        </w:rPr>
      </w:pPr>
      <w:r>
        <w:rPr>
          <w:snapToGrid w:val="0"/>
        </w:rPr>
        <w:tab/>
        <w:t>(f)</w:t>
      </w:r>
      <w:r>
        <w:rPr>
          <w:snapToGrid w:val="0"/>
        </w:rPr>
        <w:tab/>
        <w:t>Schedule 2 Forms 3 and 4; and</w:t>
      </w:r>
    </w:p>
    <w:p>
      <w:pPr>
        <w:pStyle w:val="Indenta"/>
        <w:rPr>
          <w:snapToGrid w:val="0"/>
        </w:rPr>
      </w:pPr>
      <w:r>
        <w:rPr>
          <w:snapToGrid w:val="0"/>
        </w:rPr>
        <w:tab/>
        <w:t>(g)</w:t>
      </w:r>
      <w:r>
        <w:rPr>
          <w:snapToGrid w:val="0"/>
        </w:rPr>
        <w:tab/>
        <w:t>Schedules 2A and 2B.</w:t>
      </w:r>
    </w:p>
    <w:p>
      <w:pPr>
        <w:pStyle w:val="Heading5"/>
        <w:rPr>
          <w:rStyle w:val="CharSectno"/>
        </w:rPr>
      </w:pPr>
      <w:bookmarkStart w:id="984" w:name="_Toc271209071"/>
      <w:bookmarkStart w:id="985" w:name="_Toc271209933"/>
      <w:bookmarkStart w:id="986" w:name="_Toc239150550"/>
      <w:bookmarkStart w:id="987" w:name="_Toc524423022"/>
      <w:r>
        <w:rPr>
          <w:rStyle w:val="CharSectno"/>
        </w:rPr>
        <w:t>115</w:t>
      </w:r>
      <w:r>
        <w:t>.</w:t>
      </w:r>
      <w:r>
        <w:tab/>
        <w:t>Repeal</w:t>
      </w:r>
      <w:bookmarkEnd w:id="984"/>
      <w:bookmarkEnd w:id="985"/>
      <w:bookmarkEnd w:id="986"/>
      <w:bookmarkEnd w:id="987"/>
    </w:p>
    <w:p>
      <w:pPr>
        <w:pStyle w:val="Subsection"/>
        <w:rPr>
          <w:snapToGrid w:val="0"/>
        </w:rPr>
      </w:pPr>
      <w:r>
        <w:rPr>
          <w:snapToGrid w:val="0"/>
        </w:rPr>
        <w:tab/>
      </w:r>
      <w:r>
        <w:rPr>
          <w:snapToGrid w:val="0"/>
        </w:rPr>
        <w:tab/>
        <w:t xml:space="preserve">The following regulations are repealed — </w:t>
      </w:r>
    </w:p>
    <w:p>
      <w:pPr>
        <w:pStyle w:val="Indenta"/>
        <w:rPr>
          <w:snapToGrid w:val="0"/>
        </w:rPr>
      </w:pPr>
      <w:r>
        <w:rPr>
          <w:snapToGrid w:val="0"/>
        </w:rPr>
        <w:tab/>
        <w:t>(a)</w:t>
      </w:r>
      <w:r>
        <w:rPr>
          <w:snapToGrid w:val="0"/>
        </w:rPr>
        <w:tab/>
        <w:t xml:space="preserve">the </w:t>
      </w:r>
      <w:r>
        <w:rPr>
          <w:i/>
          <w:snapToGrid w:val="0"/>
        </w:rPr>
        <w:t>National Parks Authority Regulations</w:t>
      </w:r>
      <w:r>
        <w:rPr>
          <w:snapToGrid w:val="0"/>
        </w:rPr>
        <w:t>;</w:t>
      </w:r>
    </w:p>
    <w:p>
      <w:pPr>
        <w:pStyle w:val="Indenta"/>
        <w:rPr>
          <w:b/>
          <w:snapToGrid w:val="0"/>
        </w:rPr>
      </w:pPr>
      <w:r>
        <w:rPr>
          <w:snapToGrid w:val="0"/>
        </w:rPr>
        <w:tab/>
        <w:t>(b)</w:t>
      </w:r>
      <w:r>
        <w:rPr>
          <w:snapToGrid w:val="0"/>
        </w:rPr>
        <w:tab/>
        <w:t xml:space="preserve">the </w:t>
      </w:r>
      <w:r>
        <w:rPr>
          <w:i/>
          <w:snapToGrid w:val="0"/>
        </w:rPr>
        <w:t xml:space="preserve">Conservation and Land Management </w:t>
      </w:r>
      <w:r>
        <w:rPr>
          <w:bCs/>
          <w:i/>
          <w:iCs/>
          <w:snapToGrid w:val="0"/>
        </w:rPr>
        <w:t>Regulations 1992</w:t>
      </w:r>
      <w:r>
        <w:rPr>
          <w:b/>
          <w:snapToGrid w:val="0"/>
        </w:rPr>
        <w:t>;</w:t>
      </w:r>
    </w:p>
    <w:p>
      <w:pPr>
        <w:pStyle w:val="Indenta"/>
        <w:rPr>
          <w:snapToGrid w:val="0"/>
        </w:rPr>
      </w:pPr>
      <w:r>
        <w:rPr>
          <w:snapToGrid w:val="0"/>
        </w:rPr>
        <w:tab/>
        <w:t>(c)</w:t>
      </w:r>
      <w:r>
        <w:rPr>
          <w:snapToGrid w:val="0"/>
        </w:rPr>
        <w:tab/>
        <w:t xml:space="preserve">Part 6 of the </w:t>
      </w:r>
      <w:r>
        <w:rPr>
          <w:i/>
          <w:snapToGrid w:val="0"/>
        </w:rPr>
        <w:t>Wildlife Conservation Regulations 1970</w:t>
      </w:r>
      <w:r>
        <w:rPr>
          <w:snapToGrid w:val="0"/>
        </w:rPr>
        <w:t>.</w:t>
      </w:r>
    </w:p>
    <w:p>
      <w:pPr>
        <w:pStyle w:val="Heading5"/>
        <w:rPr>
          <w:snapToGrid w:val="0"/>
        </w:rPr>
      </w:pPr>
      <w:bookmarkStart w:id="988" w:name="_Toc271209072"/>
      <w:bookmarkStart w:id="989" w:name="_Toc271209934"/>
      <w:bookmarkStart w:id="990" w:name="_Toc239150551"/>
      <w:bookmarkStart w:id="991" w:name="_Toc524423023"/>
      <w:r>
        <w:rPr>
          <w:rStyle w:val="CharSectno"/>
        </w:rPr>
        <w:t>116</w:t>
      </w:r>
      <w:r>
        <w:rPr>
          <w:snapToGrid w:val="0"/>
        </w:rPr>
        <w:t>.</w:t>
      </w:r>
      <w:r>
        <w:rPr>
          <w:snapToGrid w:val="0"/>
        </w:rPr>
        <w:tab/>
        <w:t>Saving</w:t>
      </w:r>
      <w:bookmarkEnd w:id="988"/>
      <w:bookmarkEnd w:id="989"/>
      <w:bookmarkEnd w:id="990"/>
      <w:bookmarkEnd w:id="991"/>
    </w:p>
    <w:p>
      <w:pPr>
        <w:pStyle w:val="Subsection"/>
        <w:rPr>
          <w:snapToGrid w:val="0"/>
        </w:rPr>
      </w:pPr>
      <w:r>
        <w:tab/>
        <w:t>(1)</w:t>
      </w:r>
      <w:r>
        <w:tab/>
        <w:t xml:space="preserve">Nothing in this regulation is to be construed so as to limit the </w:t>
      </w:r>
      <w:r>
        <w:rPr>
          <w:snapToGrid w:val="0"/>
        </w:rPr>
        <w:t xml:space="preserve">operation of the </w:t>
      </w:r>
      <w:r>
        <w:rPr>
          <w:i/>
          <w:iCs/>
          <w:snapToGrid w:val="0"/>
        </w:rPr>
        <w:t>Interpretation Act 1984</w:t>
      </w:r>
      <w:r>
        <w:rPr>
          <w:snapToGrid w:val="0"/>
        </w:rPr>
        <w:t>.</w:t>
      </w:r>
    </w:p>
    <w:p>
      <w:pPr>
        <w:pStyle w:val="Subsection"/>
      </w:pPr>
      <w:r>
        <w:tab/>
        <w:t>(2)</w:t>
      </w:r>
      <w:r>
        <w:tab/>
        <w:t>The repeal of a former provision does not affect any document or appointment made or anything done under any provision so repealed so far as it is subsisting or in force at the time of the repeal and could have been made or done under these regulations.</w:t>
      </w:r>
    </w:p>
    <w:p>
      <w:pPr>
        <w:pStyle w:val="Subsection"/>
      </w:pPr>
      <w:r>
        <w:tab/>
        <w:t>(3)</w:t>
      </w:r>
      <w:r>
        <w:tab/>
        <w:t>Each such document, appointment or thing has effect as if it had been made or done under the corresponding provision of these regulations and as if the provisions had been in force when the document or appointment was made or the thing was done.</w:t>
      </w:r>
    </w:p>
    <w:p>
      <w:pPr>
        <w:pStyle w:val="Subsection"/>
      </w:pPr>
      <w:r>
        <w:tab/>
        <w:t>(4)</w:t>
      </w:r>
      <w:r>
        <w:tab/>
        <w:t xml:space="preserve">In particular, and without limiting the generality of subregulations (2) and (3), those subregulations apply to — </w:t>
      </w:r>
    </w:p>
    <w:p>
      <w:pPr>
        <w:pStyle w:val="Indenta"/>
      </w:pPr>
      <w:r>
        <w:tab/>
        <w:t>(a)</w:t>
      </w:r>
      <w:r>
        <w:tab/>
        <w:t>any notice erected on any land; and</w:t>
      </w:r>
    </w:p>
    <w:p>
      <w:pPr>
        <w:pStyle w:val="Indenta"/>
      </w:pPr>
      <w:r>
        <w:tab/>
        <w:t>(b)</w:t>
      </w:r>
      <w:r>
        <w:tab/>
        <w:t xml:space="preserve">any licence granted under Part 5 of the </w:t>
      </w:r>
      <w:r>
        <w:rPr>
          <w:i/>
        </w:rPr>
        <w:t>Conservation and Land Management Regulations 1992</w:t>
      </w:r>
      <w:r>
        <w:t>.</w:t>
      </w:r>
    </w:p>
    <w:p>
      <w:pPr>
        <w:pStyle w:val="Subsection"/>
      </w:pPr>
      <w:r>
        <w:tab/>
        <w:t>(5)</w:t>
      </w:r>
      <w:r>
        <w:tab/>
        <w:t xml:space="preserve">In subregulation (2) — </w:t>
      </w:r>
    </w:p>
    <w:p>
      <w:pPr>
        <w:pStyle w:val="Defstart"/>
      </w:pPr>
      <w:r>
        <w:tab/>
      </w:r>
      <w:r>
        <w:rPr>
          <w:rStyle w:val="CharDefText"/>
          <w:bCs/>
        </w:rPr>
        <w:t>former provision</w:t>
      </w:r>
      <w:r>
        <w:t xml:space="preserve"> means a provision repealed by regulation 114 or 115.</w:t>
      </w:r>
    </w:p>
    <w:p>
      <w:pPr>
        <w:pStyle w:val="Footnotesection"/>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r>
        <w:tab/>
        <w:t>[Regulation 116 amended in Gazette 4 Oct 2002 p. 5066.]</w:t>
      </w:r>
    </w:p>
    <w:p>
      <w:pPr>
        <w:pStyle w:val="yScheduleHeading"/>
      </w:pPr>
      <w:bookmarkStart w:id="992" w:name="_Toc189456638"/>
      <w:bookmarkStart w:id="993" w:name="_Toc223500441"/>
      <w:bookmarkStart w:id="994" w:name="_Toc223500603"/>
      <w:bookmarkStart w:id="995" w:name="_Toc239150552"/>
      <w:bookmarkStart w:id="996" w:name="_Toc271207574"/>
      <w:bookmarkStart w:id="997" w:name="_Toc271207750"/>
      <w:bookmarkStart w:id="998" w:name="_Toc271209073"/>
      <w:bookmarkStart w:id="999" w:name="_Toc271209407"/>
      <w:bookmarkStart w:id="1000" w:name="_Toc271209583"/>
      <w:bookmarkStart w:id="1001" w:name="_Toc271209759"/>
      <w:bookmarkStart w:id="1002" w:name="_Toc271209935"/>
      <w:bookmarkStart w:id="1003" w:name="_Toc524423024"/>
      <w:r>
        <w:rPr>
          <w:rStyle w:val="CharSchNo"/>
        </w:rPr>
        <w:t>Schedule 1</w:t>
      </w:r>
      <w:r>
        <w:t xml:space="preserve"> — </w:t>
      </w:r>
      <w:r>
        <w:rPr>
          <w:rStyle w:val="CharSchText"/>
        </w:rPr>
        <w:t>Fees</w:t>
      </w:r>
      <w:bookmarkEnd w:id="992"/>
      <w:bookmarkEnd w:id="993"/>
      <w:bookmarkEnd w:id="994"/>
      <w:bookmarkEnd w:id="995"/>
      <w:bookmarkEnd w:id="996"/>
      <w:bookmarkEnd w:id="997"/>
      <w:bookmarkEnd w:id="998"/>
      <w:bookmarkEnd w:id="999"/>
      <w:bookmarkEnd w:id="1000"/>
      <w:bookmarkEnd w:id="1001"/>
      <w:bookmarkEnd w:id="1002"/>
      <w:bookmarkEnd w:id="1003"/>
    </w:p>
    <w:p>
      <w:pPr>
        <w:pStyle w:val="yShoulderClause"/>
        <w:ind w:left="3960"/>
      </w:pPr>
      <w:r>
        <w:t xml:space="preserve">[r. 49, 83, 92, 97, </w:t>
      </w:r>
      <w:ins w:id="1004" w:author="Master Repository Process" w:date="2021-07-31T18:45:00Z">
        <w:r>
          <w:t xml:space="preserve">98C, </w:t>
        </w:r>
      </w:ins>
      <w:r>
        <w:t>99, 99A, 100, 100A, 101, 102, 102A, 103]</w:t>
      </w:r>
      <w:del w:id="1005" w:author="Master Repository Process" w:date="2021-07-31T18:45:00Z">
        <w:r>
          <w:delText xml:space="preserve"> </w:delText>
        </w:r>
      </w:del>
    </w:p>
    <w:p>
      <w:pPr>
        <w:pStyle w:val="yFootnoteheading"/>
      </w:pPr>
      <w:r>
        <w:tab/>
        <w:t>[Heading amended in Gazette 29 Sep 2006 p. 4326</w:t>
      </w:r>
      <w:ins w:id="1006" w:author="Master Repository Process" w:date="2021-07-31T18:45:00Z">
        <w:r>
          <w:t>; 3 Sep 2010 p. 4283</w:t>
        </w:r>
      </w:ins>
      <w:r>
        <w:t>.]</w:t>
      </w:r>
    </w:p>
    <w:p>
      <w:pPr>
        <w:pStyle w:val="yHeading3"/>
        <w:rPr>
          <w:snapToGrid w:val="0"/>
        </w:rPr>
      </w:pPr>
      <w:bookmarkStart w:id="1007" w:name="_Toc189456639"/>
      <w:bookmarkStart w:id="1008" w:name="_Toc223500442"/>
      <w:bookmarkStart w:id="1009" w:name="_Toc223500604"/>
      <w:bookmarkStart w:id="1010" w:name="_Toc239150553"/>
      <w:bookmarkStart w:id="1011" w:name="_Toc271207575"/>
      <w:bookmarkStart w:id="1012" w:name="_Toc271207751"/>
      <w:bookmarkStart w:id="1013" w:name="_Toc271209074"/>
      <w:bookmarkStart w:id="1014" w:name="_Toc271209408"/>
      <w:bookmarkStart w:id="1015" w:name="_Toc271209584"/>
      <w:bookmarkStart w:id="1016" w:name="_Toc271209760"/>
      <w:bookmarkStart w:id="1017" w:name="_Toc271209936"/>
      <w:bookmarkStart w:id="1018" w:name="_Toc524423025"/>
      <w:r>
        <w:rPr>
          <w:rStyle w:val="CharSDivNo"/>
        </w:rPr>
        <w:t>Division 1</w:t>
      </w:r>
      <w:r>
        <w:t xml:space="preserve"> — </w:t>
      </w:r>
      <w:r>
        <w:rPr>
          <w:rStyle w:val="CharSDivText"/>
        </w:rPr>
        <w:t>Daily entrance fees where an entrance fee is charged</w:t>
      </w:r>
      <w:bookmarkEnd w:id="1007"/>
      <w:bookmarkEnd w:id="1008"/>
      <w:bookmarkEnd w:id="1009"/>
      <w:bookmarkEnd w:id="1010"/>
      <w:bookmarkEnd w:id="1011"/>
      <w:bookmarkEnd w:id="1012"/>
      <w:bookmarkEnd w:id="1013"/>
      <w:bookmarkEnd w:id="1014"/>
      <w:bookmarkEnd w:id="1015"/>
      <w:bookmarkEnd w:id="1016"/>
      <w:bookmarkEnd w:id="1017"/>
      <w:bookmarkEnd w:id="1018"/>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708"/>
      </w:tblGrid>
      <w:tr>
        <w:trPr>
          <w:cantSplit/>
        </w:trPr>
        <w:tc>
          <w:tcPr>
            <w:tcW w:w="652" w:type="dxa"/>
          </w:tcPr>
          <w:p>
            <w:pPr>
              <w:pStyle w:val="yTable"/>
              <w:rPr>
                <w:lang w:val="en-GB"/>
              </w:rPr>
            </w:pPr>
          </w:p>
        </w:tc>
        <w:tc>
          <w:tcPr>
            <w:tcW w:w="5444" w:type="dxa"/>
          </w:tcPr>
          <w:p>
            <w:pPr>
              <w:pStyle w:val="yTable"/>
            </w:pPr>
          </w:p>
        </w:tc>
        <w:tc>
          <w:tcPr>
            <w:tcW w:w="708" w:type="dxa"/>
          </w:tcPr>
          <w:p>
            <w:pPr>
              <w:pStyle w:val="yTable"/>
              <w:jc w:val="center"/>
              <w:rPr>
                <w:b/>
              </w:rPr>
            </w:pPr>
            <w:r>
              <w:rPr>
                <w:b/>
              </w:rPr>
              <w:t>$</w:t>
            </w:r>
          </w:p>
        </w:tc>
      </w:tr>
      <w:tr>
        <w:trPr>
          <w:cantSplit/>
        </w:trPr>
        <w:tc>
          <w:tcPr>
            <w:tcW w:w="652" w:type="dxa"/>
          </w:tcPr>
          <w:p>
            <w:pPr>
              <w:pStyle w:val="yTable"/>
            </w:pPr>
            <w:r>
              <w:t>1.</w:t>
            </w:r>
          </w:p>
        </w:tc>
        <w:tc>
          <w:tcPr>
            <w:tcW w:w="5444" w:type="dxa"/>
          </w:tcPr>
          <w:p>
            <w:pPr>
              <w:pStyle w:val="yTable"/>
            </w:pPr>
            <w:r>
              <w:t>*Daily entrance fee for non</w:t>
            </w:r>
            <w:r>
              <w:noBreakHyphen/>
              <w:t>tour motor vehicle that is a motorcycle</w:t>
            </w:r>
          </w:p>
        </w:tc>
        <w:tc>
          <w:tcPr>
            <w:tcW w:w="708" w:type="dxa"/>
            <w:vAlign w:val="bottom"/>
          </w:tcPr>
          <w:p>
            <w:pPr>
              <w:pStyle w:val="yTable"/>
              <w:jc w:val="right"/>
            </w:pPr>
            <w:r>
              <w:t>5.00</w:t>
            </w:r>
          </w:p>
        </w:tc>
      </w:tr>
      <w:tr>
        <w:trPr>
          <w:cantSplit/>
        </w:trPr>
        <w:tc>
          <w:tcPr>
            <w:tcW w:w="652" w:type="dxa"/>
          </w:tcPr>
          <w:p>
            <w:pPr>
              <w:pStyle w:val="yTable"/>
            </w:pPr>
            <w:r>
              <w:t>2.</w:t>
            </w:r>
          </w:p>
        </w:tc>
        <w:tc>
          <w:tcPr>
            <w:tcW w:w="5444" w:type="dxa"/>
          </w:tcPr>
          <w:p>
            <w:pPr>
              <w:pStyle w:val="yTable"/>
            </w:pPr>
            <w:r>
              <w:t>*Daily entrance fee for non</w:t>
            </w:r>
            <w:r>
              <w:noBreakHyphen/>
              <w:t>tour motor vehicle that is not a motorcycle (unless item 5 applies)</w:t>
            </w:r>
          </w:p>
        </w:tc>
        <w:tc>
          <w:tcPr>
            <w:tcW w:w="708" w:type="dxa"/>
            <w:vAlign w:val="bottom"/>
          </w:tcPr>
          <w:p>
            <w:pPr>
              <w:pStyle w:val="yTable"/>
              <w:jc w:val="right"/>
            </w:pPr>
            <w:r>
              <w:t>11.00</w:t>
            </w:r>
          </w:p>
        </w:tc>
      </w:tr>
      <w:tr>
        <w:trPr>
          <w:cantSplit/>
        </w:trPr>
        <w:tc>
          <w:tcPr>
            <w:tcW w:w="652" w:type="dxa"/>
          </w:tcPr>
          <w:p>
            <w:pPr>
              <w:pStyle w:val="yTable"/>
            </w:pPr>
            <w:r>
              <w:t>3.</w:t>
            </w:r>
          </w:p>
        </w:tc>
        <w:tc>
          <w:tcPr>
            <w:tcW w:w="5444" w:type="dxa"/>
          </w:tcPr>
          <w:p>
            <w:pPr>
              <w:pStyle w:val="yTable"/>
            </w:pPr>
            <w:r>
              <w:t>*Daily entrance for each occupant (6 years of age or older) of tour vehicle (unless entry is to Yanchep National Park or Nambung National Park, or item 6 applies)</w:t>
            </w:r>
          </w:p>
        </w:tc>
        <w:tc>
          <w:tcPr>
            <w:tcW w:w="708" w:type="dxa"/>
            <w:vAlign w:val="bottom"/>
          </w:tcPr>
          <w:p>
            <w:pPr>
              <w:pStyle w:val="yTable"/>
              <w:jc w:val="right"/>
            </w:pPr>
            <w:r>
              <w:t>5.00</w:t>
            </w:r>
          </w:p>
        </w:tc>
      </w:tr>
      <w:tr>
        <w:trPr>
          <w:cantSplit/>
        </w:trPr>
        <w:tc>
          <w:tcPr>
            <w:tcW w:w="652" w:type="dxa"/>
          </w:tcPr>
          <w:p>
            <w:pPr>
              <w:pStyle w:val="yTable"/>
            </w:pPr>
            <w:r>
              <w:t>4.</w:t>
            </w:r>
          </w:p>
        </w:tc>
        <w:tc>
          <w:tcPr>
            <w:tcW w:w="5444" w:type="dxa"/>
          </w:tcPr>
          <w:p>
            <w:pPr>
              <w:pStyle w:val="yTable"/>
            </w:pPr>
            <w:r>
              <w:t>Daily entrance for each occupant (6 years of age or older) of tour vehicle — Yanchep National Park, Nambung National Park</w:t>
            </w:r>
          </w:p>
        </w:tc>
        <w:tc>
          <w:tcPr>
            <w:tcW w:w="708" w:type="dxa"/>
            <w:vAlign w:val="bottom"/>
          </w:tcPr>
          <w:p>
            <w:pPr>
              <w:pStyle w:val="yTable"/>
              <w:jc w:val="right"/>
            </w:pPr>
            <w:r>
              <w:t>5.00</w:t>
            </w:r>
          </w:p>
        </w:tc>
      </w:tr>
      <w:tr>
        <w:trPr>
          <w:cantSplit/>
        </w:trPr>
        <w:tc>
          <w:tcPr>
            <w:tcW w:w="652" w:type="dxa"/>
          </w:tcPr>
          <w:p>
            <w:pPr>
              <w:pStyle w:val="yTable"/>
            </w:pPr>
            <w:r>
              <w:t>5.</w:t>
            </w:r>
          </w:p>
        </w:tc>
        <w:tc>
          <w:tcPr>
            <w:tcW w:w="5444" w:type="dxa"/>
          </w:tcPr>
          <w:p>
            <w:pPr>
              <w:pStyle w:val="yTable"/>
              <w:tabs>
                <w:tab w:val="left" w:pos="340"/>
              </w:tabs>
            </w:pPr>
            <w:r>
              <w:t>*Daily entrance concession fee for non</w:t>
            </w:r>
            <w:r>
              <w:noBreakHyphen/>
              <w:t xml:space="preserve">tour motor vehicle if the driver holds a concession card </w:t>
            </w:r>
          </w:p>
        </w:tc>
        <w:tc>
          <w:tcPr>
            <w:tcW w:w="708" w:type="dxa"/>
            <w:vAlign w:val="bottom"/>
          </w:tcPr>
          <w:p>
            <w:pPr>
              <w:pStyle w:val="yTable"/>
              <w:jc w:val="right"/>
            </w:pPr>
            <w:r>
              <w:t>5.00</w:t>
            </w:r>
          </w:p>
        </w:tc>
      </w:tr>
      <w:tr>
        <w:trPr>
          <w:cantSplit/>
        </w:trPr>
        <w:tc>
          <w:tcPr>
            <w:tcW w:w="652" w:type="dxa"/>
          </w:tcPr>
          <w:p>
            <w:pPr>
              <w:pStyle w:val="yTable"/>
            </w:pPr>
            <w:r>
              <w:t>6.</w:t>
            </w:r>
          </w:p>
        </w:tc>
        <w:tc>
          <w:tcPr>
            <w:tcW w:w="5444" w:type="dxa"/>
          </w:tcPr>
          <w:p>
            <w:pPr>
              <w:pStyle w:val="yTable"/>
            </w:pPr>
            <w:r>
              <w:t>*Daily entrance concession fee for occupant of tour vehicle if the occupant holds a concession card (except where tour vehicle is operating for profit)</w:t>
            </w:r>
          </w:p>
        </w:tc>
        <w:tc>
          <w:tcPr>
            <w:tcW w:w="708" w:type="dxa"/>
            <w:vAlign w:val="bottom"/>
          </w:tcPr>
          <w:p>
            <w:pPr>
              <w:pStyle w:val="yTable"/>
              <w:jc w:val="right"/>
            </w:pPr>
            <w:r>
              <w:t>1.50</w:t>
            </w:r>
          </w:p>
        </w:tc>
      </w:tr>
      <w:tr>
        <w:trPr>
          <w:cantSplit/>
        </w:trPr>
        <w:tc>
          <w:tcPr>
            <w:tcW w:w="652" w:type="dxa"/>
          </w:tcPr>
          <w:p>
            <w:pPr>
              <w:pStyle w:val="yTable"/>
            </w:pPr>
            <w:r>
              <w:t>7.</w:t>
            </w:r>
          </w:p>
        </w:tc>
        <w:tc>
          <w:tcPr>
            <w:tcW w:w="5444" w:type="dxa"/>
          </w:tcPr>
          <w:p>
            <w:pPr>
              <w:pStyle w:val="yTable"/>
            </w:pPr>
            <w:r>
              <w:t>Daily landing fee for each occupant (6 years of age or older) of a tour aircraft</w:t>
            </w:r>
          </w:p>
        </w:tc>
        <w:tc>
          <w:tcPr>
            <w:tcW w:w="708" w:type="dxa"/>
            <w:vAlign w:val="bottom"/>
          </w:tcPr>
          <w:p>
            <w:pPr>
              <w:pStyle w:val="yTable"/>
              <w:jc w:val="right"/>
            </w:pPr>
            <w:r>
              <w:t>11.00</w:t>
            </w:r>
          </w:p>
        </w:tc>
      </w:tr>
    </w:tbl>
    <w:p>
      <w:pPr>
        <w:pStyle w:val="yMiscellaneousBody"/>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amended in Gazette 29 Sep 2006 p. 4326</w:t>
      </w:r>
      <w:r>
        <w:noBreakHyphen/>
        <w:t>7; 28 Aug 2009 p. 3356.]</w:t>
      </w:r>
    </w:p>
    <w:p>
      <w:pPr>
        <w:pStyle w:val="yHeading3"/>
      </w:pPr>
      <w:bookmarkStart w:id="1019" w:name="_Toc239150554"/>
      <w:bookmarkStart w:id="1020" w:name="_Toc271207576"/>
      <w:bookmarkStart w:id="1021" w:name="_Toc271207752"/>
      <w:bookmarkStart w:id="1022" w:name="_Toc271209075"/>
      <w:bookmarkStart w:id="1023" w:name="_Toc271209409"/>
      <w:bookmarkStart w:id="1024" w:name="_Toc271209585"/>
      <w:bookmarkStart w:id="1025" w:name="_Toc271209761"/>
      <w:bookmarkStart w:id="1026" w:name="_Toc271209937"/>
      <w:bookmarkStart w:id="1027" w:name="_Toc524423026"/>
      <w:bookmarkStart w:id="1028" w:name="_Toc189456641"/>
      <w:bookmarkStart w:id="1029" w:name="_Toc223500444"/>
      <w:bookmarkStart w:id="1030" w:name="_Toc223500606"/>
      <w:r>
        <w:rPr>
          <w:rStyle w:val="CharSDivNo"/>
        </w:rPr>
        <w:t>Division 2</w:t>
      </w:r>
      <w:r>
        <w:rPr>
          <w:b w:val="0"/>
        </w:rPr>
        <w:t> — </w:t>
      </w:r>
      <w:r>
        <w:rPr>
          <w:rStyle w:val="CharSDivText"/>
        </w:rPr>
        <w:t>Fees for passes providing extended entrance to CALM land</w:t>
      </w:r>
      <w:bookmarkEnd w:id="1019"/>
      <w:bookmarkEnd w:id="1020"/>
      <w:bookmarkEnd w:id="1021"/>
      <w:bookmarkEnd w:id="1022"/>
      <w:bookmarkEnd w:id="1023"/>
      <w:bookmarkEnd w:id="1024"/>
      <w:bookmarkEnd w:id="1025"/>
      <w:bookmarkEnd w:id="1026"/>
      <w:bookmarkEnd w:id="1027"/>
    </w:p>
    <w:p>
      <w:pPr>
        <w:pStyle w:val="yFootnoteheading"/>
      </w:pPr>
      <w:r>
        <w:tab/>
        <w:t>[Heading inserted in Gazette 28 Aug 2009 p. 3354.]</w:t>
      </w:r>
    </w:p>
    <w:tbl>
      <w:tblPr>
        <w:tblW w:w="0" w:type="auto"/>
        <w:tblInd w:w="434" w:type="dxa"/>
        <w:tblLayout w:type="fixed"/>
        <w:tblCellMar>
          <w:left w:w="8" w:type="dxa"/>
          <w:right w:w="8" w:type="dxa"/>
        </w:tblCellMar>
        <w:tblLook w:val="0000" w:firstRow="0" w:lastRow="0" w:firstColumn="0" w:lastColumn="0" w:noHBand="0" w:noVBand="0"/>
      </w:tblPr>
      <w:tblGrid>
        <w:gridCol w:w="708"/>
        <w:gridCol w:w="4962"/>
        <w:gridCol w:w="708"/>
      </w:tblGrid>
      <w:tr>
        <w:trPr>
          <w:tblHeader/>
        </w:trPr>
        <w:tc>
          <w:tcPr>
            <w:tcW w:w="708" w:type="dxa"/>
          </w:tcPr>
          <w:p>
            <w:pPr>
              <w:pStyle w:val="yTableNAm"/>
            </w:pPr>
          </w:p>
        </w:tc>
        <w:tc>
          <w:tcPr>
            <w:tcW w:w="4962" w:type="dxa"/>
          </w:tcPr>
          <w:p>
            <w:pPr>
              <w:pStyle w:val="yTableNAm"/>
            </w:pPr>
          </w:p>
        </w:tc>
        <w:tc>
          <w:tcPr>
            <w:tcW w:w="708" w:type="dxa"/>
            <w:vAlign w:val="bottom"/>
          </w:tcPr>
          <w:p>
            <w:pPr>
              <w:pStyle w:val="yTableNAm"/>
              <w:jc w:val="center"/>
              <w:rPr>
                <w:b/>
                <w:bCs/>
              </w:rPr>
            </w:pPr>
            <w:r>
              <w:rPr>
                <w:b/>
                <w:bCs/>
              </w:rPr>
              <w:t>$</w:t>
            </w:r>
          </w:p>
        </w:tc>
      </w:tr>
      <w:tr>
        <w:tc>
          <w:tcPr>
            <w:tcW w:w="708" w:type="dxa"/>
          </w:tcPr>
          <w:p>
            <w:pPr>
              <w:pStyle w:val="yTableNAm"/>
            </w:pPr>
            <w:r>
              <w:t>1.</w:t>
            </w:r>
          </w:p>
        </w:tc>
        <w:tc>
          <w:tcPr>
            <w:tcW w:w="4962" w:type="dxa"/>
          </w:tcPr>
          <w:p>
            <w:pPr>
              <w:pStyle w:val="yTableNAm"/>
            </w:pPr>
            <w:r>
              <w:t>For an annual pass for a non</w:t>
            </w:r>
            <w:r>
              <w:noBreakHyphen/>
              <w:t xml:space="preserve">tour motor vehicle with up to 8 occupants to all CALM land where an entrance fee is charged except the Monkey Mia Conservation Park </w:t>
            </w:r>
          </w:p>
        </w:tc>
        <w:tc>
          <w:tcPr>
            <w:tcW w:w="708" w:type="dxa"/>
            <w:vAlign w:val="bottom"/>
          </w:tcPr>
          <w:p>
            <w:pPr>
              <w:pStyle w:val="yTableNAm"/>
              <w:jc w:val="center"/>
            </w:pPr>
            <w:r>
              <w:t>80.00</w:t>
            </w:r>
          </w:p>
        </w:tc>
      </w:tr>
      <w:tr>
        <w:tc>
          <w:tcPr>
            <w:tcW w:w="708" w:type="dxa"/>
          </w:tcPr>
          <w:p>
            <w:pPr>
              <w:pStyle w:val="yTableNAm"/>
            </w:pPr>
            <w:r>
              <w:t>2.</w:t>
            </w:r>
          </w:p>
        </w:tc>
        <w:tc>
          <w:tcPr>
            <w:tcW w:w="4962" w:type="dxa"/>
          </w:tcPr>
          <w:p>
            <w:pPr>
              <w:pStyle w:val="yTableNAm"/>
            </w:pPr>
            <w:r>
              <w:t>For an annual concession pass for a non</w:t>
            </w:r>
            <w:r>
              <w:noBreakHyphen/>
              <w:t>tour motor vehicle with up to 8 occupants to all CALM land where an entrance fee is charged except the Monkey Mia Conservation Park</w:t>
            </w:r>
          </w:p>
        </w:tc>
        <w:tc>
          <w:tcPr>
            <w:tcW w:w="708" w:type="dxa"/>
            <w:vAlign w:val="bottom"/>
          </w:tcPr>
          <w:p>
            <w:pPr>
              <w:pStyle w:val="yTableNAm"/>
              <w:jc w:val="center"/>
            </w:pPr>
            <w:r>
              <w:t>50.00</w:t>
            </w:r>
          </w:p>
        </w:tc>
      </w:tr>
      <w:tr>
        <w:tc>
          <w:tcPr>
            <w:tcW w:w="708" w:type="dxa"/>
          </w:tcPr>
          <w:p>
            <w:pPr>
              <w:pStyle w:val="yTableNAm"/>
            </w:pPr>
          </w:p>
        </w:tc>
        <w:tc>
          <w:tcPr>
            <w:tcW w:w="4962" w:type="dxa"/>
          </w:tcPr>
          <w:p>
            <w:pPr>
              <w:pStyle w:val="yTableNAm"/>
            </w:pPr>
            <w:r>
              <w:t>Conditions on entry: the driver holds a concession card</w:t>
            </w:r>
          </w:p>
        </w:tc>
        <w:tc>
          <w:tcPr>
            <w:tcW w:w="708" w:type="dxa"/>
            <w:vAlign w:val="bottom"/>
          </w:tcPr>
          <w:p>
            <w:pPr>
              <w:pStyle w:val="yTableNAm"/>
              <w:jc w:val="center"/>
            </w:pPr>
          </w:p>
        </w:tc>
      </w:tr>
      <w:tr>
        <w:tc>
          <w:tcPr>
            <w:tcW w:w="708" w:type="dxa"/>
          </w:tcPr>
          <w:p>
            <w:pPr>
              <w:pStyle w:val="yTableNAm"/>
            </w:pPr>
            <w:r>
              <w:t>3.</w:t>
            </w:r>
          </w:p>
        </w:tc>
        <w:tc>
          <w:tcPr>
            <w:tcW w:w="4962" w:type="dxa"/>
          </w:tcPr>
          <w:p>
            <w:pPr>
              <w:pStyle w:val="yTableNAm"/>
            </w:pPr>
            <w:r>
              <w:t>For a 4 week pass for a non</w:t>
            </w:r>
            <w:r>
              <w:noBreakHyphen/>
              <w:t>tour motor vehicle with up to 8 occupants to all CALM land where an entrance fee is charged except the Monkey Mia Conservation Park</w:t>
            </w:r>
          </w:p>
        </w:tc>
        <w:tc>
          <w:tcPr>
            <w:tcW w:w="708" w:type="dxa"/>
            <w:vAlign w:val="bottom"/>
          </w:tcPr>
          <w:p>
            <w:pPr>
              <w:pStyle w:val="yTableNAm"/>
              <w:jc w:val="center"/>
            </w:pPr>
            <w:r>
              <w:t>40.00</w:t>
            </w:r>
          </w:p>
        </w:tc>
      </w:tr>
      <w:tr>
        <w:tc>
          <w:tcPr>
            <w:tcW w:w="708" w:type="dxa"/>
          </w:tcPr>
          <w:p>
            <w:pPr>
              <w:pStyle w:val="yTableNAm"/>
            </w:pPr>
            <w:r>
              <w:rPr>
                <w:sz w:val="24"/>
              </w:rPr>
              <w:br w:type="page"/>
            </w:r>
            <w:r>
              <w:t>4.</w:t>
            </w:r>
          </w:p>
        </w:tc>
        <w:tc>
          <w:tcPr>
            <w:tcW w:w="4962" w:type="dxa"/>
          </w:tcPr>
          <w:p>
            <w:pPr>
              <w:pStyle w:val="yTableNAm"/>
            </w:pPr>
            <w:r>
              <w:t>For an annual local pass for a non</w:t>
            </w:r>
            <w:r>
              <w:noBreakHyphen/>
              <w:t xml:space="preserve">tour vehicle with up to 8 occupants for any one national park or reserve or for any one of the following groups of national parks, conservation parks and reserves — </w:t>
            </w:r>
            <w:r>
              <w:rPr>
                <w:rFonts w:ascii="WP TypographicSymbols" w:hAnsi="WP TypographicSymbols"/>
              </w:rPr>
              <w:t></w:t>
            </w:r>
          </w:p>
          <w:p>
            <w:pPr>
              <w:pStyle w:val="yTableNAm"/>
              <w:tabs>
                <w:tab w:val="left" w:pos="1138"/>
              </w:tabs>
              <w:ind w:left="1138" w:hanging="1138"/>
            </w:pPr>
            <w:r>
              <w:tab/>
              <w:t>(a)</w:t>
            </w:r>
            <w:r>
              <w:tab/>
              <w:t>Walyunga, Avon Valley and John Forrest</w:t>
            </w:r>
          </w:p>
          <w:p>
            <w:pPr>
              <w:pStyle w:val="yTableNAm"/>
              <w:tabs>
                <w:tab w:val="left" w:pos="1138"/>
              </w:tabs>
              <w:ind w:left="1138" w:hanging="1138"/>
            </w:pPr>
            <w:r>
              <w:tab/>
              <w:t>(b)</w:t>
            </w:r>
            <w:r>
              <w:tab/>
              <w:t>Gloucester, Warren, Beedelup, Greater Beedelup, Shannon and D’Entrecasteaux</w:t>
            </w:r>
          </w:p>
          <w:p>
            <w:pPr>
              <w:pStyle w:val="yTableNAm"/>
              <w:tabs>
                <w:tab w:val="left" w:pos="1138"/>
              </w:tabs>
              <w:ind w:left="1138" w:hanging="1138"/>
            </w:pPr>
            <w:r>
              <w:tab/>
              <w:t>(c)</w:t>
            </w:r>
            <w:r>
              <w:tab/>
              <w:t>Stirling Range, Porongurup and Fitzgerald River</w:t>
            </w:r>
          </w:p>
          <w:p>
            <w:pPr>
              <w:pStyle w:val="yTableNAm"/>
              <w:tabs>
                <w:tab w:val="left" w:pos="1138"/>
              </w:tabs>
              <w:ind w:left="1138" w:hanging="1138"/>
            </w:pPr>
            <w:r>
              <w:tab/>
              <w:t>(d)</w:t>
            </w:r>
            <w:r>
              <w:tab/>
              <w:t>Stokes, Cape Le Grand, Cape Arid and Fitzgerald River</w:t>
            </w:r>
          </w:p>
          <w:p>
            <w:pPr>
              <w:pStyle w:val="yTableNAm"/>
              <w:tabs>
                <w:tab w:val="left" w:pos="1138"/>
              </w:tabs>
              <w:ind w:left="1138" w:hanging="1138"/>
            </w:pPr>
            <w:r>
              <w:tab/>
              <w:t>(e)</w:t>
            </w:r>
            <w:r>
              <w:tab/>
              <w:t>Karijini and Millstream</w:t>
            </w:r>
            <w:r>
              <w:noBreakHyphen/>
              <w:t>Chichester</w:t>
            </w:r>
          </w:p>
          <w:p>
            <w:pPr>
              <w:pStyle w:val="yTableNAm"/>
              <w:tabs>
                <w:tab w:val="left" w:pos="1138"/>
              </w:tabs>
              <w:ind w:left="1138" w:hanging="1138"/>
            </w:pPr>
            <w:r>
              <w:tab/>
              <w:t>(f)</w:t>
            </w:r>
            <w:r>
              <w:tab/>
              <w:t>Mirima, Purnululu and Mitchell River</w:t>
            </w:r>
          </w:p>
          <w:p>
            <w:pPr>
              <w:pStyle w:val="yTableNAm"/>
              <w:tabs>
                <w:tab w:val="left" w:pos="1138"/>
              </w:tabs>
              <w:ind w:left="1138" w:hanging="1138"/>
            </w:pPr>
            <w:r>
              <w:tab/>
              <w:t>(g)</w:t>
            </w:r>
            <w:r>
              <w:tab/>
              <w:t>Windjana, King Leopold Ranges and Tunnel Creek</w:t>
            </w:r>
          </w:p>
          <w:p>
            <w:pPr>
              <w:pStyle w:val="yTableNAm"/>
              <w:tabs>
                <w:tab w:val="left" w:pos="1138"/>
              </w:tabs>
              <w:ind w:left="1138" w:hanging="1138"/>
            </w:pPr>
            <w:r>
              <w:tab/>
              <w:t>(h)</w:t>
            </w:r>
            <w:r>
              <w:tab/>
              <w:t>Nambung and Lesueur</w:t>
            </w:r>
          </w:p>
        </w:tc>
        <w:tc>
          <w:tcPr>
            <w:tcW w:w="708" w:type="dxa"/>
            <w:vAlign w:val="bottom"/>
          </w:tcPr>
          <w:p>
            <w:pPr>
              <w:pStyle w:val="yTableNAm"/>
              <w:jc w:val="center"/>
            </w:pPr>
            <w:r>
              <w:br/>
            </w:r>
            <w:r>
              <w:br/>
            </w:r>
            <w:r>
              <w:br/>
            </w:r>
            <w:r>
              <w:br/>
            </w:r>
            <w:r>
              <w:br/>
            </w:r>
            <w:r>
              <w:br/>
            </w:r>
            <w:r>
              <w:br/>
            </w:r>
            <w:r>
              <w:br/>
            </w:r>
            <w:r>
              <w:br/>
            </w:r>
            <w:r>
              <w:br/>
            </w:r>
            <w:r>
              <w:br/>
            </w:r>
            <w:r>
              <w:br/>
            </w:r>
            <w:r>
              <w:br/>
            </w:r>
            <w:r>
              <w:br/>
            </w:r>
            <w:r>
              <w:br/>
              <w:t>20.00</w:t>
            </w:r>
          </w:p>
        </w:tc>
      </w:tr>
      <w:tr>
        <w:tc>
          <w:tcPr>
            <w:tcW w:w="708" w:type="dxa"/>
          </w:tcPr>
          <w:p>
            <w:pPr>
              <w:pStyle w:val="yTableNAm"/>
              <w:rPr>
                <w:sz w:val="24"/>
              </w:rPr>
            </w:pPr>
            <w:r>
              <w:rPr>
                <w:sz w:val="24"/>
              </w:rPr>
              <w:t>5.</w:t>
            </w:r>
          </w:p>
        </w:tc>
        <w:tc>
          <w:tcPr>
            <w:tcW w:w="4962" w:type="dxa"/>
          </w:tcPr>
          <w:p>
            <w:pPr>
              <w:pStyle w:val="yTableNAm"/>
            </w:pPr>
            <w:r>
              <w:t>For an annual pass for a non</w:t>
            </w:r>
            <w:r>
              <w:noBreakHyphen/>
              <w:t>tour motor vehicle with up to 8 occupants to all CALM land where an entrance fee is charged except the Monkey Mia Conservation Park and an annual subscription to the magazine “Landscope”</w:t>
            </w:r>
          </w:p>
        </w:tc>
        <w:tc>
          <w:tcPr>
            <w:tcW w:w="708" w:type="dxa"/>
            <w:vAlign w:val="bottom"/>
          </w:tcPr>
          <w:p>
            <w:pPr>
              <w:pStyle w:val="yTableNAm"/>
              <w:jc w:val="center"/>
            </w:pPr>
            <w:r>
              <w:t>110.00</w:t>
            </w:r>
          </w:p>
        </w:tc>
      </w:tr>
      <w:tr>
        <w:tc>
          <w:tcPr>
            <w:tcW w:w="708" w:type="dxa"/>
          </w:tcPr>
          <w:p>
            <w:pPr>
              <w:pStyle w:val="yTableNAm"/>
            </w:pPr>
            <w:r>
              <w:t>6.</w:t>
            </w:r>
          </w:p>
        </w:tc>
        <w:tc>
          <w:tcPr>
            <w:tcW w:w="4962" w:type="dxa"/>
          </w:tcPr>
          <w:p>
            <w:pPr>
              <w:pStyle w:val="yTableNAm"/>
            </w:pPr>
            <w:r>
              <w:t>For a pass for one group entering the Yanchep National Park in one or more non</w:t>
            </w:r>
            <w:r>
              <w:noBreakHyphen/>
              <w:t>tour motor vehicles for the purposes of a wedding or other function</w:t>
            </w:r>
          </w:p>
        </w:tc>
        <w:tc>
          <w:tcPr>
            <w:tcW w:w="708" w:type="dxa"/>
            <w:vAlign w:val="bottom"/>
          </w:tcPr>
          <w:p>
            <w:pPr>
              <w:pStyle w:val="yTableNAm"/>
              <w:jc w:val="center"/>
            </w:pPr>
            <w:r>
              <w:t>100.00</w:t>
            </w:r>
          </w:p>
        </w:tc>
      </w:tr>
    </w:tbl>
    <w:p>
      <w:pPr>
        <w:pStyle w:val="yFootnotesection"/>
        <w:keepNext/>
        <w:rPr>
          <w:rStyle w:val="CharPartNo"/>
        </w:rPr>
      </w:pPr>
      <w:r>
        <w:tab/>
        <w:t>[Division 2 inserted in Gazette 28 Aug 2009 p. 3354-5.]</w:t>
      </w:r>
    </w:p>
    <w:p>
      <w:pPr>
        <w:pStyle w:val="yHeading3"/>
        <w:rPr>
          <w:snapToGrid w:val="0"/>
        </w:rPr>
      </w:pPr>
      <w:bookmarkStart w:id="1031" w:name="_Toc239150555"/>
      <w:bookmarkStart w:id="1032" w:name="_Toc271207577"/>
      <w:bookmarkStart w:id="1033" w:name="_Toc271207753"/>
      <w:bookmarkStart w:id="1034" w:name="_Toc271209076"/>
      <w:bookmarkStart w:id="1035" w:name="_Toc271209410"/>
      <w:bookmarkStart w:id="1036" w:name="_Toc271209586"/>
      <w:bookmarkStart w:id="1037" w:name="_Toc271209762"/>
      <w:bookmarkStart w:id="1038" w:name="_Toc271209938"/>
      <w:bookmarkStart w:id="1039" w:name="_Toc524423027"/>
      <w:r>
        <w:rPr>
          <w:rStyle w:val="CharSDivNo"/>
        </w:rPr>
        <w:t>Division 3</w:t>
      </w:r>
      <w:r>
        <w:rPr>
          <w:rStyle w:val="CharDivNo"/>
        </w:rPr>
        <w:t xml:space="preserve"> </w:t>
      </w:r>
      <w:r>
        <w:t>—</w:t>
      </w:r>
      <w:r>
        <w:rPr>
          <w:rStyle w:val="CharDivText"/>
        </w:rPr>
        <w:t xml:space="preserve"> </w:t>
      </w:r>
      <w:r>
        <w:rPr>
          <w:rStyle w:val="CharSDivText"/>
        </w:rPr>
        <w:t>Daily entrance fees for Tree Top Walk</w:t>
      </w:r>
      <w:bookmarkEnd w:id="1028"/>
      <w:bookmarkEnd w:id="1029"/>
      <w:bookmarkEnd w:id="1030"/>
      <w:bookmarkEnd w:id="1031"/>
      <w:bookmarkEnd w:id="1032"/>
      <w:bookmarkEnd w:id="1033"/>
      <w:bookmarkEnd w:id="1034"/>
      <w:bookmarkEnd w:id="1035"/>
      <w:bookmarkEnd w:id="1036"/>
      <w:bookmarkEnd w:id="1037"/>
      <w:bookmarkEnd w:id="1038"/>
      <w:bookmarkEnd w:id="1039"/>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rPr>
                <w:lang w:val="en-GB"/>
              </w:rPr>
            </w:pPr>
            <w:r>
              <w:t>1.</w:t>
            </w:r>
          </w:p>
        </w:tc>
        <w:tc>
          <w:tcPr>
            <w:tcW w:w="5387" w:type="dxa"/>
          </w:tcPr>
          <w:p>
            <w:pPr>
              <w:pStyle w:val="yTable"/>
              <w:keepNext/>
              <w:keepLines/>
            </w:pPr>
            <w:r>
              <w:t>For person 16 years of age or over</w:t>
            </w:r>
          </w:p>
        </w:tc>
        <w:tc>
          <w:tcPr>
            <w:tcW w:w="708" w:type="dxa"/>
          </w:tcPr>
          <w:p>
            <w:pPr>
              <w:pStyle w:val="yTable"/>
              <w:keepNext/>
              <w:keepLines/>
              <w:tabs>
                <w:tab w:val="decimal" w:pos="275"/>
              </w:tabs>
            </w:pPr>
            <w:r>
              <w:t>10.00</w:t>
            </w:r>
          </w:p>
        </w:tc>
      </w:tr>
      <w:tr>
        <w:tc>
          <w:tcPr>
            <w:tcW w:w="709" w:type="dxa"/>
          </w:tcPr>
          <w:p>
            <w:pPr>
              <w:pStyle w:val="yTable"/>
              <w:keepNext/>
              <w:keepLines/>
            </w:pPr>
            <w:r>
              <w:t>2.</w:t>
            </w:r>
          </w:p>
        </w:tc>
        <w:tc>
          <w:tcPr>
            <w:tcW w:w="5387" w:type="dxa"/>
          </w:tcPr>
          <w:p>
            <w:pPr>
              <w:pStyle w:val="yTable"/>
              <w:keepNext/>
              <w:keepLines/>
            </w:pPr>
            <w:r>
              <w:t xml:space="preserve">For person of more than 5 and less than 16 years of age </w:t>
            </w:r>
          </w:p>
        </w:tc>
        <w:tc>
          <w:tcPr>
            <w:tcW w:w="708" w:type="dxa"/>
          </w:tcPr>
          <w:p>
            <w:pPr>
              <w:pStyle w:val="yTable"/>
              <w:keepNext/>
              <w:keepLines/>
              <w:tabs>
                <w:tab w:val="decimal" w:pos="275"/>
              </w:tabs>
            </w:pPr>
            <w:r>
              <w:t>5.00</w:t>
            </w:r>
          </w:p>
        </w:tc>
      </w:tr>
      <w:tr>
        <w:tc>
          <w:tcPr>
            <w:tcW w:w="709" w:type="dxa"/>
          </w:tcPr>
          <w:p>
            <w:pPr>
              <w:pStyle w:val="yTable"/>
              <w:keepNext/>
              <w:keepLines/>
            </w:pPr>
            <w:r>
              <w:t>3.</w:t>
            </w:r>
          </w:p>
        </w:tc>
        <w:tc>
          <w:tcPr>
            <w:tcW w:w="5387" w:type="dxa"/>
          </w:tcPr>
          <w:p>
            <w:pPr>
              <w:pStyle w:val="yTable"/>
              <w:keepNext/>
              <w:keepLines/>
              <w:ind w:left="227" w:hanging="227"/>
            </w:pPr>
            <w:r>
              <w:t>For family (2 adults and 2 children of more than 5 and less than 16 years of age)</w:t>
            </w:r>
          </w:p>
        </w:tc>
        <w:tc>
          <w:tcPr>
            <w:tcW w:w="708" w:type="dxa"/>
          </w:tcPr>
          <w:p>
            <w:pPr>
              <w:pStyle w:val="yTable"/>
              <w:keepNext/>
              <w:keepLines/>
              <w:tabs>
                <w:tab w:val="decimal" w:pos="275"/>
              </w:tabs>
            </w:pPr>
            <w:r>
              <w:br/>
              <w:t>25.00</w:t>
            </w:r>
          </w:p>
        </w:tc>
      </w:tr>
      <w:tr>
        <w:tc>
          <w:tcPr>
            <w:tcW w:w="709" w:type="dxa"/>
          </w:tcPr>
          <w:p>
            <w:pPr>
              <w:pStyle w:val="yTable"/>
              <w:keepNext/>
              <w:keepLines/>
            </w:pPr>
            <w:r>
              <w:t>4.</w:t>
            </w:r>
          </w:p>
        </w:tc>
        <w:tc>
          <w:tcPr>
            <w:tcW w:w="5387" w:type="dxa"/>
          </w:tcPr>
          <w:p>
            <w:pPr>
              <w:pStyle w:val="yTable"/>
              <w:keepNext/>
              <w:keepLines/>
            </w:pPr>
            <w:r>
              <w:t>For holder of a concession card</w:t>
            </w:r>
          </w:p>
        </w:tc>
        <w:tc>
          <w:tcPr>
            <w:tcW w:w="708" w:type="dxa"/>
          </w:tcPr>
          <w:p>
            <w:pPr>
              <w:pStyle w:val="yTable"/>
              <w:keepNext/>
              <w:keepLines/>
              <w:tabs>
                <w:tab w:val="decimal" w:pos="275"/>
              </w:tabs>
            </w:pPr>
            <w:r>
              <w:t>8.00</w:t>
            </w:r>
          </w:p>
        </w:tc>
      </w:tr>
    </w:tbl>
    <w:p>
      <w:pPr>
        <w:pStyle w:val="yFootnotesection"/>
        <w:keepNext/>
        <w:rPr>
          <w:rStyle w:val="CharPartNo"/>
        </w:rPr>
      </w:pPr>
      <w:r>
        <w:tab/>
        <w:t>[Division 3 amended in Gazette 29 Sep 2006 p. 4328; 28 Aug 2009 p. 3356.]</w:t>
      </w:r>
    </w:p>
    <w:p>
      <w:pPr>
        <w:pStyle w:val="yHeading3"/>
      </w:pPr>
      <w:bookmarkStart w:id="1040" w:name="_Toc189456642"/>
      <w:bookmarkStart w:id="1041" w:name="_Toc223500445"/>
      <w:bookmarkStart w:id="1042" w:name="_Toc223500607"/>
      <w:bookmarkStart w:id="1043" w:name="_Toc239150556"/>
      <w:bookmarkStart w:id="1044" w:name="_Toc271207578"/>
      <w:bookmarkStart w:id="1045" w:name="_Toc271207754"/>
      <w:bookmarkStart w:id="1046" w:name="_Toc271209077"/>
      <w:bookmarkStart w:id="1047" w:name="_Toc271209411"/>
      <w:bookmarkStart w:id="1048" w:name="_Toc271209587"/>
      <w:bookmarkStart w:id="1049" w:name="_Toc271209763"/>
      <w:bookmarkStart w:id="1050" w:name="_Toc271209939"/>
      <w:bookmarkStart w:id="1051" w:name="_Toc524423028"/>
      <w:r>
        <w:rPr>
          <w:rStyle w:val="CharSDivNo"/>
        </w:rPr>
        <w:t>Division 4</w:t>
      </w:r>
      <w:r>
        <w:rPr>
          <w:rStyle w:val="CharDivNo"/>
        </w:rPr>
        <w:t xml:space="preserve"> </w:t>
      </w:r>
      <w:r>
        <w:t>—</w:t>
      </w:r>
      <w:r>
        <w:rPr>
          <w:rStyle w:val="CharDivText"/>
        </w:rPr>
        <w:t xml:space="preserve"> </w:t>
      </w:r>
      <w:r>
        <w:rPr>
          <w:rStyle w:val="CharSDivText"/>
        </w:rPr>
        <w:t>Fees for Geikie Gorge National Park Boat Trip</w:t>
      </w:r>
      <w:bookmarkEnd w:id="1040"/>
      <w:bookmarkEnd w:id="1041"/>
      <w:bookmarkEnd w:id="1042"/>
      <w:bookmarkEnd w:id="1043"/>
      <w:bookmarkEnd w:id="1044"/>
      <w:bookmarkEnd w:id="1045"/>
      <w:bookmarkEnd w:id="1046"/>
      <w:bookmarkEnd w:id="1047"/>
      <w:bookmarkEnd w:id="1048"/>
      <w:bookmarkEnd w:id="1049"/>
      <w:bookmarkEnd w:id="1050"/>
      <w:bookmarkEnd w:id="1051"/>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rPr>
                <w:lang w:val="en-US"/>
              </w:rPr>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pPr>
            <w:r>
              <w:t>For person 16 years and over</w:t>
            </w:r>
          </w:p>
        </w:tc>
        <w:tc>
          <w:tcPr>
            <w:tcW w:w="708" w:type="dxa"/>
          </w:tcPr>
          <w:p>
            <w:pPr>
              <w:pStyle w:val="yTable"/>
              <w:tabs>
                <w:tab w:val="decimal" w:pos="275"/>
              </w:tabs>
            </w:pPr>
            <w:r>
              <w:t>28.00</w:t>
            </w:r>
          </w:p>
        </w:tc>
      </w:tr>
      <w:tr>
        <w:tc>
          <w:tcPr>
            <w:tcW w:w="709" w:type="dxa"/>
          </w:tcPr>
          <w:p>
            <w:pPr>
              <w:pStyle w:val="yTable"/>
            </w:pPr>
            <w:r>
              <w:t>2.</w:t>
            </w:r>
          </w:p>
        </w:tc>
        <w:tc>
          <w:tcPr>
            <w:tcW w:w="5387" w:type="dxa"/>
          </w:tcPr>
          <w:p>
            <w:pPr>
              <w:pStyle w:val="yTable"/>
            </w:pPr>
            <w:r>
              <w:t>For person of more than 5 and less than 16 years of age</w:t>
            </w:r>
          </w:p>
        </w:tc>
        <w:tc>
          <w:tcPr>
            <w:tcW w:w="708" w:type="dxa"/>
          </w:tcPr>
          <w:p>
            <w:pPr>
              <w:pStyle w:val="yTable"/>
              <w:tabs>
                <w:tab w:val="decimal" w:pos="275"/>
              </w:tabs>
            </w:pPr>
            <w:r>
              <w:t>7.50</w:t>
            </w:r>
          </w:p>
        </w:tc>
      </w:tr>
      <w:tr>
        <w:tc>
          <w:tcPr>
            <w:tcW w:w="709" w:type="dxa"/>
          </w:tcPr>
          <w:p>
            <w:pPr>
              <w:pStyle w:val="yTable"/>
            </w:pPr>
            <w:r>
              <w:t>3.</w:t>
            </w:r>
          </w:p>
        </w:tc>
        <w:tc>
          <w:tcPr>
            <w:tcW w:w="5387" w:type="dxa"/>
          </w:tcPr>
          <w:p>
            <w:pPr>
              <w:pStyle w:val="yTable"/>
            </w:pPr>
            <w:r>
              <w:t>For family (2 adults and 2 children of more than 5 and less than 16 years of age)</w:t>
            </w:r>
          </w:p>
        </w:tc>
        <w:tc>
          <w:tcPr>
            <w:tcW w:w="708" w:type="dxa"/>
          </w:tcPr>
          <w:p>
            <w:pPr>
              <w:pStyle w:val="yTable"/>
              <w:tabs>
                <w:tab w:val="decimal" w:pos="275"/>
              </w:tabs>
            </w:pPr>
            <w:r>
              <w:br/>
              <w:t>60.00</w:t>
            </w:r>
          </w:p>
        </w:tc>
      </w:tr>
      <w:tr>
        <w:tc>
          <w:tcPr>
            <w:tcW w:w="709" w:type="dxa"/>
          </w:tcPr>
          <w:p>
            <w:pPr>
              <w:pStyle w:val="yTable"/>
            </w:pPr>
            <w:r>
              <w:t>4.</w:t>
            </w:r>
          </w:p>
        </w:tc>
        <w:tc>
          <w:tcPr>
            <w:tcW w:w="5387" w:type="dxa"/>
          </w:tcPr>
          <w:p>
            <w:pPr>
              <w:pStyle w:val="yTable"/>
            </w:pPr>
            <w:r>
              <w:t>For holder of a concession card</w:t>
            </w:r>
          </w:p>
        </w:tc>
        <w:tc>
          <w:tcPr>
            <w:tcW w:w="708" w:type="dxa"/>
          </w:tcPr>
          <w:p>
            <w:pPr>
              <w:pStyle w:val="yTable"/>
              <w:tabs>
                <w:tab w:val="decimal" w:pos="275"/>
              </w:tabs>
            </w:pPr>
            <w:r>
              <w:t>20.00</w:t>
            </w:r>
          </w:p>
        </w:tc>
      </w:tr>
    </w:tbl>
    <w:p>
      <w:pPr>
        <w:pStyle w:val="yFootnotesection"/>
        <w:rPr>
          <w:rStyle w:val="CharPartNo"/>
        </w:rPr>
      </w:pPr>
      <w:r>
        <w:tab/>
        <w:t>[Division 4 amended in Gazette 29 Sep 2006 p. 4328; 28 Aug 2009 p. 3355 and 3356.]</w:t>
      </w:r>
    </w:p>
    <w:p>
      <w:pPr>
        <w:pStyle w:val="yHeading3"/>
      </w:pPr>
      <w:bookmarkStart w:id="1052" w:name="_Toc189456643"/>
      <w:bookmarkStart w:id="1053" w:name="_Toc223500446"/>
      <w:bookmarkStart w:id="1054" w:name="_Toc223500608"/>
      <w:bookmarkStart w:id="1055" w:name="_Toc239150557"/>
      <w:bookmarkStart w:id="1056" w:name="_Toc271207579"/>
      <w:bookmarkStart w:id="1057" w:name="_Toc271207755"/>
      <w:bookmarkStart w:id="1058" w:name="_Toc271209078"/>
      <w:bookmarkStart w:id="1059" w:name="_Toc271209412"/>
      <w:bookmarkStart w:id="1060" w:name="_Toc271209588"/>
      <w:bookmarkStart w:id="1061" w:name="_Toc271209764"/>
      <w:bookmarkStart w:id="1062" w:name="_Toc271209940"/>
      <w:bookmarkStart w:id="1063" w:name="_Toc524423029"/>
      <w:r>
        <w:rPr>
          <w:rStyle w:val="CharSDivNo"/>
        </w:rPr>
        <w:t>Division 5</w:t>
      </w:r>
      <w:r>
        <w:rPr>
          <w:rStyle w:val="CharDivNo"/>
        </w:rPr>
        <w:t xml:space="preserve"> </w:t>
      </w:r>
      <w:r>
        <w:t>—</w:t>
      </w:r>
      <w:r>
        <w:rPr>
          <w:rStyle w:val="CharDivText"/>
        </w:rPr>
        <w:t xml:space="preserve"> </w:t>
      </w:r>
      <w:r>
        <w:rPr>
          <w:rStyle w:val="CharSDivText"/>
        </w:rPr>
        <w:t>Horse riding</w:t>
      </w:r>
      <w:bookmarkEnd w:id="1052"/>
      <w:bookmarkEnd w:id="1053"/>
      <w:bookmarkEnd w:id="1054"/>
      <w:bookmarkEnd w:id="1055"/>
      <w:bookmarkEnd w:id="1056"/>
      <w:bookmarkEnd w:id="1057"/>
      <w:bookmarkEnd w:id="1058"/>
      <w:bookmarkEnd w:id="1059"/>
      <w:bookmarkEnd w:id="1060"/>
      <w:bookmarkEnd w:id="1061"/>
      <w:bookmarkEnd w:id="1062"/>
      <w:bookmarkEnd w:id="1063"/>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pPr>
            <w:r>
              <w:t xml:space="preserve">Daily fee for one person </w:t>
            </w:r>
          </w:p>
        </w:tc>
        <w:tc>
          <w:tcPr>
            <w:tcW w:w="708" w:type="dxa"/>
          </w:tcPr>
          <w:p>
            <w:pPr>
              <w:pStyle w:val="yTable"/>
              <w:tabs>
                <w:tab w:val="decimal" w:pos="275"/>
              </w:tabs>
            </w:pPr>
            <w:r>
              <w:t>6.50</w:t>
            </w:r>
          </w:p>
        </w:tc>
      </w:tr>
      <w:tr>
        <w:tc>
          <w:tcPr>
            <w:tcW w:w="709" w:type="dxa"/>
          </w:tcPr>
          <w:p>
            <w:pPr>
              <w:pStyle w:val="yTable"/>
            </w:pPr>
            <w:r>
              <w:t>2.</w:t>
            </w:r>
          </w:p>
        </w:tc>
        <w:tc>
          <w:tcPr>
            <w:tcW w:w="5387" w:type="dxa"/>
          </w:tcPr>
          <w:p>
            <w:pPr>
              <w:pStyle w:val="yTable"/>
            </w:pPr>
            <w:r>
              <w:t>Annual pass for family</w:t>
            </w:r>
          </w:p>
        </w:tc>
        <w:tc>
          <w:tcPr>
            <w:tcW w:w="708" w:type="dxa"/>
          </w:tcPr>
          <w:p>
            <w:pPr>
              <w:pStyle w:val="yTable"/>
              <w:tabs>
                <w:tab w:val="decimal" w:pos="275"/>
              </w:tabs>
            </w:pPr>
            <w:r>
              <w:t>50.00</w:t>
            </w:r>
          </w:p>
        </w:tc>
      </w:tr>
    </w:tbl>
    <w:p>
      <w:pPr>
        <w:pStyle w:val="yFootnotesection"/>
        <w:rPr>
          <w:rStyle w:val="CharPartNo"/>
        </w:rPr>
      </w:pPr>
      <w:bookmarkStart w:id="1064" w:name="_Toc189456644"/>
      <w:bookmarkStart w:id="1065" w:name="_Toc223500447"/>
      <w:bookmarkStart w:id="1066" w:name="_Toc223500609"/>
      <w:r>
        <w:tab/>
        <w:t>[Division 5 amended in Gazette 28 Aug 2009 p. 3356.]</w:t>
      </w:r>
    </w:p>
    <w:p>
      <w:pPr>
        <w:pStyle w:val="yHeading3"/>
      </w:pPr>
      <w:bookmarkStart w:id="1067" w:name="_Toc239150558"/>
      <w:bookmarkStart w:id="1068" w:name="_Toc271207580"/>
      <w:bookmarkStart w:id="1069" w:name="_Toc271207756"/>
      <w:bookmarkStart w:id="1070" w:name="_Toc271209079"/>
      <w:bookmarkStart w:id="1071" w:name="_Toc271209413"/>
      <w:bookmarkStart w:id="1072" w:name="_Toc271209589"/>
      <w:bookmarkStart w:id="1073" w:name="_Toc271209765"/>
      <w:bookmarkStart w:id="1074" w:name="_Toc271209941"/>
      <w:bookmarkStart w:id="1075" w:name="_Toc524423030"/>
      <w:r>
        <w:rPr>
          <w:rStyle w:val="CharSDivNo"/>
        </w:rPr>
        <w:t>Division 6</w:t>
      </w:r>
      <w:r>
        <w:rPr>
          <w:b w:val="0"/>
        </w:rPr>
        <w:t> — </w:t>
      </w:r>
      <w:r>
        <w:rPr>
          <w:rStyle w:val="CharSDivText"/>
        </w:rPr>
        <w:t>Camping site fees</w:t>
      </w:r>
      <w:bookmarkEnd w:id="1064"/>
      <w:bookmarkEnd w:id="1065"/>
      <w:bookmarkEnd w:id="1066"/>
      <w:bookmarkEnd w:id="1067"/>
      <w:bookmarkEnd w:id="1068"/>
      <w:bookmarkEnd w:id="1069"/>
      <w:bookmarkEnd w:id="1070"/>
      <w:bookmarkEnd w:id="1071"/>
      <w:bookmarkEnd w:id="1072"/>
      <w:bookmarkEnd w:id="1073"/>
      <w:bookmarkEnd w:id="1074"/>
      <w:bookmarkEnd w:id="1075"/>
    </w:p>
    <w:p>
      <w:pPr>
        <w:pStyle w:val="yFootnoteheading"/>
      </w:pPr>
      <w:r>
        <w:tab/>
        <w:t>[Heading inserted in Gazette 29 Sep 2006 p. 4329.]</w:t>
      </w:r>
    </w:p>
    <w:tbl>
      <w:tblPr>
        <w:tblW w:w="0" w:type="auto"/>
        <w:tblInd w:w="8" w:type="dxa"/>
        <w:tblLayout w:type="fixed"/>
        <w:tblCellMar>
          <w:left w:w="8" w:type="dxa"/>
          <w:right w:w="8" w:type="dxa"/>
        </w:tblCellMar>
        <w:tblLook w:val="0000" w:firstRow="0" w:lastRow="0" w:firstColumn="0" w:lastColumn="0" w:noHBand="0" w:noVBand="0"/>
      </w:tblPr>
      <w:tblGrid>
        <w:gridCol w:w="720"/>
        <w:gridCol w:w="5280"/>
        <w:gridCol w:w="804"/>
      </w:tblGrid>
      <w:tr>
        <w:trPr>
          <w:cantSplit/>
          <w:tblHeader/>
        </w:trPr>
        <w:tc>
          <w:tcPr>
            <w:tcW w:w="720" w:type="dxa"/>
          </w:tcPr>
          <w:p>
            <w:pPr>
              <w:pStyle w:val="yTable"/>
            </w:pPr>
          </w:p>
        </w:tc>
        <w:tc>
          <w:tcPr>
            <w:tcW w:w="5280" w:type="dxa"/>
          </w:tcPr>
          <w:p>
            <w:pPr>
              <w:pStyle w:val="yTable"/>
              <w:tabs>
                <w:tab w:val="left" w:pos="134"/>
                <w:tab w:val="left" w:pos="276"/>
                <w:tab w:val="left" w:pos="2260"/>
              </w:tabs>
            </w:pPr>
          </w:p>
        </w:tc>
        <w:tc>
          <w:tcPr>
            <w:tcW w:w="804" w:type="dxa"/>
          </w:tcPr>
          <w:p>
            <w:pPr>
              <w:pStyle w:val="yTable"/>
              <w:jc w:val="center"/>
              <w:rPr>
                <w:b/>
              </w:rPr>
            </w:pPr>
            <w:r>
              <w:rPr>
                <w:b/>
              </w:rPr>
              <w:t>Fee per night</w:t>
            </w:r>
            <w:r>
              <w:rPr>
                <w:b/>
              </w:rPr>
              <w:br/>
              <w:t>$</w:t>
            </w:r>
          </w:p>
        </w:tc>
      </w:tr>
      <w:tr>
        <w:trPr>
          <w:cantSplit/>
        </w:trPr>
        <w:tc>
          <w:tcPr>
            <w:tcW w:w="720" w:type="dxa"/>
          </w:tcPr>
          <w:p>
            <w:pPr>
              <w:pStyle w:val="yTable"/>
            </w:pPr>
            <w:r>
              <w:t>1.</w:t>
            </w:r>
          </w:p>
        </w:tc>
        <w:tc>
          <w:tcPr>
            <w:tcW w:w="5280" w:type="dxa"/>
          </w:tcPr>
          <w:p>
            <w:pPr>
              <w:pStyle w:val="yTable"/>
              <w:tabs>
                <w:tab w:val="left" w:pos="276"/>
                <w:tab w:val="left" w:pos="418"/>
                <w:tab w:val="left" w:pos="2260"/>
              </w:tabs>
            </w:pPr>
            <w:r>
              <w:t xml:space="preserve">Fee for site with no ablutions or showers — </w:t>
            </w:r>
          </w:p>
          <w:p>
            <w:pPr>
              <w:pStyle w:val="yTable"/>
              <w:tabs>
                <w:tab w:val="left" w:pos="276"/>
                <w:tab w:val="left" w:pos="418"/>
                <w:tab w:val="left" w:pos="2260"/>
              </w:tabs>
              <w:spacing w:before="0"/>
            </w:pPr>
            <w:r>
              <w:tab/>
              <w:t>each person 16 years of age or over</w:t>
            </w:r>
          </w:p>
          <w:p>
            <w:pPr>
              <w:pStyle w:val="yTable"/>
              <w:tabs>
                <w:tab w:val="left" w:pos="276"/>
                <w:tab w:val="left" w:pos="418"/>
                <w:tab w:val="left" w:pos="2260"/>
              </w:tabs>
              <w:spacing w:before="0"/>
            </w:pPr>
            <w:r>
              <w:tab/>
              <w:t>each person 16 years of age or over who holds a</w:t>
            </w:r>
            <w:r>
              <w:br/>
            </w:r>
            <w:r>
              <w:tab/>
            </w:r>
            <w:r>
              <w:tab/>
              <w:t>concession card</w:t>
            </w:r>
          </w:p>
          <w:p>
            <w:pPr>
              <w:pStyle w:val="yTable"/>
              <w:tabs>
                <w:tab w:val="left" w:pos="276"/>
                <w:tab w:val="left" w:pos="418"/>
                <w:tab w:val="left" w:pos="2260"/>
              </w:tabs>
              <w:spacing w:before="0"/>
            </w:pPr>
            <w:r>
              <w:tab/>
              <w:t>each person of more than 5 and less than 16 years of age</w:t>
            </w:r>
          </w:p>
        </w:tc>
        <w:tc>
          <w:tcPr>
            <w:tcW w:w="804" w:type="dxa"/>
          </w:tcPr>
          <w:p>
            <w:pPr>
              <w:pStyle w:val="yTable"/>
              <w:jc w:val="right"/>
            </w:pPr>
            <w:r>
              <w:br/>
              <w:t>7.00</w:t>
            </w:r>
            <w:r>
              <w:br/>
            </w:r>
            <w:r>
              <w:br/>
              <w:t>5.00</w:t>
            </w:r>
            <w:r>
              <w:br/>
              <w:t>2.00</w:t>
            </w:r>
          </w:p>
        </w:tc>
      </w:tr>
      <w:tr>
        <w:trPr>
          <w:cantSplit/>
        </w:trPr>
        <w:tc>
          <w:tcPr>
            <w:tcW w:w="720" w:type="dxa"/>
          </w:tcPr>
          <w:p>
            <w:pPr>
              <w:pStyle w:val="yTable"/>
            </w:pPr>
            <w:r>
              <w:t>2.</w:t>
            </w:r>
          </w:p>
        </w:tc>
        <w:tc>
          <w:tcPr>
            <w:tcW w:w="5280" w:type="dxa"/>
          </w:tcPr>
          <w:p>
            <w:pPr>
              <w:pStyle w:val="yTable"/>
              <w:tabs>
                <w:tab w:val="left" w:pos="276"/>
                <w:tab w:val="left" w:pos="559"/>
              </w:tabs>
            </w:pPr>
            <w:r>
              <w:t xml:space="preserve">Fee for site with facilities including ablutions or showers — </w:t>
            </w:r>
          </w:p>
          <w:p>
            <w:pPr>
              <w:pStyle w:val="yTable"/>
              <w:tabs>
                <w:tab w:val="left" w:pos="276"/>
                <w:tab w:val="left" w:pos="559"/>
              </w:tabs>
              <w:spacing w:before="0"/>
            </w:pPr>
            <w:r>
              <w:tab/>
              <w:t>each person 16 years of age or over</w:t>
            </w:r>
          </w:p>
          <w:p>
            <w:pPr>
              <w:pStyle w:val="yTable"/>
              <w:tabs>
                <w:tab w:val="left" w:pos="276"/>
                <w:tab w:val="left" w:pos="418"/>
              </w:tabs>
              <w:spacing w:before="0"/>
            </w:pPr>
            <w:r>
              <w:tab/>
              <w:t xml:space="preserve">each person 16 years of age or over who holds a </w:t>
            </w:r>
            <w:r>
              <w:tab/>
            </w:r>
            <w:r>
              <w:tab/>
              <w:t>concession card</w:t>
            </w:r>
          </w:p>
          <w:p>
            <w:pPr>
              <w:pStyle w:val="yTable"/>
              <w:tabs>
                <w:tab w:val="left" w:pos="276"/>
                <w:tab w:val="left" w:pos="418"/>
              </w:tabs>
              <w:spacing w:before="0"/>
            </w:pPr>
            <w:r>
              <w:tab/>
              <w:t>each person of more than 5 and less than 16 years of age</w:t>
            </w:r>
          </w:p>
        </w:tc>
        <w:tc>
          <w:tcPr>
            <w:tcW w:w="804" w:type="dxa"/>
          </w:tcPr>
          <w:p>
            <w:pPr>
              <w:pStyle w:val="yTable"/>
              <w:jc w:val="right"/>
            </w:pPr>
            <w:r>
              <w:br/>
            </w:r>
            <w:r>
              <w:br/>
              <w:t>9.00</w:t>
            </w:r>
            <w:r>
              <w:br/>
            </w:r>
            <w:r>
              <w:br/>
              <w:t>6.00</w:t>
            </w:r>
            <w:r>
              <w:br/>
              <w:t>2.00</w:t>
            </w:r>
          </w:p>
        </w:tc>
      </w:tr>
      <w:tr>
        <w:tc>
          <w:tcPr>
            <w:tcW w:w="720" w:type="dxa"/>
          </w:tcPr>
          <w:p>
            <w:pPr>
              <w:pStyle w:val="yTable"/>
            </w:pPr>
          </w:p>
        </w:tc>
        <w:tc>
          <w:tcPr>
            <w:tcW w:w="5280" w:type="dxa"/>
          </w:tcPr>
          <w:p>
            <w:pPr>
              <w:pStyle w:val="yTable"/>
              <w:tabs>
                <w:tab w:val="left" w:pos="276"/>
                <w:tab w:val="left" w:pos="418"/>
              </w:tabs>
              <w:spacing w:before="0"/>
            </w:pPr>
          </w:p>
        </w:tc>
        <w:tc>
          <w:tcPr>
            <w:tcW w:w="804" w:type="dxa"/>
          </w:tcPr>
          <w:p>
            <w:pPr>
              <w:pStyle w:val="yTable"/>
              <w:spacing w:before="40"/>
              <w:jc w:val="right"/>
            </w:pPr>
          </w:p>
        </w:tc>
      </w:tr>
      <w:tr>
        <w:tc>
          <w:tcPr>
            <w:tcW w:w="720" w:type="dxa"/>
          </w:tcPr>
          <w:p>
            <w:pPr>
              <w:pStyle w:val="yTable"/>
            </w:pPr>
            <w:r>
              <w:t>3.</w:t>
            </w:r>
          </w:p>
        </w:tc>
        <w:tc>
          <w:tcPr>
            <w:tcW w:w="5280" w:type="dxa"/>
          </w:tcPr>
          <w:p>
            <w:pPr>
              <w:pStyle w:val="zyTableNAm"/>
              <w:spacing w:before="60"/>
            </w:pPr>
            <w:r>
              <w:t xml:space="preserve">Fee for site in Windjana Gorge National Park, Purnululu National Park or King Leopold Ranges Conservation Park — </w:t>
            </w:r>
          </w:p>
          <w:p>
            <w:pPr>
              <w:pStyle w:val="zyTableNAm"/>
              <w:tabs>
                <w:tab w:val="clear" w:pos="567"/>
                <w:tab w:val="left" w:pos="398"/>
              </w:tabs>
              <w:spacing w:before="60"/>
              <w:ind w:left="420" w:hanging="420"/>
            </w:pPr>
            <w:r>
              <w:tab/>
              <w:t>each person 16 years of age or over</w:t>
            </w:r>
          </w:p>
          <w:p>
            <w:pPr>
              <w:pStyle w:val="zyTableNAm"/>
              <w:tabs>
                <w:tab w:val="clear" w:pos="567"/>
                <w:tab w:val="left" w:pos="398"/>
              </w:tabs>
              <w:spacing w:before="60"/>
              <w:ind w:left="418" w:hanging="418"/>
            </w:pPr>
            <w:r>
              <w:tab/>
              <w:t>each person 16 years of age or over who holds a concession card</w:t>
            </w:r>
          </w:p>
          <w:p>
            <w:pPr>
              <w:pStyle w:val="zyTableNAm"/>
              <w:tabs>
                <w:tab w:val="clear" w:pos="567"/>
                <w:tab w:val="left" w:pos="398"/>
              </w:tabs>
              <w:spacing w:before="60"/>
              <w:ind w:left="420" w:hanging="420"/>
            </w:pPr>
            <w:r>
              <w:tab/>
              <w:t>each person of more than 5 and less than 16 years of age</w:t>
            </w:r>
          </w:p>
        </w:tc>
        <w:tc>
          <w:tcPr>
            <w:tcW w:w="804" w:type="dxa"/>
          </w:tcPr>
          <w:p>
            <w:pPr>
              <w:pStyle w:val="zyTableNAm"/>
              <w:tabs>
                <w:tab w:val="clear" w:pos="567"/>
                <w:tab w:val="decimal" w:pos="513"/>
              </w:tabs>
              <w:spacing w:before="60"/>
            </w:pPr>
            <w:r>
              <w:br/>
            </w:r>
            <w:r>
              <w:br/>
            </w:r>
          </w:p>
          <w:p>
            <w:pPr>
              <w:pStyle w:val="zyTableNAm"/>
              <w:tabs>
                <w:tab w:val="clear" w:pos="567"/>
                <w:tab w:val="decimal" w:pos="513"/>
              </w:tabs>
              <w:spacing w:before="60"/>
            </w:pPr>
            <w:r>
              <w:t>11.00</w:t>
            </w:r>
          </w:p>
          <w:p>
            <w:pPr>
              <w:pStyle w:val="zyTableNAm"/>
              <w:tabs>
                <w:tab w:val="clear" w:pos="567"/>
                <w:tab w:val="decimal" w:pos="513"/>
              </w:tabs>
              <w:spacing w:before="60"/>
            </w:pPr>
            <w:r>
              <w:br/>
              <w:t>8.00</w:t>
            </w:r>
          </w:p>
          <w:p>
            <w:pPr>
              <w:pStyle w:val="yTable"/>
              <w:spacing w:before="40"/>
              <w:jc w:val="right"/>
            </w:pPr>
            <w:r>
              <w:br/>
              <w:t>2.00</w:t>
            </w:r>
          </w:p>
        </w:tc>
      </w:tr>
    </w:tbl>
    <w:p>
      <w:pPr>
        <w:pStyle w:val="yFootnotesection"/>
        <w:rPr>
          <w:rStyle w:val="CharPartNo"/>
        </w:rPr>
      </w:pPr>
      <w:r>
        <w:tab/>
        <w:t>[Division 6 inserted in Gazette 29 Sep 2006 p. 4329; amended in Gazette 28 Aug 2009 p. 3355</w:t>
      </w:r>
      <w:bookmarkStart w:id="1076" w:name="UpToHere"/>
      <w:bookmarkEnd w:id="1076"/>
      <w:r>
        <w:t xml:space="preserve"> and 3356.]</w:t>
      </w:r>
    </w:p>
    <w:p>
      <w:pPr>
        <w:pStyle w:val="yHeading3"/>
      </w:pPr>
      <w:bookmarkStart w:id="1077" w:name="_Toc189456645"/>
      <w:bookmarkStart w:id="1078" w:name="_Toc223500448"/>
      <w:bookmarkStart w:id="1079" w:name="_Toc223500610"/>
      <w:bookmarkStart w:id="1080" w:name="_Toc239150559"/>
      <w:bookmarkStart w:id="1081" w:name="_Toc271207581"/>
      <w:bookmarkStart w:id="1082" w:name="_Toc271207757"/>
      <w:bookmarkStart w:id="1083" w:name="_Toc271209080"/>
      <w:bookmarkStart w:id="1084" w:name="_Toc271209414"/>
      <w:bookmarkStart w:id="1085" w:name="_Toc271209590"/>
      <w:bookmarkStart w:id="1086" w:name="_Toc271209766"/>
      <w:bookmarkStart w:id="1087" w:name="_Toc271209942"/>
      <w:bookmarkStart w:id="1088" w:name="_Toc524423031"/>
      <w:r>
        <w:rPr>
          <w:rStyle w:val="CharSDivNo"/>
        </w:rPr>
        <w:t>Division 7</w:t>
      </w:r>
      <w:r>
        <w:rPr>
          <w:rStyle w:val="CharDivNo"/>
        </w:rPr>
        <w:t xml:space="preserve"> </w:t>
      </w:r>
      <w:r>
        <w:t>—</w:t>
      </w:r>
      <w:r>
        <w:rPr>
          <w:rStyle w:val="CharDivText"/>
        </w:rPr>
        <w:t xml:space="preserve"> </w:t>
      </w:r>
      <w:r>
        <w:rPr>
          <w:rStyle w:val="CharSDivText"/>
        </w:rPr>
        <w:t>Cave entrance fees</w:t>
      </w:r>
      <w:bookmarkEnd w:id="1077"/>
      <w:bookmarkEnd w:id="1078"/>
      <w:bookmarkEnd w:id="1079"/>
      <w:bookmarkEnd w:id="1080"/>
      <w:bookmarkEnd w:id="1081"/>
      <w:bookmarkEnd w:id="1082"/>
      <w:bookmarkEnd w:id="1083"/>
      <w:bookmarkEnd w:id="1084"/>
      <w:bookmarkEnd w:id="1085"/>
      <w:bookmarkEnd w:id="1086"/>
      <w:bookmarkEnd w:id="1087"/>
      <w:bookmarkEnd w:id="1088"/>
    </w:p>
    <w:tbl>
      <w:tblPr>
        <w:tblW w:w="0" w:type="auto"/>
        <w:tblInd w:w="8" w:type="dxa"/>
        <w:tblLayout w:type="fixed"/>
        <w:tblCellMar>
          <w:left w:w="8" w:type="dxa"/>
          <w:right w:w="8" w:type="dxa"/>
        </w:tblCellMar>
        <w:tblLook w:val="0000" w:firstRow="0" w:lastRow="0" w:firstColumn="0" w:lastColumn="0" w:noHBand="0" w:noVBand="0"/>
      </w:tblPr>
      <w:tblGrid>
        <w:gridCol w:w="709"/>
        <w:gridCol w:w="5268"/>
        <w:gridCol w:w="827"/>
      </w:tblGrid>
      <w:tr>
        <w:tc>
          <w:tcPr>
            <w:tcW w:w="709" w:type="dxa"/>
          </w:tcPr>
          <w:p>
            <w:pPr>
              <w:pStyle w:val="yTable"/>
              <w:keepNext/>
              <w:keepLines/>
            </w:pPr>
          </w:p>
        </w:tc>
        <w:tc>
          <w:tcPr>
            <w:tcW w:w="5268" w:type="dxa"/>
          </w:tcPr>
          <w:p>
            <w:pPr>
              <w:pStyle w:val="yTable"/>
              <w:keepNext/>
              <w:keepLines/>
            </w:pPr>
          </w:p>
        </w:tc>
        <w:tc>
          <w:tcPr>
            <w:tcW w:w="827" w:type="dxa"/>
          </w:tcPr>
          <w:p>
            <w:pPr>
              <w:pStyle w:val="yTable"/>
              <w:keepNext/>
              <w:keepLines/>
              <w:jc w:val="center"/>
              <w:rPr>
                <w:b/>
              </w:rPr>
            </w:pPr>
            <w:r>
              <w:rPr>
                <w:b/>
              </w:rPr>
              <w:t>$</w:t>
            </w:r>
          </w:p>
        </w:tc>
      </w:tr>
      <w:tr>
        <w:tc>
          <w:tcPr>
            <w:tcW w:w="709" w:type="dxa"/>
          </w:tcPr>
          <w:p>
            <w:pPr>
              <w:pStyle w:val="yTable"/>
              <w:keepNext/>
              <w:keepLines/>
            </w:pPr>
            <w:r>
              <w:t>1.</w:t>
            </w:r>
          </w:p>
        </w:tc>
        <w:tc>
          <w:tcPr>
            <w:tcW w:w="5268" w:type="dxa"/>
          </w:tcPr>
          <w:p>
            <w:pPr>
              <w:pStyle w:val="yTable"/>
              <w:tabs>
                <w:tab w:val="left" w:pos="276"/>
                <w:tab w:val="left" w:pos="418"/>
              </w:tabs>
            </w:pPr>
            <w:r>
              <w:t xml:space="preserve">Crystal Cave, Yanchep National Park — </w:t>
            </w:r>
          </w:p>
          <w:p>
            <w:pPr>
              <w:pStyle w:val="yTable"/>
              <w:tabs>
                <w:tab w:val="left" w:pos="276"/>
                <w:tab w:val="left" w:pos="418"/>
              </w:tabs>
              <w:spacing w:before="0"/>
            </w:pPr>
            <w:r>
              <w:tab/>
              <w:t>each person 16 years of age or over</w:t>
            </w:r>
          </w:p>
          <w:p>
            <w:pPr>
              <w:pStyle w:val="yTable"/>
              <w:tabs>
                <w:tab w:val="left" w:pos="276"/>
                <w:tab w:val="left" w:pos="418"/>
              </w:tabs>
              <w:spacing w:before="0"/>
            </w:pPr>
            <w:r>
              <w:tab/>
              <w:t>each person of more than 5 and less than 16 years of age</w:t>
            </w:r>
          </w:p>
          <w:p>
            <w:pPr>
              <w:pStyle w:val="yTable"/>
              <w:tabs>
                <w:tab w:val="left" w:pos="276"/>
                <w:tab w:val="left" w:pos="418"/>
              </w:tabs>
              <w:spacing w:before="0"/>
            </w:pPr>
            <w:r>
              <w:tab/>
              <w:t>a family (2 adults and 2 children of more than 5 and less</w:t>
            </w:r>
            <w:r>
              <w:tab/>
            </w:r>
            <w:r>
              <w:tab/>
              <w:t>than 16 years of age)</w:t>
            </w:r>
            <w:r>
              <w:br/>
            </w:r>
            <w:r>
              <w:tab/>
              <w:t>each person who holds a concession card</w:t>
            </w:r>
          </w:p>
        </w:tc>
        <w:tc>
          <w:tcPr>
            <w:tcW w:w="827" w:type="dxa"/>
          </w:tcPr>
          <w:p>
            <w:pPr>
              <w:pStyle w:val="yTable"/>
              <w:keepNext/>
              <w:keepLines/>
              <w:tabs>
                <w:tab w:val="decimal" w:pos="275"/>
              </w:tabs>
              <w:spacing w:before="40"/>
            </w:pPr>
            <w:r>
              <w:br/>
              <w:t>10.00</w:t>
            </w:r>
            <w:r>
              <w:br/>
              <w:t>5.00</w:t>
            </w:r>
            <w:r>
              <w:br/>
            </w:r>
            <w:r>
              <w:br/>
              <w:t>25.00</w:t>
            </w:r>
          </w:p>
          <w:p>
            <w:pPr>
              <w:pStyle w:val="yTable"/>
              <w:keepNext/>
              <w:keepLines/>
              <w:tabs>
                <w:tab w:val="decimal" w:pos="275"/>
              </w:tabs>
              <w:spacing w:before="20"/>
            </w:pPr>
            <w:r>
              <w:t>8.00</w:t>
            </w:r>
          </w:p>
        </w:tc>
      </w:tr>
      <w:tr>
        <w:tc>
          <w:tcPr>
            <w:tcW w:w="709" w:type="dxa"/>
          </w:tcPr>
          <w:p>
            <w:pPr>
              <w:pStyle w:val="yTable"/>
            </w:pPr>
            <w:r>
              <w:t>2.</w:t>
            </w:r>
          </w:p>
        </w:tc>
        <w:tc>
          <w:tcPr>
            <w:tcW w:w="5268" w:type="dxa"/>
          </w:tcPr>
          <w:p>
            <w:pPr>
              <w:pStyle w:val="yTable"/>
              <w:tabs>
                <w:tab w:val="left" w:pos="276"/>
                <w:tab w:val="left" w:pos="418"/>
              </w:tabs>
            </w:pPr>
            <w:r>
              <w:t>Calgardup and Giants Caves, Leeuwin</w:t>
            </w:r>
            <w:r>
              <w:noBreakHyphen/>
              <w:t>Naturaliste National Park —</w:t>
            </w:r>
          </w:p>
          <w:p>
            <w:pPr>
              <w:pStyle w:val="yTable"/>
              <w:tabs>
                <w:tab w:val="left" w:pos="276"/>
                <w:tab w:val="left" w:pos="418"/>
              </w:tabs>
              <w:spacing w:before="0"/>
            </w:pPr>
            <w:r>
              <w:tab/>
              <w:t>each person 16 years of age or over</w:t>
            </w:r>
            <w:r>
              <w:br/>
            </w:r>
            <w:r>
              <w:tab/>
              <w:t>each person of more than 5 and less than 16 years of age</w:t>
            </w:r>
          </w:p>
          <w:p>
            <w:pPr>
              <w:pStyle w:val="yTable"/>
              <w:tabs>
                <w:tab w:val="left" w:pos="276"/>
                <w:tab w:val="left" w:pos="418"/>
              </w:tabs>
              <w:spacing w:before="0"/>
            </w:pPr>
            <w:r>
              <w:tab/>
              <w:t xml:space="preserve">a family (2 adults and 2 children of more than 5 and less </w:t>
            </w:r>
            <w:r>
              <w:tab/>
            </w:r>
            <w:r>
              <w:tab/>
              <w:t>than 16 years of age)</w:t>
            </w:r>
          </w:p>
          <w:p>
            <w:pPr>
              <w:pStyle w:val="yTable"/>
              <w:tabs>
                <w:tab w:val="left" w:pos="276"/>
                <w:tab w:val="left" w:pos="418"/>
              </w:tabs>
              <w:spacing w:before="0"/>
            </w:pPr>
            <w:r>
              <w:tab/>
              <w:t>each person who holds a concession card</w:t>
            </w:r>
          </w:p>
        </w:tc>
        <w:tc>
          <w:tcPr>
            <w:tcW w:w="827" w:type="dxa"/>
          </w:tcPr>
          <w:p>
            <w:pPr>
              <w:pStyle w:val="yTable"/>
              <w:tabs>
                <w:tab w:val="decimal" w:pos="275"/>
              </w:tabs>
              <w:spacing w:before="40"/>
            </w:pPr>
            <w:r>
              <w:br/>
            </w:r>
            <w:r>
              <w:br/>
              <w:t>15.00</w:t>
            </w:r>
            <w:r>
              <w:br/>
              <w:t>8.00</w:t>
            </w:r>
            <w:r>
              <w:br/>
            </w:r>
            <w:r>
              <w:br/>
              <w:t>40.00</w:t>
            </w:r>
            <w:r>
              <w:br/>
              <w:t>10.00</w:t>
            </w:r>
          </w:p>
        </w:tc>
      </w:tr>
    </w:tbl>
    <w:p>
      <w:pPr>
        <w:pStyle w:val="yFootnotesection"/>
        <w:rPr>
          <w:rStyle w:val="CharPartNo"/>
        </w:rPr>
      </w:pPr>
      <w:r>
        <w:tab/>
        <w:t>[Division 7 amended in Gazette 29 Sep 2006 p. 4329</w:t>
      </w:r>
      <w:r>
        <w:noBreakHyphen/>
        <w:t>30; 28 Aug 2009 p. 3357.]</w:t>
      </w:r>
    </w:p>
    <w:p>
      <w:pPr>
        <w:pStyle w:val="yHeading3"/>
      </w:pPr>
      <w:bookmarkStart w:id="1089" w:name="_Toc189456646"/>
      <w:bookmarkStart w:id="1090" w:name="_Toc223500449"/>
      <w:bookmarkStart w:id="1091" w:name="_Toc223500611"/>
      <w:bookmarkStart w:id="1092" w:name="_Toc239150560"/>
      <w:bookmarkStart w:id="1093" w:name="_Toc271207582"/>
      <w:bookmarkStart w:id="1094" w:name="_Toc271207758"/>
      <w:bookmarkStart w:id="1095" w:name="_Toc271209081"/>
      <w:bookmarkStart w:id="1096" w:name="_Toc271209415"/>
      <w:bookmarkStart w:id="1097" w:name="_Toc271209591"/>
      <w:bookmarkStart w:id="1098" w:name="_Toc271209767"/>
      <w:bookmarkStart w:id="1099" w:name="_Toc271209943"/>
      <w:bookmarkStart w:id="1100" w:name="_Toc524423032"/>
      <w:r>
        <w:rPr>
          <w:rStyle w:val="CharSDivNo"/>
        </w:rPr>
        <w:t>Division 8</w:t>
      </w:r>
      <w:r>
        <w:rPr>
          <w:rStyle w:val="CharDivNo"/>
        </w:rPr>
        <w:t xml:space="preserve"> </w:t>
      </w:r>
      <w:r>
        <w:t>—</w:t>
      </w:r>
      <w:r>
        <w:rPr>
          <w:rStyle w:val="CharDivText"/>
        </w:rPr>
        <w:t xml:space="preserve"> </w:t>
      </w:r>
      <w:r>
        <w:rPr>
          <w:rStyle w:val="CharSDivText"/>
        </w:rPr>
        <w:t>Licence and permit fees</w:t>
      </w:r>
      <w:bookmarkEnd w:id="1089"/>
      <w:bookmarkEnd w:id="1090"/>
      <w:bookmarkEnd w:id="1091"/>
      <w:bookmarkEnd w:id="1092"/>
      <w:bookmarkEnd w:id="1093"/>
      <w:bookmarkEnd w:id="1094"/>
      <w:bookmarkEnd w:id="1095"/>
      <w:bookmarkEnd w:id="1096"/>
      <w:bookmarkEnd w:id="1097"/>
      <w:bookmarkEnd w:id="1098"/>
      <w:bookmarkEnd w:id="1099"/>
      <w:bookmarkEnd w:id="1100"/>
    </w:p>
    <w:tbl>
      <w:tblPr>
        <w:tblW w:w="0" w:type="auto"/>
        <w:tblInd w:w="8" w:type="dxa"/>
        <w:tblLayout w:type="fixed"/>
        <w:tblCellMar>
          <w:left w:w="8" w:type="dxa"/>
          <w:right w:w="8" w:type="dxa"/>
        </w:tblCellMar>
        <w:tblLook w:val="0000" w:firstRow="0" w:lastRow="0" w:firstColumn="0" w:lastColumn="0" w:noHBand="0" w:noVBand="0"/>
      </w:tblPr>
      <w:tblGrid>
        <w:gridCol w:w="709"/>
        <w:gridCol w:w="5254"/>
        <w:gridCol w:w="841"/>
      </w:tblGrid>
      <w:tr>
        <w:tc>
          <w:tcPr>
            <w:tcW w:w="709" w:type="dxa"/>
          </w:tcPr>
          <w:p>
            <w:pPr>
              <w:pStyle w:val="yTable"/>
              <w:keepNext/>
              <w:keepLines/>
            </w:pPr>
          </w:p>
        </w:tc>
        <w:tc>
          <w:tcPr>
            <w:tcW w:w="5254" w:type="dxa"/>
          </w:tcPr>
          <w:p>
            <w:pPr>
              <w:pStyle w:val="yTable"/>
              <w:keepNext/>
              <w:keepLines/>
            </w:pPr>
          </w:p>
        </w:tc>
        <w:tc>
          <w:tcPr>
            <w:tcW w:w="841" w:type="dxa"/>
          </w:tcPr>
          <w:p>
            <w:pPr>
              <w:pStyle w:val="yTable"/>
              <w:keepNext/>
              <w:keepLines/>
              <w:jc w:val="center"/>
              <w:rPr>
                <w:b/>
              </w:rPr>
            </w:pPr>
            <w:r>
              <w:rPr>
                <w:b/>
              </w:rPr>
              <w:t>$</w:t>
            </w:r>
          </w:p>
        </w:tc>
      </w:tr>
      <w:tr>
        <w:tc>
          <w:tcPr>
            <w:tcW w:w="709" w:type="dxa"/>
          </w:tcPr>
          <w:p>
            <w:pPr>
              <w:pStyle w:val="yTable"/>
              <w:keepNext/>
              <w:keepLines/>
            </w:pPr>
            <w:r>
              <w:t>1.</w:t>
            </w:r>
          </w:p>
        </w:tc>
        <w:tc>
          <w:tcPr>
            <w:tcW w:w="5254" w:type="dxa"/>
          </w:tcPr>
          <w:p>
            <w:pPr>
              <w:pStyle w:val="yTable"/>
              <w:keepNext/>
              <w:keepLines/>
            </w:pPr>
            <w:r>
              <w:t>Application for cave permit per person per half</w:t>
            </w:r>
            <w:r>
              <w:noBreakHyphen/>
              <w:t>day (r. 49)</w:t>
            </w:r>
          </w:p>
        </w:tc>
        <w:tc>
          <w:tcPr>
            <w:tcW w:w="841" w:type="dxa"/>
          </w:tcPr>
          <w:p>
            <w:pPr>
              <w:pStyle w:val="yTable"/>
              <w:keepNext/>
              <w:keepLines/>
              <w:tabs>
                <w:tab w:val="decimal" w:pos="275"/>
              </w:tabs>
            </w:pPr>
            <w:r>
              <w:t>5.00</w:t>
            </w:r>
          </w:p>
        </w:tc>
      </w:tr>
      <w:tr>
        <w:tc>
          <w:tcPr>
            <w:tcW w:w="709" w:type="dxa"/>
          </w:tcPr>
          <w:p>
            <w:pPr>
              <w:pStyle w:val="yTable"/>
              <w:keepNext/>
              <w:keepLines/>
            </w:pPr>
            <w:r>
              <w:t>2.</w:t>
            </w:r>
          </w:p>
        </w:tc>
        <w:tc>
          <w:tcPr>
            <w:tcW w:w="5254" w:type="dxa"/>
          </w:tcPr>
          <w:p>
            <w:pPr>
              <w:pStyle w:val="yTable"/>
              <w:keepNext/>
              <w:keepLines/>
            </w:pPr>
            <w:r>
              <w:t>Application for scientific purposes licence (r. 83)</w:t>
            </w:r>
          </w:p>
        </w:tc>
        <w:tc>
          <w:tcPr>
            <w:tcW w:w="841" w:type="dxa"/>
          </w:tcPr>
          <w:p>
            <w:pPr>
              <w:pStyle w:val="yTable"/>
              <w:keepNext/>
              <w:keepLines/>
              <w:tabs>
                <w:tab w:val="decimal" w:pos="275"/>
              </w:tabs>
            </w:pPr>
            <w:r>
              <w:t>25.00</w:t>
            </w:r>
          </w:p>
        </w:tc>
      </w:tr>
      <w:tr>
        <w:tc>
          <w:tcPr>
            <w:tcW w:w="709" w:type="dxa"/>
          </w:tcPr>
          <w:p>
            <w:pPr>
              <w:pStyle w:val="yTable"/>
              <w:keepNext/>
              <w:keepLines/>
            </w:pPr>
            <w:r>
              <w:t>3.</w:t>
            </w:r>
          </w:p>
        </w:tc>
        <w:tc>
          <w:tcPr>
            <w:tcW w:w="5254" w:type="dxa"/>
          </w:tcPr>
          <w:p>
            <w:pPr>
              <w:pStyle w:val="yTable"/>
              <w:keepNext/>
              <w:keepLines/>
            </w:pPr>
            <w:r>
              <w:t>Application for renewal of scientific purposes licence (r. 92)</w:t>
            </w:r>
          </w:p>
        </w:tc>
        <w:tc>
          <w:tcPr>
            <w:tcW w:w="841" w:type="dxa"/>
            <w:vAlign w:val="bottom"/>
          </w:tcPr>
          <w:p>
            <w:pPr>
              <w:pStyle w:val="yTable"/>
              <w:keepNext/>
              <w:keepLines/>
              <w:tabs>
                <w:tab w:val="decimal" w:pos="275"/>
              </w:tabs>
            </w:pPr>
            <w:r>
              <w:t>25.00</w:t>
            </w:r>
          </w:p>
        </w:tc>
      </w:tr>
      <w:tr>
        <w:tc>
          <w:tcPr>
            <w:tcW w:w="709" w:type="dxa"/>
          </w:tcPr>
          <w:p>
            <w:pPr>
              <w:pStyle w:val="yTable"/>
              <w:keepNext/>
              <w:keepLines/>
            </w:pPr>
            <w:r>
              <w:t>4.</w:t>
            </w:r>
          </w:p>
        </w:tc>
        <w:tc>
          <w:tcPr>
            <w:tcW w:w="5254" w:type="dxa"/>
          </w:tcPr>
          <w:p>
            <w:pPr>
              <w:pStyle w:val="yTable"/>
              <w:keepNext/>
              <w:keepLines/>
            </w:pPr>
            <w:r>
              <w:t>Application for commercial operations licence (r. 83)</w:t>
            </w:r>
          </w:p>
        </w:tc>
        <w:tc>
          <w:tcPr>
            <w:tcW w:w="841" w:type="dxa"/>
          </w:tcPr>
          <w:p>
            <w:pPr>
              <w:pStyle w:val="yTable"/>
              <w:keepNext/>
              <w:keepLines/>
              <w:tabs>
                <w:tab w:val="decimal" w:pos="275"/>
              </w:tabs>
            </w:pPr>
            <w:r>
              <w:t>100.00</w:t>
            </w:r>
          </w:p>
        </w:tc>
      </w:tr>
      <w:tr>
        <w:tc>
          <w:tcPr>
            <w:tcW w:w="709" w:type="dxa"/>
          </w:tcPr>
          <w:p>
            <w:pPr>
              <w:pStyle w:val="yTable"/>
            </w:pPr>
            <w:r>
              <w:t>5.</w:t>
            </w:r>
          </w:p>
        </w:tc>
        <w:tc>
          <w:tcPr>
            <w:tcW w:w="5254" w:type="dxa"/>
          </w:tcPr>
          <w:p>
            <w:pPr>
              <w:pStyle w:val="yTable"/>
            </w:pPr>
            <w:r>
              <w:t>Application for renewal of commercial operations licence (r. 97)</w:t>
            </w:r>
          </w:p>
        </w:tc>
        <w:tc>
          <w:tcPr>
            <w:tcW w:w="841" w:type="dxa"/>
            <w:vAlign w:val="bottom"/>
          </w:tcPr>
          <w:p>
            <w:pPr>
              <w:pStyle w:val="yTable"/>
              <w:tabs>
                <w:tab w:val="decimal" w:pos="275"/>
              </w:tabs>
            </w:pPr>
            <w:r>
              <w:t>100.00</w:t>
            </w:r>
          </w:p>
        </w:tc>
      </w:tr>
    </w:tbl>
    <w:p>
      <w:pPr>
        <w:pStyle w:val="yFootnotesection"/>
        <w:rPr>
          <w:rStyle w:val="CharSDivNo"/>
        </w:rPr>
      </w:pPr>
      <w:r>
        <w:tab/>
        <w:t>[Division 8 amended in Gazette 29 Sep 2006 p. 4330; 28 Aug 2009 p. 3357.]</w:t>
      </w:r>
    </w:p>
    <w:p>
      <w:pPr>
        <w:pStyle w:val="yHeading3"/>
      </w:pPr>
      <w:bookmarkStart w:id="1101" w:name="_Toc189456647"/>
      <w:bookmarkStart w:id="1102" w:name="_Toc223500450"/>
      <w:bookmarkStart w:id="1103" w:name="_Toc223500612"/>
      <w:bookmarkStart w:id="1104" w:name="_Toc239150561"/>
      <w:bookmarkStart w:id="1105" w:name="_Toc271207583"/>
      <w:bookmarkStart w:id="1106" w:name="_Toc271207759"/>
      <w:bookmarkStart w:id="1107" w:name="_Toc271209082"/>
      <w:bookmarkStart w:id="1108" w:name="_Toc271209416"/>
      <w:bookmarkStart w:id="1109" w:name="_Toc271209592"/>
      <w:bookmarkStart w:id="1110" w:name="_Toc271209768"/>
      <w:bookmarkStart w:id="1111" w:name="_Toc271209944"/>
      <w:bookmarkStart w:id="1112" w:name="_Toc524423033"/>
      <w:r>
        <w:rPr>
          <w:rStyle w:val="CharSDivNo"/>
        </w:rPr>
        <w:t>Division 9</w:t>
      </w:r>
      <w:r>
        <w:t> — </w:t>
      </w:r>
      <w:r>
        <w:rPr>
          <w:rStyle w:val="CharSDivText"/>
        </w:rPr>
        <w:t>Fees for abseiling</w:t>
      </w:r>
      <w:bookmarkEnd w:id="1101"/>
      <w:bookmarkEnd w:id="1102"/>
      <w:bookmarkEnd w:id="1103"/>
      <w:bookmarkEnd w:id="1104"/>
      <w:bookmarkEnd w:id="1105"/>
      <w:bookmarkEnd w:id="1106"/>
      <w:bookmarkEnd w:id="1107"/>
      <w:bookmarkEnd w:id="1108"/>
      <w:bookmarkEnd w:id="1109"/>
      <w:bookmarkEnd w:id="1110"/>
      <w:bookmarkEnd w:id="1111"/>
      <w:bookmarkEnd w:id="1112"/>
    </w:p>
    <w:p>
      <w:pPr>
        <w:pStyle w:val="yFootnoteheading"/>
      </w:pPr>
      <w:r>
        <w:tab/>
        <w:t>[Heading inserted in Gazette 29 Sep 2006 p. 4330.]</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708"/>
      </w:tblGrid>
      <w:tr>
        <w:trPr>
          <w:cantSplit/>
        </w:trPr>
        <w:tc>
          <w:tcPr>
            <w:tcW w:w="720" w:type="dxa"/>
          </w:tcPr>
          <w:p>
            <w:pPr>
              <w:pStyle w:val="yTable"/>
              <w:rPr>
                <w:lang w:val="en-US"/>
              </w:rPr>
            </w:pPr>
          </w:p>
        </w:tc>
        <w:tc>
          <w:tcPr>
            <w:tcW w:w="5376" w:type="dxa"/>
          </w:tcPr>
          <w:p>
            <w:pPr>
              <w:pStyle w:val="yTable"/>
            </w:pPr>
          </w:p>
        </w:tc>
        <w:tc>
          <w:tcPr>
            <w:tcW w:w="708" w:type="dxa"/>
          </w:tcPr>
          <w:p>
            <w:pPr>
              <w:pStyle w:val="yTable"/>
              <w:jc w:val="center"/>
              <w:rPr>
                <w:b/>
              </w:rPr>
            </w:pPr>
            <w:r>
              <w:rPr>
                <w:b/>
              </w:rPr>
              <w:t>$</w:t>
            </w:r>
          </w:p>
        </w:tc>
      </w:tr>
      <w:tr>
        <w:trPr>
          <w:cantSplit/>
        </w:trPr>
        <w:tc>
          <w:tcPr>
            <w:tcW w:w="720" w:type="dxa"/>
          </w:tcPr>
          <w:p>
            <w:pPr>
              <w:pStyle w:val="yTable"/>
            </w:pPr>
            <w:r>
              <w:t>1.</w:t>
            </w:r>
          </w:p>
        </w:tc>
        <w:tc>
          <w:tcPr>
            <w:tcW w:w="5376" w:type="dxa"/>
          </w:tcPr>
          <w:p>
            <w:pPr>
              <w:pStyle w:val="yTable"/>
              <w:tabs>
                <w:tab w:val="left" w:pos="134"/>
                <w:tab w:val="left" w:pos="276"/>
              </w:tabs>
              <w:spacing w:before="0"/>
            </w:pPr>
            <w:r>
              <w:t>Fee for abseiling other than at Wilyabrup Cliffs (r. 102A)</w:t>
            </w:r>
          </w:p>
          <w:p>
            <w:pPr>
              <w:pStyle w:val="yTable"/>
              <w:tabs>
                <w:tab w:val="left" w:pos="134"/>
                <w:tab w:val="left" w:pos="276"/>
              </w:tabs>
              <w:spacing w:before="0"/>
            </w:pPr>
            <w:r>
              <w:tab/>
              <w:t>per person per half</w:t>
            </w:r>
            <w:r>
              <w:noBreakHyphen/>
              <w:t>day</w:t>
            </w:r>
          </w:p>
        </w:tc>
        <w:tc>
          <w:tcPr>
            <w:tcW w:w="708" w:type="dxa"/>
          </w:tcPr>
          <w:p>
            <w:pPr>
              <w:pStyle w:val="yTable"/>
              <w:tabs>
                <w:tab w:val="decimal" w:pos="275"/>
              </w:tabs>
            </w:pPr>
            <w:r>
              <w:br/>
              <w:t>8.00</w:t>
            </w:r>
          </w:p>
        </w:tc>
      </w:tr>
      <w:tr>
        <w:trPr>
          <w:cantSplit/>
        </w:trPr>
        <w:tc>
          <w:tcPr>
            <w:tcW w:w="720" w:type="dxa"/>
          </w:tcPr>
          <w:p>
            <w:pPr>
              <w:pStyle w:val="yTable"/>
            </w:pPr>
            <w:r>
              <w:t>2.</w:t>
            </w:r>
          </w:p>
        </w:tc>
        <w:tc>
          <w:tcPr>
            <w:tcW w:w="5376" w:type="dxa"/>
          </w:tcPr>
          <w:p>
            <w:pPr>
              <w:pStyle w:val="yTable"/>
              <w:tabs>
                <w:tab w:val="left" w:pos="134"/>
                <w:tab w:val="left" w:pos="276"/>
              </w:tabs>
            </w:pPr>
            <w:r>
              <w:t>Fee for abseiling at Wilyabrup Cliffs (r. 102A)</w:t>
            </w:r>
          </w:p>
          <w:p>
            <w:pPr>
              <w:pStyle w:val="yTable"/>
              <w:tabs>
                <w:tab w:val="left" w:pos="134"/>
                <w:tab w:val="left" w:pos="276"/>
              </w:tabs>
              <w:spacing w:before="0"/>
            </w:pPr>
            <w:r>
              <w:tab/>
              <w:t>per person per day or part day</w:t>
            </w:r>
          </w:p>
        </w:tc>
        <w:tc>
          <w:tcPr>
            <w:tcW w:w="708" w:type="dxa"/>
          </w:tcPr>
          <w:p>
            <w:pPr>
              <w:pStyle w:val="yTable"/>
              <w:tabs>
                <w:tab w:val="decimal" w:pos="275"/>
              </w:tabs>
            </w:pPr>
            <w:r>
              <w:br/>
              <w:t>8.00</w:t>
            </w:r>
          </w:p>
        </w:tc>
      </w:tr>
    </w:tbl>
    <w:p>
      <w:pPr>
        <w:pStyle w:val="yFootnotesection"/>
      </w:pPr>
      <w:r>
        <w:tab/>
        <w:t>[Division 9 inserted in Gazette 29 Sep 2006 p. 4330; amended in Gazette 28 Aug 2009 p. 3355 and 3357.]</w:t>
      </w:r>
    </w:p>
    <w:p>
      <w:pPr>
        <w:pStyle w:val="yHeading3"/>
      </w:pPr>
      <w:bookmarkStart w:id="1113" w:name="_Toc239150562"/>
      <w:bookmarkStart w:id="1114" w:name="_Toc271207584"/>
      <w:bookmarkStart w:id="1115" w:name="_Toc271207760"/>
      <w:bookmarkStart w:id="1116" w:name="_Toc271209083"/>
      <w:bookmarkStart w:id="1117" w:name="_Toc271209417"/>
      <w:bookmarkStart w:id="1118" w:name="_Toc271209593"/>
      <w:bookmarkStart w:id="1119" w:name="_Toc271209769"/>
      <w:bookmarkStart w:id="1120" w:name="_Toc271209945"/>
      <w:bookmarkStart w:id="1121" w:name="_Toc524423034"/>
      <w:bookmarkStart w:id="1122" w:name="_Toc189456648"/>
      <w:bookmarkStart w:id="1123" w:name="_Toc223500451"/>
      <w:bookmarkStart w:id="1124" w:name="_Toc223500613"/>
      <w:r>
        <w:rPr>
          <w:rStyle w:val="CharSDivNo"/>
        </w:rPr>
        <w:t>Division 10</w:t>
      </w:r>
      <w:r>
        <w:rPr>
          <w:b w:val="0"/>
        </w:rPr>
        <w:t> — </w:t>
      </w:r>
      <w:r>
        <w:rPr>
          <w:rStyle w:val="CharSDivText"/>
        </w:rPr>
        <w:t>Fees for Monkey Mia Conservation Park</w:t>
      </w:r>
      <w:bookmarkEnd w:id="1113"/>
      <w:bookmarkEnd w:id="1114"/>
      <w:bookmarkEnd w:id="1115"/>
      <w:bookmarkEnd w:id="1116"/>
      <w:bookmarkEnd w:id="1117"/>
      <w:bookmarkEnd w:id="1118"/>
      <w:bookmarkEnd w:id="1119"/>
      <w:bookmarkEnd w:id="1120"/>
      <w:bookmarkEnd w:id="1121"/>
    </w:p>
    <w:p>
      <w:pPr>
        <w:pStyle w:val="yFootnoteheading"/>
        <w:spacing w:after="120"/>
      </w:pPr>
      <w:r>
        <w:tab/>
        <w:t>[Heading inserted in Gazette 28 Aug 2009 p. 3356.]</w:t>
      </w:r>
    </w:p>
    <w:tbl>
      <w:tblPr>
        <w:tblW w:w="0" w:type="auto"/>
        <w:tblInd w:w="434" w:type="dxa"/>
        <w:tblLayout w:type="fixed"/>
        <w:tblCellMar>
          <w:left w:w="8" w:type="dxa"/>
          <w:right w:w="8" w:type="dxa"/>
        </w:tblCellMar>
        <w:tblLook w:val="0000" w:firstRow="0" w:lastRow="0" w:firstColumn="0" w:lastColumn="0" w:noHBand="0" w:noVBand="0"/>
      </w:tblPr>
      <w:tblGrid>
        <w:gridCol w:w="708"/>
        <w:gridCol w:w="4962"/>
        <w:gridCol w:w="708"/>
      </w:tblGrid>
      <w:tr>
        <w:trPr>
          <w:tblHeader/>
        </w:trPr>
        <w:tc>
          <w:tcPr>
            <w:tcW w:w="708" w:type="dxa"/>
          </w:tcPr>
          <w:p>
            <w:pPr>
              <w:pStyle w:val="zyTableNAm"/>
              <w:spacing w:before="60"/>
            </w:pPr>
          </w:p>
        </w:tc>
        <w:tc>
          <w:tcPr>
            <w:tcW w:w="4962" w:type="dxa"/>
          </w:tcPr>
          <w:p>
            <w:pPr>
              <w:pStyle w:val="zyTableNAm"/>
              <w:spacing w:before="60"/>
            </w:pPr>
          </w:p>
        </w:tc>
        <w:tc>
          <w:tcPr>
            <w:tcW w:w="708" w:type="dxa"/>
          </w:tcPr>
          <w:p>
            <w:pPr>
              <w:pStyle w:val="zyTableNAm"/>
              <w:tabs>
                <w:tab w:val="clear" w:pos="567"/>
                <w:tab w:val="decimal" w:pos="417"/>
              </w:tabs>
              <w:spacing w:before="60"/>
              <w:rPr>
                <w:b/>
              </w:rPr>
            </w:pPr>
            <w:r>
              <w:rPr>
                <w:b/>
              </w:rPr>
              <w:t>$</w:t>
            </w:r>
          </w:p>
        </w:tc>
      </w:tr>
      <w:tr>
        <w:tc>
          <w:tcPr>
            <w:tcW w:w="708" w:type="dxa"/>
          </w:tcPr>
          <w:p>
            <w:pPr>
              <w:pStyle w:val="zyTableNAm"/>
              <w:spacing w:before="60"/>
              <w:rPr>
                <w:lang w:val="en-GB"/>
              </w:rPr>
            </w:pPr>
            <w:r>
              <w:t>1.</w:t>
            </w:r>
          </w:p>
        </w:tc>
        <w:tc>
          <w:tcPr>
            <w:tcW w:w="4962" w:type="dxa"/>
          </w:tcPr>
          <w:p>
            <w:pPr>
              <w:pStyle w:val="zyTableNAm"/>
              <w:spacing w:before="60"/>
            </w:pPr>
            <w:r>
              <w:t>For person 16 years of age or over</w:t>
            </w:r>
          </w:p>
        </w:tc>
        <w:tc>
          <w:tcPr>
            <w:tcW w:w="708" w:type="dxa"/>
          </w:tcPr>
          <w:p>
            <w:pPr>
              <w:pStyle w:val="zyTableNAm"/>
              <w:tabs>
                <w:tab w:val="clear" w:pos="567"/>
                <w:tab w:val="decimal" w:pos="417"/>
              </w:tabs>
              <w:spacing w:before="60"/>
            </w:pPr>
            <w:r>
              <w:t>8.00</w:t>
            </w:r>
          </w:p>
        </w:tc>
      </w:tr>
      <w:tr>
        <w:tc>
          <w:tcPr>
            <w:tcW w:w="708" w:type="dxa"/>
          </w:tcPr>
          <w:p>
            <w:pPr>
              <w:pStyle w:val="zyTableNAm"/>
              <w:spacing w:before="60"/>
            </w:pPr>
            <w:r>
              <w:t>2.</w:t>
            </w:r>
          </w:p>
        </w:tc>
        <w:tc>
          <w:tcPr>
            <w:tcW w:w="4962" w:type="dxa"/>
          </w:tcPr>
          <w:p>
            <w:pPr>
              <w:pStyle w:val="zyTableNAm"/>
              <w:spacing w:before="60"/>
            </w:pPr>
            <w:r>
              <w:t xml:space="preserve">For person of more than 5 and less than 16 years of age </w:t>
            </w:r>
          </w:p>
        </w:tc>
        <w:tc>
          <w:tcPr>
            <w:tcW w:w="708" w:type="dxa"/>
          </w:tcPr>
          <w:p>
            <w:pPr>
              <w:pStyle w:val="zyTableNAm"/>
              <w:tabs>
                <w:tab w:val="clear" w:pos="567"/>
                <w:tab w:val="decimal" w:pos="417"/>
              </w:tabs>
              <w:spacing w:before="60"/>
            </w:pPr>
            <w:r>
              <w:t>3.00</w:t>
            </w:r>
          </w:p>
        </w:tc>
      </w:tr>
      <w:tr>
        <w:tc>
          <w:tcPr>
            <w:tcW w:w="708" w:type="dxa"/>
          </w:tcPr>
          <w:p>
            <w:pPr>
              <w:pStyle w:val="zyTableNAm"/>
              <w:spacing w:before="60"/>
            </w:pPr>
            <w:r>
              <w:t>3.</w:t>
            </w:r>
          </w:p>
        </w:tc>
        <w:tc>
          <w:tcPr>
            <w:tcW w:w="4962" w:type="dxa"/>
          </w:tcPr>
          <w:p>
            <w:pPr>
              <w:pStyle w:val="zyTableNAm"/>
              <w:spacing w:before="60"/>
            </w:pPr>
            <w:r>
              <w:t>For family (2 adults and 2 children of more than 5 and less than 16 years of age)</w:t>
            </w:r>
          </w:p>
        </w:tc>
        <w:tc>
          <w:tcPr>
            <w:tcW w:w="708" w:type="dxa"/>
          </w:tcPr>
          <w:p>
            <w:pPr>
              <w:pStyle w:val="zyTableNAm"/>
              <w:tabs>
                <w:tab w:val="clear" w:pos="567"/>
                <w:tab w:val="decimal" w:pos="417"/>
              </w:tabs>
              <w:spacing w:before="60"/>
            </w:pPr>
            <w:r>
              <w:br/>
              <w:t>15.00</w:t>
            </w:r>
          </w:p>
        </w:tc>
      </w:tr>
      <w:tr>
        <w:tc>
          <w:tcPr>
            <w:tcW w:w="708" w:type="dxa"/>
          </w:tcPr>
          <w:p>
            <w:pPr>
              <w:pStyle w:val="zyTableNAm"/>
              <w:spacing w:before="60"/>
            </w:pPr>
            <w:r>
              <w:t>4.</w:t>
            </w:r>
          </w:p>
        </w:tc>
        <w:tc>
          <w:tcPr>
            <w:tcW w:w="4962" w:type="dxa"/>
          </w:tcPr>
          <w:p>
            <w:pPr>
              <w:pStyle w:val="zyTableNAm"/>
              <w:spacing w:before="60"/>
            </w:pPr>
            <w:r>
              <w:t>For holder of a concession card</w:t>
            </w:r>
          </w:p>
        </w:tc>
        <w:tc>
          <w:tcPr>
            <w:tcW w:w="708" w:type="dxa"/>
          </w:tcPr>
          <w:p>
            <w:pPr>
              <w:pStyle w:val="zyTableNAm"/>
              <w:tabs>
                <w:tab w:val="clear" w:pos="567"/>
                <w:tab w:val="decimal" w:pos="417"/>
              </w:tabs>
              <w:spacing w:before="60"/>
            </w:pPr>
            <w:r>
              <w:t>6.00</w:t>
            </w:r>
          </w:p>
        </w:tc>
      </w:tr>
      <w:tr>
        <w:tc>
          <w:tcPr>
            <w:tcW w:w="708" w:type="dxa"/>
          </w:tcPr>
          <w:p>
            <w:pPr>
              <w:pStyle w:val="zyTableNAm"/>
              <w:spacing w:before="60"/>
            </w:pPr>
            <w:r>
              <w:t>5.</w:t>
            </w:r>
          </w:p>
        </w:tc>
        <w:tc>
          <w:tcPr>
            <w:tcW w:w="4962" w:type="dxa"/>
          </w:tcPr>
          <w:p>
            <w:pPr>
              <w:pStyle w:val="zyTableNAm"/>
              <w:spacing w:before="60"/>
            </w:pPr>
            <w:r>
              <w:t>One month pass for person 16 years of age or over</w:t>
            </w:r>
          </w:p>
        </w:tc>
        <w:tc>
          <w:tcPr>
            <w:tcW w:w="708" w:type="dxa"/>
          </w:tcPr>
          <w:p>
            <w:pPr>
              <w:pStyle w:val="zyTableNAm"/>
              <w:tabs>
                <w:tab w:val="clear" w:pos="567"/>
                <w:tab w:val="decimal" w:pos="417"/>
              </w:tabs>
              <w:spacing w:before="60"/>
            </w:pPr>
            <w:r>
              <w:t>12.00</w:t>
            </w:r>
          </w:p>
        </w:tc>
      </w:tr>
      <w:tr>
        <w:tc>
          <w:tcPr>
            <w:tcW w:w="708" w:type="dxa"/>
          </w:tcPr>
          <w:p>
            <w:pPr>
              <w:pStyle w:val="zyTableNAm"/>
              <w:spacing w:before="60"/>
            </w:pPr>
            <w:r>
              <w:t>6.</w:t>
            </w:r>
          </w:p>
        </w:tc>
        <w:tc>
          <w:tcPr>
            <w:tcW w:w="4962" w:type="dxa"/>
          </w:tcPr>
          <w:p>
            <w:pPr>
              <w:pStyle w:val="zyTableNAm"/>
              <w:spacing w:before="60"/>
            </w:pPr>
            <w:r>
              <w:t>One month pass for person of more than 5 and less than 16 years of age</w:t>
            </w:r>
          </w:p>
        </w:tc>
        <w:tc>
          <w:tcPr>
            <w:tcW w:w="708" w:type="dxa"/>
          </w:tcPr>
          <w:p>
            <w:pPr>
              <w:pStyle w:val="zyTableNAm"/>
              <w:tabs>
                <w:tab w:val="clear" w:pos="567"/>
                <w:tab w:val="decimal" w:pos="417"/>
              </w:tabs>
              <w:spacing w:before="60"/>
            </w:pPr>
            <w:r>
              <w:br/>
              <w:t>5.00</w:t>
            </w:r>
          </w:p>
        </w:tc>
      </w:tr>
      <w:tr>
        <w:tc>
          <w:tcPr>
            <w:tcW w:w="708" w:type="dxa"/>
          </w:tcPr>
          <w:p>
            <w:pPr>
              <w:pStyle w:val="zyTableNAm"/>
              <w:spacing w:before="60"/>
            </w:pPr>
            <w:r>
              <w:t>7.</w:t>
            </w:r>
          </w:p>
        </w:tc>
        <w:tc>
          <w:tcPr>
            <w:tcW w:w="4962" w:type="dxa"/>
          </w:tcPr>
          <w:p>
            <w:pPr>
              <w:pStyle w:val="zyTableNAm"/>
              <w:spacing w:before="60"/>
            </w:pPr>
            <w:r>
              <w:t>One month pass for family (2 adults and 2 children of more than 5 and less than 16 years of age)</w:t>
            </w:r>
          </w:p>
        </w:tc>
        <w:tc>
          <w:tcPr>
            <w:tcW w:w="708" w:type="dxa"/>
          </w:tcPr>
          <w:p>
            <w:pPr>
              <w:pStyle w:val="zyTableNAm"/>
              <w:tabs>
                <w:tab w:val="clear" w:pos="567"/>
                <w:tab w:val="decimal" w:pos="417"/>
              </w:tabs>
              <w:spacing w:before="60"/>
            </w:pPr>
            <w:r>
              <w:br/>
              <w:t>30.00</w:t>
            </w:r>
          </w:p>
        </w:tc>
      </w:tr>
      <w:tr>
        <w:tc>
          <w:tcPr>
            <w:tcW w:w="708" w:type="dxa"/>
          </w:tcPr>
          <w:p>
            <w:pPr>
              <w:pStyle w:val="zyTableNAm"/>
              <w:spacing w:before="60"/>
            </w:pPr>
            <w:r>
              <w:t>8.</w:t>
            </w:r>
          </w:p>
        </w:tc>
        <w:tc>
          <w:tcPr>
            <w:tcW w:w="4962" w:type="dxa"/>
          </w:tcPr>
          <w:p>
            <w:pPr>
              <w:pStyle w:val="zyTableNAm"/>
              <w:spacing w:before="60"/>
            </w:pPr>
            <w:r>
              <w:t>One month pass for holder of a concession card</w:t>
            </w:r>
          </w:p>
        </w:tc>
        <w:tc>
          <w:tcPr>
            <w:tcW w:w="708" w:type="dxa"/>
          </w:tcPr>
          <w:p>
            <w:pPr>
              <w:pStyle w:val="zyTableNAm"/>
              <w:tabs>
                <w:tab w:val="clear" w:pos="567"/>
                <w:tab w:val="decimal" w:pos="417"/>
              </w:tabs>
              <w:spacing w:before="60"/>
            </w:pPr>
            <w:r>
              <w:t>10.00</w:t>
            </w:r>
          </w:p>
        </w:tc>
      </w:tr>
    </w:tbl>
    <w:p>
      <w:pPr>
        <w:pStyle w:val="yFootnotesection"/>
      </w:pPr>
      <w:r>
        <w:tab/>
        <w:t>[Division 10 inserted in Gazette 28 Aug 2009 p. 3356.]</w:t>
      </w:r>
    </w:p>
    <w:p>
      <w:pPr>
        <w:pStyle w:val="yHeading3"/>
        <w:rPr>
          <w:ins w:id="1125" w:author="Master Repository Process" w:date="2021-07-31T18:45:00Z"/>
        </w:rPr>
      </w:pPr>
      <w:bookmarkStart w:id="1126" w:name="_Toc271207585"/>
      <w:bookmarkStart w:id="1127" w:name="_Toc271207761"/>
      <w:bookmarkStart w:id="1128" w:name="_Toc271209084"/>
      <w:bookmarkStart w:id="1129" w:name="_Toc271209418"/>
      <w:bookmarkStart w:id="1130" w:name="_Toc271209594"/>
      <w:bookmarkStart w:id="1131" w:name="_Toc271209770"/>
      <w:bookmarkStart w:id="1132" w:name="_Toc271209946"/>
      <w:ins w:id="1133" w:author="Master Repository Process" w:date="2021-07-31T18:45:00Z">
        <w:r>
          <w:rPr>
            <w:rStyle w:val="CharSDivNo"/>
          </w:rPr>
          <w:t>Division 11</w:t>
        </w:r>
        <w:r>
          <w:rPr>
            <w:b w:val="0"/>
          </w:rPr>
          <w:t> — </w:t>
        </w:r>
        <w:r>
          <w:rPr>
            <w:rStyle w:val="CharSDivText"/>
          </w:rPr>
          <w:t>Apiary permit and licence fees</w:t>
        </w:r>
        <w:bookmarkEnd w:id="1126"/>
        <w:bookmarkEnd w:id="1127"/>
        <w:bookmarkEnd w:id="1128"/>
        <w:bookmarkEnd w:id="1129"/>
        <w:bookmarkEnd w:id="1130"/>
        <w:bookmarkEnd w:id="1131"/>
        <w:bookmarkEnd w:id="1132"/>
      </w:ins>
    </w:p>
    <w:p>
      <w:pPr>
        <w:pStyle w:val="yFootnoteheading"/>
        <w:spacing w:after="60"/>
        <w:rPr>
          <w:ins w:id="1134" w:author="Master Repository Process" w:date="2021-07-31T18:45:00Z"/>
        </w:rPr>
      </w:pPr>
      <w:ins w:id="1135" w:author="Master Repository Process" w:date="2021-07-31T18:45:00Z">
        <w:r>
          <w:tab/>
          <w:t>[Heading inserted in Gazette 3 Sep 2010 p. 4283.]</w:t>
        </w:r>
      </w:ins>
    </w:p>
    <w:tbl>
      <w:tblPr>
        <w:tblW w:w="0" w:type="auto"/>
        <w:tblInd w:w="817" w:type="dxa"/>
        <w:tblLayout w:type="fixed"/>
        <w:tblCellMar>
          <w:bottom w:w="57" w:type="dxa"/>
        </w:tblCellMar>
        <w:tblLook w:val="0000" w:firstRow="0" w:lastRow="0" w:firstColumn="0" w:lastColumn="0" w:noHBand="0" w:noVBand="0"/>
      </w:tblPr>
      <w:tblGrid>
        <w:gridCol w:w="567"/>
        <w:gridCol w:w="4820"/>
        <w:gridCol w:w="850"/>
      </w:tblGrid>
      <w:tr>
        <w:trPr>
          <w:tblHeader/>
          <w:ins w:id="1136" w:author="Master Repository Process" w:date="2021-07-31T18:45:00Z"/>
        </w:trPr>
        <w:tc>
          <w:tcPr>
            <w:tcW w:w="567" w:type="dxa"/>
          </w:tcPr>
          <w:p>
            <w:pPr>
              <w:pStyle w:val="yTableNAm"/>
              <w:rPr>
                <w:ins w:id="1137" w:author="Master Repository Process" w:date="2021-07-31T18:45:00Z"/>
              </w:rPr>
            </w:pPr>
          </w:p>
        </w:tc>
        <w:tc>
          <w:tcPr>
            <w:tcW w:w="4820" w:type="dxa"/>
          </w:tcPr>
          <w:p>
            <w:pPr>
              <w:pStyle w:val="yTableNAm"/>
              <w:rPr>
                <w:ins w:id="1138" w:author="Master Repository Process" w:date="2021-07-31T18:45:00Z"/>
              </w:rPr>
            </w:pPr>
          </w:p>
        </w:tc>
        <w:tc>
          <w:tcPr>
            <w:tcW w:w="850" w:type="dxa"/>
          </w:tcPr>
          <w:p>
            <w:pPr>
              <w:pStyle w:val="yTableNAm"/>
              <w:tabs>
                <w:tab w:val="clear" w:pos="567"/>
              </w:tabs>
              <w:jc w:val="center"/>
              <w:rPr>
                <w:ins w:id="1139" w:author="Master Repository Process" w:date="2021-07-31T18:45:00Z"/>
              </w:rPr>
            </w:pPr>
            <w:ins w:id="1140" w:author="Master Repository Process" w:date="2021-07-31T18:45:00Z">
              <w:r>
                <w:t>$</w:t>
              </w:r>
            </w:ins>
          </w:p>
        </w:tc>
      </w:tr>
      <w:tr>
        <w:trPr>
          <w:ins w:id="1141" w:author="Master Repository Process" w:date="2021-07-31T18:45:00Z"/>
        </w:trPr>
        <w:tc>
          <w:tcPr>
            <w:tcW w:w="567" w:type="dxa"/>
          </w:tcPr>
          <w:p>
            <w:pPr>
              <w:pStyle w:val="yTableNAm"/>
              <w:rPr>
                <w:ins w:id="1142" w:author="Master Repository Process" w:date="2021-07-31T18:45:00Z"/>
              </w:rPr>
            </w:pPr>
            <w:ins w:id="1143" w:author="Master Repository Process" w:date="2021-07-31T18:45:00Z">
              <w:r>
                <w:t>1.</w:t>
              </w:r>
            </w:ins>
          </w:p>
        </w:tc>
        <w:tc>
          <w:tcPr>
            <w:tcW w:w="4820" w:type="dxa"/>
          </w:tcPr>
          <w:p>
            <w:pPr>
              <w:pStyle w:val="yTableNAm"/>
              <w:rPr>
                <w:ins w:id="1144" w:author="Master Repository Process" w:date="2021-07-31T18:45:00Z"/>
              </w:rPr>
            </w:pPr>
            <w:ins w:id="1145" w:author="Master Repository Process" w:date="2021-07-31T18:45:00Z">
              <w:r>
                <w:t xml:space="preserve">Application for grant of apiary authority </w:t>
              </w:r>
              <w:r>
                <w:br/>
                <w:t xml:space="preserve">where item 4 does not apply — </w:t>
              </w:r>
            </w:ins>
          </w:p>
          <w:p>
            <w:pPr>
              <w:pStyle w:val="yTableNAm"/>
              <w:ind w:left="567" w:hanging="567"/>
              <w:rPr>
                <w:ins w:id="1146" w:author="Master Repository Process" w:date="2021-07-31T18:45:00Z"/>
              </w:rPr>
            </w:pPr>
            <w:ins w:id="1147" w:author="Master Repository Process" w:date="2021-07-31T18:45:00Z">
              <w:r>
                <w:t>(a)</w:t>
              </w:r>
              <w:r>
                <w:tab/>
                <w:t>for apiary site in South</w:t>
              </w:r>
              <w:r>
                <w:noBreakHyphen/>
                <w:t>west zone</w:t>
              </w:r>
              <w:r>
                <w:br/>
                <w:t>(fee per 5 sites)</w:t>
              </w:r>
            </w:ins>
          </w:p>
          <w:p>
            <w:pPr>
              <w:pStyle w:val="yTableNAm"/>
              <w:ind w:left="567" w:hanging="567"/>
              <w:rPr>
                <w:ins w:id="1148" w:author="Master Repository Process" w:date="2021-07-31T18:45:00Z"/>
              </w:rPr>
            </w:pPr>
            <w:ins w:id="1149" w:author="Master Repository Process" w:date="2021-07-31T18:45:00Z">
              <w:r>
                <w:t>(b)</w:t>
              </w:r>
              <w:r>
                <w:tab/>
                <w:t>for apiary site outside the South</w:t>
              </w:r>
              <w:r>
                <w:noBreakHyphen/>
                <w:t xml:space="preserve">west zone </w:t>
              </w:r>
              <w:r>
                <w:br/>
                <w:t>(fee per 5 sites)</w:t>
              </w:r>
            </w:ins>
          </w:p>
        </w:tc>
        <w:tc>
          <w:tcPr>
            <w:tcW w:w="850" w:type="dxa"/>
          </w:tcPr>
          <w:p>
            <w:pPr>
              <w:pStyle w:val="yTableNAm"/>
              <w:tabs>
                <w:tab w:val="clear" w:pos="567"/>
              </w:tabs>
              <w:jc w:val="right"/>
              <w:rPr>
                <w:ins w:id="1150" w:author="Master Repository Process" w:date="2021-07-31T18:45:00Z"/>
              </w:rPr>
            </w:pPr>
            <w:ins w:id="1151" w:author="Master Repository Process" w:date="2021-07-31T18:45:00Z">
              <w:r>
                <w:br/>
              </w:r>
            </w:ins>
          </w:p>
          <w:p>
            <w:pPr>
              <w:pStyle w:val="yTableNAm"/>
              <w:tabs>
                <w:tab w:val="clear" w:pos="567"/>
              </w:tabs>
              <w:jc w:val="right"/>
              <w:rPr>
                <w:ins w:id="1152" w:author="Master Repository Process" w:date="2021-07-31T18:45:00Z"/>
              </w:rPr>
            </w:pPr>
            <w:ins w:id="1153" w:author="Master Repository Process" w:date="2021-07-31T18:45:00Z">
              <w:r>
                <w:br/>
                <w:t>135.00</w:t>
              </w:r>
            </w:ins>
          </w:p>
          <w:p>
            <w:pPr>
              <w:pStyle w:val="yTableNAm"/>
              <w:tabs>
                <w:tab w:val="clear" w:pos="567"/>
              </w:tabs>
              <w:jc w:val="right"/>
              <w:rPr>
                <w:ins w:id="1154" w:author="Master Repository Process" w:date="2021-07-31T18:45:00Z"/>
              </w:rPr>
            </w:pPr>
            <w:ins w:id="1155" w:author="Master Repository Process" w:date="2021-07-31T18:45:00Z">
              <w:r>
                <w:br/>
                <w:t>65.00</w:t>
              </w:r>
            </w:ins>
          </w:p>
        </w:tc>
      </w:tr>
      <w:tr>
        <w:trPr>
          <w:ins w:id="1156" w:author="Master Repository Process" w:date="2021-07-31T18:45:00Z"/>
        </w:trPr>
        <w:tc>
          <w:tcPr>
            <w:tcW w:w="567" w:type="dxa"/>
          </w:tcPr>
          <w:p>
            <w:pPr>
              <w:pStyle w:val="yTableNAm"/>
              <w:rPr>
                <w:ins w:id="1157" w:author="Master Repository Process" w:date="2021-07-31T18:45:00Z"/>
              </w:rPr>
            </w:pPr>
            <w:ins w:id="1158" w:author="Master Repository Process" w:date="2021-07-31T18:45:00Z">
              <w:r>
                <w:t>2.</w:t>
              </w:r>
            </w:ins>
          </w:p>
        </w:tc>
        <w:tc>
          <w:tcPr>
            <w:tcW w:w="4820" w:type="dxa"/>
          </w:tcPr>
          <w:p>
            <w:pPr>
              <w:pStyle w:val="yTableNAm"/>
              <w:rPr>
                <w:ins w:id="1159" w:author="Master Repository Process" w:date="2021-07-31T18:45:00Z"/>
                <w:rStyle w:val="DraftersNotes"/>
              </w:rPr>
            </w:pPr>
            <w:ins w:id="1160" w:author="Master Repository Process" w:date="2021-07-31T18:45:00Z">
              <w:r>
                <w:t>Application to transfer apiary authority</w:t>
              </w:r>
            </w:ins>
          </w:p>
        </w:tc>
        <w:tc>
          <w:tcPr>
            <w:tcW w:w="850" w:type="dxa"/>
          </w:tcPr>
          <w:p>
            <w:pPr>
              <w:pStyle w:val="yTableNAm"/>
              <w:tabs>
                <w:tab w:val="clear" w:pos="567"/>
              </w:tabs>
              <w:jc w:val="right"/>
              <w:rPr>
                <w:ins w:id="1161" w:author="Master Repository Process" w:date="2021-07-31T18:45:00Z"/>
              </w:rPr>
            </w:pPr>
            <w:ins w:id="1162" w:author="Master Repository Process" w:date="2021-07-31T18:45:00Z">
              <w:r>
                <w:t>12.00</w:t>
              </w:r>
            </w:ins>
          </w:p>
        </w:tc>
      </w:tr>
      <w:tr>
        <w:trPr>
          <w:ins w:id="1163" w:author="Master Repository Process" w:date="2021-07-31T18:45:00Z"/>
        </w:trPr>
        <w:tc>
          <w:tcPr>
            <w:tcW w:w="567" w:type="dxa"/>
          </w:tcPr>
          <w:p>
            <w:pPr>
              <w:pStyle w:val="yTableNAm"/>
              <w:rPr>
                <w:ins w:id="1164" w:author="Master Repository Process" w:date="2021-07-31T18:45:00Z"/>
              </w:rPr>
            </w:pPr>
            <w:ins w:id="1165" w:author="Master Repository Process" w:date="2021-07-31T18:45:00Z">
              <w:r>
                <w:t>3.</w:t>
              </w:r>
            </w:ins>
          </w:p>
        </w:tc>
        <w:tc>
          <w:tcPr>
            <w:tcW w:w="4820" w:type="dxa"/>
          </w:tcPr>
          <w:p>
            <w:pPr>
              <w:pStyle w:val="yTableNAm"/>
              <w:rPr>
                <w:ins w:id="1166" w:author="Master Repository Process" w:date="2021-07-31T18:45:00Z"/>
              </w:rPr>
            </w:pPr>
            <w:ins w:id="1167" w:author="Master Repository Process" w:date="2021-07-31T18:45:00Z">
              <w:r>
                <w:t xml:space="preserve">Application to vary apiary licence to change the site to which it relates — </w:t>
              </w:r>
            </w:ins>
          </w:p>
          <w:p>
            <w:pPr>
              <w:pStyle w:val="yTableNAm"/>
              <w:ind w:left="567" w:hanging="567"/>
              <w:rPr>
                <w:ins w:id="1168" w:author="Master Repository Process" w:date="2021-07-31T18:45:00Z"/>
              </w:rPr>
            </w:pPr>
            <w:ins w:id="1169" w:author="Master Repository Process" w:date="2021-07-31T18:45:00Z">
              <w:r>
                <w:t>(a)</w:t>
              </w:r>
              <w:r>
                <w:tab/>
                <w:t>where new site is in the South</w:t>
              </w:r>
              <w:r>
                <w:noBreakHyphen/>
                <w:t xml:space="preserve">west zone </w:t>
              </w:r>
              <w:r>
                <w:br/>
                <w:t>(fee per 5 new sites)</w:t>
              </w:r>
            </w:ins>
          </w:p>
          <w:p>
            <w:pPr>
              <w:pStyle w:val="yTableNAm"/>
              <w:ind w:left="567" w:hanging="567"/>
              <w:rPr>
                <w:ins w:id="1170" w:author="Master Repository Process" w:date="2021-07-31T18:45:00Z"/>
              </w:rPr>
            </w:pPr>
            <w:ins w:id="1171" w:author="Master Repository Process" w:date="2021-07-31T18:45:00Z">
              <w:r>
                <w:t>(b)</w:t>
              </w:r>
              <w:r>
                <w:tab/>
                <w:t>where new site is outside the South</w:t>
              </w:r>
              <w:r>
                <w:noBreakHyphen/>
                <w:t>west zone (fee per 5 new sites)</w:t>
              </w:r>
            </w:ins>
          </w:p>
        </w:tc>
        <w:tc>
          <w:tcPr>
            <w:tcW w:w="850" w:type="dxa"/>
          </w:tcPr>
          <w:p>
            <w:pPr>
              <w:pStyle w:val="yTableNAm"/>
              <w:tabs>
                <w:tab w:val="clear" w:pos="567"/>
              </w:tabs>
              <w:jc w:val="right"/>
              <w:rPr>
                <w:ins w:id="1172" w:author="Master Repository Process" w:date="2021-07-31T18:45:00Z"/>
              </w:rPr>
            </w:pPr>
            <w:ins w:id="1173" w:author="Master Repository Process" w:date="2021-07-31T18:45:00Z">
              <w:r>
                <w:br/>
              </w:r>
            </w:ins>
          </w:p>
          <w:p>
            <w:pPr>
              <w:pStyle w:val="yTableNAm"/>
              <w:tabs>
                <w:tab w:val="clear" w:pos="567"/>
              </w:tabs>
              <w:jc w:val="right"/>
              <w:rPr>
                <w:ins w:id="1174" w:author="Master Repository Process" w:date="2021-07-31T18:45:00Z"/>
              </w:rPr>
            </w:pPr>
            <w:ins w:id="1175" w:author="Master Repository Process" w:date="2021-07-31T18:45:00Z">
              <w:r>
                <w:br/>
                <w:t>100.00</w:t>
              </w:r>
            </w:ins>
          </w:p>
          <w:p>
            <w:pPr>
              <w:pStyle w:val="yTableNAm"/>
              <w:tabs>
                <w:tab w:val="clear" w:pos="567"/>
              </w:tabs>
              <w:jc w:val="right"/>
              <w:rPr>
                <w:ins w:id="1176" w:author="Master Repository Process" w:date="2021-07-31T18:45:00Z"/>
              </w:rPr>
            </w:pPr>
            <w:ins w:id="1177" w:author="Master Repository Process" w:date="2021-07-31T18:45:00Z">
              <w:r>
                <w:br/>
                <w:t>50.00</w:t>
              </w:r>
            </w:ins>
          </w:p>
        </w:tc>
      </w:tr>
      <w:tr>
        <w:trPr>
          <w:ins w:id="1178" w:author="Master Repository Process" w:date="2021-07-31T18:45:00Z"/>
        </w:trPr>
        <w:tc>
          <w:tcPr>
            <w:tcW w:w="567" w:type="dxa"/>
          </w:tcPr>
          <w:p>
            <w:pPr>
              <w:pStyle w:val="yTableNAm"/>
              <w:rPr>
                <w:ins w:id="1179" w:author="Master Repository Process" w:date="2021-07-31T18:45:00Z"/>
              </w:rPr>
            </w:pPr>
            <w:ins w:id="1180" w:author="Master Repository Process" w:date="2021-07-31T18:45:00Z">
              <w:r>
                <w:t>4.</w:t>
              </w:r>
            </w:ins>
          </w:p>
        </w:tc>
        <w:tc>
          <w:tcPr>
            <w:tcW w:w="4820" w:type="dxa"/>
          </w:tcPr>
          <w:p>
            <w:pPr>
              <w:pStyle w:val="yTableNAm"/>
              <w:rPr>
                <w:ins w:id="1181" w:author="Master Repository Process" w:date="2021-07-31T18:45:00Z"/>
              </w:rPr>
            </w:pPr>
            <w:ins w:id="1182" w:author="Master Repository Process" w:date="2021-07-31T18:45:00Z">
              <w:r>
                <w:t xml:space="preserve">Application for grant of apiary permit where permit is sought to replace a permit held by the applicant for a different site which will be surrendered if the application is granted — </w:t>
              </w:r>
            </w:ins>
          </w:p>
          <w:p>
            <w:pPr>
              <w:pStyle w:val="yTableNAm"/>
              <w:ind w:left="567" w:hanging="567"/>
              <w:rPr>
                <w:ins w:id="1183" w:author="Master Repository Process" w:date="2021-07-31T18:45:00Z"/>
              </w:rPr>
            </w:pPr>
            <w:ins w:id="1184" w:author="Master Repository Process" w:date="2021-07-31T18:45:00Z">
              <w:r>
                <w:t>(a)</w:t>
              </w:r>
              <w:r>
                <w:tab/>
                <w:t>where new site is in the South</w:t>
              </w:r>
              <w:r>
                <w:noBreakHyphen/>
                <w:t xml:space="preserve">west zone </w:t>
              </w:r>
              <w:r>
                <w:br/>
                <w:t>(fee per 5 new sites)</w:t>
              </w:r>
            </w:ins>
          </w:p>
          <w:p>
            <w:pPr>
              <w:pStyle w:val="yTableNAm"/>
              <w:ind w:left="567" w:hanging="567"/>
              <w:rPr>
                <w:ins w:id="1185" w:author="Master Repository Process" w:date="2021-07-31T18:45:00Z"/>
              </w:rPr>
            </w:pPr>
            <w:ins w:id="1186" w:author="Master Repository Process" w:date="2021-07-31T18:45:00Z">
              <w:r>
                <w:t>(b)</w:t>
              </w:r>
              <w:r>
                <w:tab/>
                <w:t>where new site is outside the South</w:t>
              </w:r>
              <w:r>
                <w:noBreakHyphen/>
                <w:t>west zone (fee per 5 new sites)</w:t>
              </w:r>
            </w:ins>
          </w:p>
        </w:tc>
        <w:tc>
          <w:tcPr>
            <w:tcW w:w="850" w:type="dxa"/>
          </w:tcPr>
          <w:p>
            <w:pPr>
              <w:pStyle w:val="yTableNAm"/>
              <w:tabs>
                <w:tab w:val="clear" w:pos="567"/>
              </w:tabs>
              <w:jc w:val="right"/>
              <w:rPr>
                <w:ins w:id="1187" w:author="Master Repository Process" w:date="2021-07-31T18:45:00Z"/>
              </w:rPr>
            </w:pPr>
            <w:ins w:id="1188" w:author="Master Repository Process" w:date="2021-07-31T18:45:00Z">
              <w:r>
                <w:br/>
              </w:r>
              <w:r>
                <w:br/>
              </w:r>
              <w:r>
                <w:br/>
              </w:r>
            </w:ins>
          </w:p>
          <w:p>
            <w:pPr>
              <w:pStyle w:val="yTableNAm"/>
              <w:tabs>
                <w:tab w:val="clear" w:pos="567"/>
              </w:tabs>
              <w:jc w:val="right"/>
              <w:rPr>
                <w:ins w:id="1189" w:author="Master Repository Process" w:date="2021-07-31T18:45:00Z"/>
              </w:rPr>
            </w:pPr>
            <w:ins w:id="1190" w:author="Master Repository Process" w:date="2021-07-31T18:45:00Z">
              <w:r>
                <w:br/>
                <w:t>100.00</w:t>
              </w:r>
            </w:ins>
          </w:p>
          <w:p>
            <w:pPr>
              <w:pStyle w:val="yTableNAm"/>
              <w:tabs>
                <w:tab w:val="clear" w:pos="567"/>
              </w:tabs>
              <w:jc w:val="right"/>
              <w:rPr>
                <w:ins w:id="1191" w:author="Master Repository Process" w:date="2021-07-31T18:45:00Z"/>
              </w:rPr>
            </w:pPr>
            <w:ins w:id="1192" w:author="Master Repository Process" w:date="2021-07-31T18:45:00Z">
              <w:r>
                <w:br/>
                <w:t>50.00</w:t>
              </w:r>
            </w:ins>
          </w:p>
        </w:tc>
      </w:tr>
    </w:tbl>
    <w:p>
      <w:pPr>
        <w:pStyle w:val="BlankClose"/>
        <w:rPr>
          <w:ins w:id="1193" w:author="Master Repository Process" w:date="2021-07-31T18:45:00Z"/>
        </w:rPr>
      </w:pPr>
    </w:p>
    <w:p>
      <w:pPr>
        <w:pStyle w:val="yFootnotesection"/>
        <w:rPr>
          <w:ins w:id="1194" w:author="Master Repository Process" w:date="2021-07-31T18:45:00Z"/>
        </w:rPr>
      </w:pPr>
      <w:ins w:id="1195" w:author="Master Repository Process" w:date="2021-07-31T18:45:00Z">
        <w:r>
          <w:tab/>
          <w:t>[Division 11 inserted in Gazette 3 Sep 2010 p. 4283.]</w:t>
        </w:r>
      </w:ins>
    </w:p>
    <w:p>
      <w:pPr>
        <w:pStyle w:val="yFootnotesection"/>
        <w:rPr>
          <w:ins w:id="1196" w:author="Master Repository Process" w:date="2021-07-31T18:45:00Z"/>
        </w:rPr>
      </w:pPr>
    </w:p>
    <w:p>
      <w:pPr>
        <w:pStyle w:val="yScheduleHeading"/>
      </w:pPr>
      <w:bookmarkStart w:id="1197" w:name="_Toc239150563"/>
      <w:bookmarkStart w:id="1198" w:name="_Toc271207586"/>
      <w:bookmarkStart w:id="1199" w:name="_Toc271207762"/>
      <w:bookmarkStart w:id="1200" w:name="_Toc271209085"/>
      <w:bookmarkStart w:id="1201" w:name="_Toc271209419"/>
      <w:bookmarkStart w:id="1202" w:name="_Toc271209595"/>
      <w:bookmarkStart w:id="1203" w:name="_Toc271209771"/>
      <w:bookmarkStart w:id="1204" w:name="_Toc271209947"/>
      <w:bookmarkStart w:id="1205" w:name="_Toc524423035"/>
      <w:r>
        <w:rPr>
          <w:rStyle w:val="CharSchNo"/>
        </w:rPr>
        <w:t>Schedule 2</w:t>
      </w:r>
      <w:r>
        <w:t xml:space="preserve"> — </w:t>
      </w:r>
      <w:r>
        <w:rPr>
          <w:rStyle w:val="CharSchText"/>
        </w:rPr>
        <w:t>Offences to which modified penalties apply</w:t>
      </w:r>
      <w:bookmarkEnd w:id="1122"/>
      <w:bookmarkEnd w:id="1123"/>
      <w:bookmarkEnd w:id="1124"/>
      <w:bookmarkEnd w:id="1197"/>
      <w:bookmarkEnd w:id="1198"/>
      <w:bookmarkEnd w:id="1199"/>
      <w:bookmarkEnd w:id="1200"/>
      <w:bookmarkEnd w:id="1201"/>
      <w:bookmarkEnd w:id="1202"/>
      <w:bookmarkEnd w:id="1203"/>
      <w:bookmarkEnd w:id="1204"/>
      <w:bookmarkEnd w:id="1205"/>
    </w:p>
    <w:p>
      <w:pPr>
        <w:pStyle w:val="yShoulderClause"/>
      </w:pPr>
      <w:r>
        <w:t xml:space="preserve">[r. 112] </w:t>
      </w:r>
    </w:p>
    <w:p>
      <w:pPr>
        <w:pStyle w:val="yHeading3"/>
      </w:pPr>
      <w:bookmarkStart w:id="1206" w:name="_Toc189456649"/>
      <w:bookmarkStart w:id="1207" w:name="_Toc223500452"/>
      <w:bookmarkStart w:id="1208" w:name="_Toc223500614"/>
      <w:bookmarkStart w:id="1209" w:name="_Toc239150564"/>
      <w:bookmarkStart w:id="1210" w:name="_Toc271207587"/>
      <w:bookmarkStart w:id="1211" w:name="_Toc271207763"/>
      <w:bookmarkStart w:id="1212" w:name="_Toc271209086"/>
      <w:bookmarkStart w:id="1213" w:name="_Toc271209420"/>
      <w:bookmarkStart w:id="1214" w:name="_Toc271209596"/>
      <w:bookmarkStart w:id="1215" w:name="_Toc271209772"/>
      <w:bookmarkStart w:id="1216" w:name="_Toc271209948"/>
      <w:bookmarkStart w:id="1217" w:name="_Toc524423036"/>
      <w:r>
        <w:rPr>
          <w:rStyle w:val="CharSDivNo"/>
        </w:rPr>
        <w:t>Division 1</w:t>
      </w:r>
      <w:r>
        <w:rPr>
          <w:rStyle w:val="CharDivNo"/>
        </w:rPr>
        <w:t xml:space="preserve"> </w:t>
      </w:r>
      <w:r>
        <w:t xml:space="preserve">— </w:t>
      </w:r>
      <w:r>
        <w:rPr>
          <w:rStyle w:val="CharSDivText"/>
        </w:rPr>
        <w:t>Offences under the Act</w:t>
      </w:r>
      <w:bookmarkEnd w:id="1206"/>
      <w:bookmarkEnd w:id="1207"/>
      <w:bookmarkEnd w:id="1208"/>
      <w:bookmarkEnd w:id="1209"/>
      <w:bookmarkEnd w:id="1210"/>
      <w:bookmarkEnd w:id="1211"/>
      <w:bookmarkEnd w:id="1212"/>
      <w:bookmarkEnd w:id="1213"/>
      <w:bookmarkEnd w:id="1214"/>
      <w:bookmarkEnd w:id="1215"/>
      <w:bookmarkEnd w:id="1216"/>
      <w:bookmarkEnd w:id="1217"/>
    </w:p>
    <w:tbl>
      <w:tblPr>
        <w:tblW w:w="0" w:type="auto"/>
        <w:tblInd w:w="85" w:type="dxa"/>
        <w:tblLayout w:type="fixed"/>
        <w:tblCellMar>
          <w:left w:w="85" w:type="dxa"/>
          <w:right w:w="85" w:type="dxa"/>
        </w:tblCellMar>
        <w:tblLook w:val="0000" w:firstRow="0" w:lastRow="0" w:firstColumn="0" w:lastColumn="0" w:noHBand="0" w:noVBand="0"/>
      </w:tblPr>
      <w:tblGrid>
        <w:gridCol w:w="709"/>
        <w:gridCol w:w="1276"/>
        <w:gridCol w:w="3655"/>
        <w:gridCol w:w="1200"/>
      </w:tblGrid>
      <w:tr>
        <w:tc>
          <w:tcPr>
            <w:tcW w:w="709" w:type="dxa"/>
            <w:vAlign w:val="center"/>
          </w:tcPr>
          <w:p>
            <w:pPr>
              <w:pStyle w:val="yTable"/>
              <w:rPr>
                <w:b/>
              </w:rPr>
            </w:pPr>
          </w:p>
        </w:tc>
        <w:tc>
          <w:tcPr>
            <w:tcW w:w="1276" w:type="dxa"/>
          </w:tcPr>
          <w:p>
            <w:pPr>
              <w:pStyle w:val="yTable"/>
              <w:jc w:val="center"/>
              <w:rPr>
                <w:b/>
              </w:rPr>
            </w:pPr>
            <w:r>
              <w:rPr>
                <w:b/>
              </w:rPr>
              <w:t>Column 1</w:t>
            </w:r>
          </w:p>
        </w:tc>
        <w:tc>
          <w:tcPr>
            <w:tcW w:w="3655" w:type="dxa"/>
          </w:tcPr>
          <w:p>
            <w:pPr>
              <w:pStyle w:val="yTable"/>
              <w:jc w:val="center"/>
              <w:rPr>
                <w:b/>
              </w:rPr>
            </w:pPr>
            <w:r>
              <w:rPr>
                <w:b/>
              </w:rPr>
              <w:t>Column 2</w:t>
            </w:r>
          </w:p>
        </w:tc>
        <w:tc>
          <w:tcPr>
            <w:tcW w:w="1200" w:type="dxa"/>
          </w:tcPr>
          <w:p>
            <w:pPr>
              <w:pStyle w:val="yTable"/>
              <w:jc w:val="center"/>
              <w:rPr>
                <w:b/>
              </w:rPr>
            </w:pPr>
            <w:r>
              <w:rPr>
                <w:b/>
              </w:rPr>
              <w:t>Column 3</w:t>
            </w:r>
          </w:p>
        </w:tc>
      </w:tr>
      <w:tr>
        <w:tc>
          <w:tcPr>
            <w:tcW w:w="709" w:type="dxa"/>
            <w:vAlign w:val="center"/>
          </w:tcPr>
          <w:p>
            <w:pPr>
              <w:pStyle w:val="yTable"/>
              <w:rPr>
                <w:b/>
              </w:rPr>
            </w:pPr>
            <w:r>
              <w:rPr>
                <w:b/>
              </w:rPr>
              <w:t>Item No.</w:t>
            </w:r>
            <w:r>
              <w:rPr>
                <w:b/>
              </w:rPr>
              <w:br/>
            </w:r>
            <w:r>
              <w:rPr>
                <w:b/>
              </w:rPr>
              <w:br/>
            </w:r>
          </w:p>
        </w:tc>
        <w:tc>
          <w:tcPr>
            <w:tcW w:w="1276" w:type="dxa"/>
          </w:tcPr>
          <w:p>
            <w:pPr>
              <w:pStyle w:val="yTable"/>
              <w:jc w:val="center"/>
              <w:rPr>
                <w:b/>
              </w:rPr>
            </w:pPr>
            <w:r>
              <w:rPr>
                <w:b/>
              </w:rPr>
              <w:t>Section creating offence</w:t>
            </w:r>
          </w:p>
        </w:tc>
        <w:tc>
          <w:tcPr>
            <w:tcW w:w="3655"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709" w:type="dxa"/>
          </w:tcPr>
          <w:p>
            <w:pPr>
              <w:pStyle w:val="yTable"/>
            </w:pPr>
            <w:r>
              <w:t>1.</w:t>
            </w:r>
          </w:p>
        </w:tc>
        <w:tc>
          <w:tcPr>
            <w:tcW w:w="1276" w:type="dxa"/>
          </w:tcPr>
          <w:p>
            <w:pPr>
              <w:pStyle w:val="yTable"/>
            </w:pPr>
            <w:r>
              <w:t>101C</w:t>
            </w:r>
          </w:p>
        </w:tc>
        <w:tc>
          <w:tcPr>
            <w:tcW w:w="3655"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709" w:type="dxa"/>
          </w:tcPr>
          <w:p>
            <w:pPr>
              <w:pStyle w:val="yTable"/>
            </w:pPr>
            <w:r>
              <w:t>2.</w:t>
            </w:r>
          </w:p>
        </w:tc>
        <w:tc>
          <w:tcPr>
            <w:tcW w:w="1276" w:type="dxa"/>
          </w:tcPr>
          <w:p>
            <w:pPr>
              <w:pStyle w:val="yTable"/>
              <w:tabs>
                <w:tab w:val="decimal" w:pos="340"/>
              </w:tabs>
            </w:pPr>
            <w:r>
              <w:t>103(1)</w:t>
            </w:r>
          </w:p>
        </w:tc>
        <w:tc>
          <w:tcPr>
            <w:tcW w:w="3655" w:type="dxa"/>
          </w:tcPr>
          <w:p>
            <w:pPr>
              <w:pStyle w:val="yTable"/>
            </w:pPr>
            <w:r>
              <w:t>Unlawful taking of forest produce</w:t>
            </w:r>
          </w:p>
        </w:tc>
        <w:tc>
          <w:tcPr>
            <w:tcW w:w="1200" w:type="dxa"/>
            <w:vAlign w:val="bottom"/>
          </w:tcPr>
          <w:p>
            <w:pPr>
              <w:pStyle w:val="yTable"/>
              <w:jc w:val="center"/>
            </w:pPr>
            <w:r>
              <w:t>200</w:t>
            </w:r>
          </w:p>
        </w:tc>
      </w:tr>
      <w:tr>
        <w:trPr>
          <w:cantSplit/>
        </w:trPr>
        <w:tc>
          <w:tcPr>
            <w:tcW w:w="709" w:type="dxa"/>
          </w:tcPr>
          <w:p>
            <w:pPr>
              <w:pStyle w:val="yTable"/>
            </w:pPr>
            <w:r>
              <w:t>3.</w:t>
            </w:r>
          </w:p>
        </w:tc>
        <w:tc>
          <w:tcPr>
            <w:tcW w:w="1276" w:type="dxa"/>
          </w:tcPr>
          <w:p>
            <w:pPr>
              <w:pStyle w:val="yTable"/>
              <w:tabs>
                <w:tab w:val="decimal" w:pos="177"/>
              </w:tabs>
            </w:pPr>
            <w:r>
              <w:t>106</w:t>
            </w:r>
          </w:p>
        </w:tc>
        <w:tc>
          <w:tcPr>
            <w:tcW w:w="3655" w:type="dxa"/>
          </w:tcPr>
          <w:p>
            <w:pPr>
              <w:pStyle w:val="yTable"/>
            </w:pPr>
            <w:r>
              <w:t>Unlawful occupation of land</w:t>
            </w:r>
          </w:p>
        </w:tc>
        <w:tc>
          <w:tcPr>
            <w:tcW w:w="1200" w:type="dxa"/>
            <w:vAlign w:val="bottom"/>
          </w:tcPr>
          <w:p>
            <w:pPr>
              <w:pStyle w:val="yTable"/>
              <w:jc w:val="center"/>
            </w:pPr>
            <w:r>
              <w:t>200</w:t>
            </w:r>
          </w:p>
        </w:tc>
      </w:tr>
      <w:tr>
        <w:trPr>
          <w:cantSplit/>
        </w:trPr>
        <w:tc>
          <w:tcPr>
            <w:tcW w:w="709" w:type="dxa"/>
          </w:tcPr>
          <w:p>
            <w:pPr>
              <w:pStyle w:val="yTable"/>
            </w:pPr>
            <w:r>
              <w:t>4.</w:t>
            </w:r>
          </w:p>
        </w:tc>
        <w:tc>
          <w:tcPr>
            <w:tcW w:w="1276" w:type="dxa"/>
          </w:tcPr>
          <w:p>
            <w:pPr>
              <w:pStyle w:val="yTable"/>
              <w:tabs>
                <w:tab w:val="decimal" w:pos="340"/>
              </w:tabs>
            </w:pPr>
            <w:r>
              <w:t>107(b)</w:t>
            </w:r>
          </w:p>
        </w:tc>
        <w:tc>
          <w:tcPr>
            <w:tcW w:w="3655" w:type="dxa"/>
          </w:tcPr>
          <w:p>
            <w:pPr>
              <w:pStyle w:val="yTable"/>
            </w:pPr>
            <w:r>
              <w:t>Unlawfully altering signs etc.</w:t>
            </w:r>
          </w:p>
        </w:tc>
        <w:tc>
          <w:tcPr>
            <w:tcW w:w="1200" w:type="dxa"/>
            <w:vAlign w:val="bottom"/>
          </w:tcPr>
          <w:p>
            <w:pPr>
              <w:pStyle w:val="yTable"/>
              <w:jc w:val="center"/>
            </w:pPr>
            <w:r>
              <w:t>200</w:t>
            </w:r>
          </w:p>
        </w:tc>
      </w:tr>
      <w:tr>
        <w:trPr>
          <w:cantSplit/>
        </w:trPr>
        <w:tc>
          <w:tcPr>
            <w:tcW w:w="709" w:type="dxa"/>
          </w:tcPr>
          <w:p>
            <w:pPr>
              <w:pStyle w:val="yTable"/>
            </w:pPr>
            <w:r>
              <w:t>5.</w:t>
            </w:r>
          </w:p>
        </w:tc>
        <w:tc>
          <w:tcPr>
            <w:tcW w:w="1276" w:type="dxa"/>
          </w:tcPr>
          <w:p>
            <w:pPr>
              <w:pStyle w:val="yTable"/>
              <w:tabs>
                <w:tab w:val="decimal" w:pos="340"/>
              </w:tabs>
            </w:pPr>
            <w:r>
              <w:t>107(c)</w:t>
            </w:r>
          </w:p>
        </w:tc>
        <w:tc>
          <w:tcPr>
            <w:tcW w:w="3655" w:type="dxa"/>
          </w:tcPr>
          <w:p>
            <w:pPr>
              <w:pStyle w:val="yTable"/>
            </w:pPr>
            <w:r>
              <w:t>Damaging buildings etc.</w:t>
            </w:r>
          </w:p>
        </w:tc>
        <w:tc>
          <w:tcPr>
            <w:tcW w:w="1200" w:type="dxa"/>
            <w:vAlign w:val="bottom"/>
          </w:tcPr>
          <w:p>
            <w:pPr>
              <w:pStyle w:val="yTable"/>
              <w:jc w:val="center"/>
            </w:pPr>
            <w:r>
              <w:t>200</w:t>
            </w:r>
          </w:p>
        </w:tc>
      </w:tr>
      <w:tr>
        <w:trPr>
          <w:cantSplit/>
        </w:trPr>
        <w:tc>
          <w:tcPr>
            <w:tcW w:w="709" w:type="dxa"/>
          </w:tcPr>
          <w:p>
            <w:pPr>
              <w:pStyle w:val="yTable"/>
            </w:pPr>
            <w:r>
              <w:t>6.</w:t>
            </w:r>
          </w:p>
        </w:tc>
        <w:tc>
          <w:tcPr>
            <w:tcW w:w="1276" w:type="dxa"/>
          </w:tcPr>
          <w:p>
            <w:pPr>
              <w:pStyle w:val="yTable"/>
              <w:tabs>
                <w:tab w:val="decimal" w:pos="340"/>
              </w:tabs>
            </w:pPr>
            <w:r>
              <w:t>107(d)</w:t>
            </w:r>
          </w:p>
        </w:tc>
        <w:tc>
          <w:tcPr>
            <w:tcW w:w="3655" w:type="dxa"/>
          </w:tcPr>
          <w:p>
            <w:pPr>
              <w:pStyle w:val="yTable"/>
            </w:pPr>
            <w:r>
              <w:t>Destroying dams etc.</w:t>
            </w:r>
          </w:p>
        </w:tc>
        <w:tc>
          <w:tcPr>
            <w:tcW w:w="1200" w:type="dxa"/>
            <w:vAlign w:val="bottom"/>
          </w:tcPr>
          <w:p>
            <w:pPr>
              <w:pStyle w:val="yTable"/>
              <w:jc w:val="center"/>
            </w:pPr>
            <w:r>
              <w:t>200</w:t>
            </w:r>
          </w:p>
        </w:tc>
      </w:tr>
      <w:tr>
        <w:trPr>
          <w:cantSplit/>
        </w:trPr>
        <w:tc>
          <w:tcPr>
            <w:tcW w:w="709" w:type="dxa"/>
          </w:tcPr>
          <w:p>
            <w:pPr>
              <w:pStyle w:val="yTable"/>
            </w:pPr>
            <w:r>
              <w:t>7.</w:t>
            </w:r>
          </w:p>
        </w:tc>
        <w:tc>
          <w:tcPr>
            <w:tcW w:w="1276" w:type="dxa"/>
          </w:tcPr>
          <w:p>
            <w:pPr>
              <w:pStyle w:val="yTable"/>
              <w:tabs>
                <w:tab w:val="decimal" w:pos="340"/>
              </w:tabs>
            </w:pPr>
            <w:r>
              <w:t>107(i)</w:t>
            </w:r>
          </w:p>
        </w:tc>
        <w:tc>
          <w:tcPr>
            <w:tcW w:w="3655"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1218" w:name="_Toc189456650"/>
      <w:bookmarkStart w:id="1219" w:name="_Toc223500453"/>
      <w:bookmarkStart w:id="1220" w:name="_Toc223500615"/>
      <w:bookmarkStart w:id="1221" w:name="_Toc239150565"/>
      <w:bookmarkStart w:id="1222" w:name="_Toc271207588"/>
      <w:bookmarkStart w:id="1223" w:name="_Toc271207764"/>
      <w:bookmarkStart w:id="1224" w:name="_Toc271209087"/>
      <w:bookmarkStart w:id="1225" w:name="_Toc271209421"/>
      <w:bookmarkStart w:id="1226" w:name="_Toc271209597"/>
      <w:bookmarkStart w:id="1227" w:name="_Toc271209773"/>
      <w:bookmarkStart w:id="1228" w:name="_Toc271209949"/>
      <w:bookmarkStart w:id="1229" w:name="_Toc524423037"/>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1218"/>
      <w:bookmarkEnd w:id="1219"/>
      <w:bookmarkEnd w:id="1220"/>
      <w:bookmarkEnd w:id="1221"/>
      <w:bookmarkEnd w:id="1222"/>
      <w:bookmarkEnd w:id="1223"/>
      <w:bookmarkEnd w:id="1224"/>
      <w:bookmarkEnd w:id="1225"/>
      <w:bookmarkEnd w:id="1226"/>
      <w:bookmarkEnd w:id="1227"/>
      <w:bookmarkEnd w:id="1228"/>
      <w:bookmarkEnd w:id="1229"/>
    </w:p>
    <w:tbl>
      <w:tblPr>
        <w:tblW w:w="0" w:type="auto"/>
        <w:tblInd w:w="85" w:type="dxa"/>
        <w:tblLayout w:type="fixed"/>
        <w:tblCellMar>
          <w:left w:w="85" w:type="dxa"/>
          <w:right w:w="85" w:type="dxa"/>
        </w:tblCellMar>
        <w:tblLook w:val="0000" w:firstRow="0" w:lastRow="0" w:firstColumn="0" w:lastColumn="0" w:noHBand="0" w:noVBand="0"/>
      </w:tblPr>
      <w:tblGrid>
        <w:gridCol w:w="710"/>
        <w:gridCol w:w="1211"/>
        <w:gridCol w:w="49"/>
        <w:gridCol w:w="3670"/>
        <w:gridCol w:w="1200"/>
      </w:tblGrid>
      <w:tr>
        <w:trPr>
          <w:cantSplit/>
          <w:trHeight w:val="240"/>
          <w:tblHeader/>
        </w:trPr>
        <w:tc>
          <w:tcPr>
            <w:tcW w:w="710" w:type="dxa"/>
            <w:vAlign w:val="center"/>
          </w:tcPr>
          <w:p>
            <w:pPr>
              <w:pStyle w:val="yTable"/>
              <w:jc w:val="center"/>
              <w:rPr>
                <w:b/>
              </w:rPr>
            </w:pPr>
          </w:p>
        </w:tc>
        <w:tc>
          <w:tcPr>
            <w:tcW w:w="1260" w:type="dxa"/>
            <w:gridSpan w:val="2"/>
            <w:vAlign w:val="center"/>
          </w:tcPr>
          <w:p>
            <w:pPr>
              <w:pStyle w:val="yTable"/>
              <w:rPr>
                <w:b/>
              </w:rPr>
            </w:pPr>
            <w:r>
              <w:rPr>
                <w:b/>
              </w:rPr>
              <w:t>Column 1</w:t>
            </w:r>
          </w:p>
        </w:tc>
        <w:tc>
          <w:tcPr>
            <w:tcW w:w="367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710" w:type="dxa"/>
          </w:tcPr>
          <w:p>
            <w:pPr>
              <w:pStyle w:val="yTable"/>
              <w:rPr>
                <w:b/>
              </w:rPr>
            </w:pPr>
            <w:r>
              <w:rPr>
                <w:b/>
              </w:rPr>
              <w:t>Item No.</w:t>
            </w:r>
          </w:p>
          <w:p>
            <w:pPr>
              <w:pStyle w:val="yTable"/>
              <w:rPr>
                <w:b/>
              </w:rPr>
            </w:pPr>
          </w:p>
        </w:tc>
        <w:tc>
          <w:tcPr>
            <w:tcW w:w="1260" w:type="dxa"/>
            <w:gridSpan w:val="2"/>
          </w:tcPr>
          <w:p>
            <w:pPr>
              <w:pStyle w:val="yTable"/>
              <w:rPr>
                <w:b/>
              </w:rPr>
            </w:pPr>
            <w:r>
              <w:rPr>
                <w:b/>
              </w:rPr>
              <w:t>Regulation creating offence</w:t>
            </w:r>
          </w:p>
        </w:tc>
        <w:tc>
          <w:tcPr>
            <w:tcW w:w="367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710" w:type="dxa"/>
          </w:tcPr>
          <w:p>
            <w:pPr>
              <w:pStyle w:val="yTable"/>
            </w:pPr>
            <w:r>
              <w:t>1.</w:t>
            </w:r>
          </w:p>
        </w:tc>
        <w:tc>
          <w:tcPr>
            <w:tcW w:w="1211" w:type="dxa"/>
          </w:tcPr>
          <w:p>
            <w:pPr>
              <w:pStyle w:val="yTable"/>
              <w:tabs>
                <w:tab w:val="decimal" w:pos="285"/>
              </w:tabs>
            </w:pPr>
            <w:r>
              <w:t>8(1)</w:t>
            </w:r>
          </w:p>
        </w:tc>
        <w:tc>
          <w:tcPr>
            <w:tcW w:w="3719" w:type="dxa"/>
            <w:gridSpan w:val="2"/>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710" w:type="dxa"/>
          </w:tcPr>
          <w:p>
            <w:pPr>
              <w:pStyle w:val="yTable"/>
            </w:pPr>
            <w:r>
              <w:t>2.</w:t>
            </w:r>
          </w:p>
        </w:tc>
        <w:tc>
          <w:tcPr>
            <w:tcW w:w="1211" w:type="dxa"/>
          </w:tcPr>
          <w:p>
            <w:pPr>
              <w:pStyle w:val="yTable"/>
              <w:tabs>
                <w:tab w:val="decimal" w:pos="285"/>
              </w:tabs>
            </w:pPr>
            <w:r>
              <w:t>9(1)</w:t>
            </w:r>
          </w:p>
        </w:tc>
        <w:tc>
          <w:tcPr>
            <w:tcW w:w="3719" w:type="dxa"/>
            <w:gridSpan w:val="2"/>
          </w:tcPr>
          <w:p>
            <w:pPr>
              <w:pStyle w:val="yTable"/>
            </w:pPr>
            <w:r>
              <w:t>Fishing in restricted area</w:t>
            </w:r>
          </w:p>
        </w:tc>
        <w:tc>
          <w:tcPr>
            <w:tcW w:w="1200" w:type="dxa"/>
            <w:vAlign w:val="bottom"/>
          </w:tcPr>
          <w:p>
            <w:pPr>
              <w:pStyle w:val="yTable"/>
              <w:tabs>
                <w:tab w:val="decimal" w:pos="766"/>
              </w:tabs>
              <w:rPr>
                <w:rFonts w:ascii="NewCenturySchlbk" w:hAnsi="NewCenturySchlbk"/>
                <w:b/>
                <w:i/>
                <w:sz w:val="19"/>
              </w:rPr>
            </w:pPr>
            <w:r>
              <w:t>100</w:t>
            </w:r>
          </w:p>
        </w:tc>
      </w:tr>
      <w:tr>
        <w:trPr>
          <w:cantSplit/>
        </w:trPr>
        <w:tc>
          <w:tcPr>
            <w:tcW w:w="710" w:type="dxa"/>
          </w:tcPr>
          <w:p>
            <w:pPr>
              <w:pStyle w:val="yTable"/>
            </w:pPr>
            <w:r>
              <w:t>3.</w:t>
            </w:r>
          </w:p>
        </w:tc>
        <w:tc>
          <w:tcPr>
            <w:tcW w:w="1211" w:type="dxa"/>
          </w:tcPr>
          <w:p>
            <w:pPr>
              <w:pStyle w:val="yTable"/>
              <w:tabs>
                <w:tab w:val="decimal" w:pos="340"/>
              </w:tabs>
            </w:pPr>
            <w:r>
              <w:t>10</w:t>
            </w:r>
          </w:p>
        </w:tc>
        <w:tc>
          <w:tcPr>
            <w:tcW w:w="3719" w:type="dxa"/>
            <w:gridSpan w:val="2"/>
          </w:tcPr>
          <w:p>
            <w:pPr>
              <w:pStyle w:val="yTable"/>
            </w:pPr>
            <w:r>
              <w:t>Feeding fauna</w:t>
            </w:r>
          </w:p>
        </w:tc>
        <w:tc>
          <w:tcPr>
            <w:tcW w:w="1200" w:type="dxa"/>
          </w:tcPr>
          <w:p>
            <w:pPr>
              <w:pStyle w:val="yTable"/>
              <w:tabs>
                <w:tab w:val="decimal" w:pos="766"/>
              </w:tabs>
            </w:pPr>
            <w:r>
              <w:t>50</w:t>
            </w:r>
          </w:p>
        </w:tc>
      </w:tr>
      <w:tr>
        <w:trPr>
          <w:cantSplit/>
        </w:trPr>
        <w:tc>
          <w:tcPr>
            <w:tcW w:w="710" w:type="dxa"/>
          </w:tcPr>
          <w:p>
            <w:pPr>
              <w:pStyle w:val="yTable"/>
            </w:pPr>
            <w:r>
              <w:t>4.</w:t>
            </w:r>
          </w:p>
        </w:tc>
        <w:tc>
          <w:tcPr>
            <w:tcW w:w="1211" w:type="dxa"/>
          </w:tcPr>
          <w:p>
            <w:pPr>
              <w:pStyle w:val="yTable"/>
              <w:tabs>
                <w:tab w:val="decimal" w:pos="340"/>
              </w:tabs>
            </w:pPr>
            <w:r>
              <w:t>12(1)</w:t>
            </w:r>
          </w:p>
        </w:tc>
        <w:tc>
          <w:tcPr>
            <w:tcW w:w="3719" w:type="dxa"/>
            <w:gridSpan w:val="2"/>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710" w:type="dxa"/>
          </w:tcPr>
          <w:p>
            <w:pPr>
              <w:pStyle w:val="yTable"/>
            </w:pPr>
            <w:r>
              <w:t>5.</w:t>
            </w:r>
          </w:p>
        </w:tc>
        <w:tc>
          <w:tcPr>
            <w:tcW w:w="1211" w:type="dxa"/>
          </w:tcPr>
          <w:p>
            <w:pPr>
              <w:pStyle w:val="yTable"/>
              <w:tabs>
                <w:tab w:val="decimal" w:pos="340"/>
              </w:tabs>
            </w:pPr>
            <w:r>
              <w:t>12(2)</w:t>
            </w:r>
          </w:p>
        </w:tc>
        <w:tc>
          <w:tcPr>
            <w:tcW w:w="3719" w:type="dxa"/>
            <w:gridSpan w:val="2"/>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710" w:type="dxa"/>
          </w:tcPr>
          <w:p>
            <w:pPr>
              <w:pStyle w:val="yTable"/>
            </w:pPr>
            <w:r>
              <w:t>6.</w:t>
            </w:r>
          </w:p>
        </w:tc>
        <w:tc>
          <w:tcPr>
            <w:tcW w:w="1211" w:type="dxa"/>
          </w:tcPr>
          <w:p>
            <w:pPr>
              <w:pStyle w:val="yTable"/>
              <w:tabs>
                <w:tab w:val="decimal" w:pos="340"/>
              </w:tabs>
            </w:pPr>
            <w:r>
              <w:t>12(3)</w:t>
            </w:r>
          </w:p>
        </w:tc>
        <w:tc>
          <w:tcPr>
            <w:tcW w:w="3719" w:type="dxa"/>
            <w:gridSpan w:val="2"/>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710" w:type="dxa"/>
          </w:tcPr>
          <w:p>
            <w:pPr>
              <w:pStyle w:val="yTable"/>
            </w:pPr>
            <w:r>
              <w:t>6a.</w:t>
            </w:r>
          </w:p>
        </w:tc>
        <w:tc>
          <w:tcPr>
            <w:tcW w:w="1211" w:type="dxa"/>
          </w:tcPr>
          <w:p>
            <w:pPr>
              <w:pStyle w:val="yTable"/>
              <w:tabs>
                <w:tab w:val="decimal" w:pos="340"/>
              </w:tabs>
            </w:pPr>
            <w:r>
              <w:t>12(3a)</w:t>
            </w:r>
          </w:p>
        </w:tc>
        <w:tc>
          <w:tcPr>
            <w:tcW w:w="3719" w:type="dxa"/>
            <w:gridSpan w:val="2"/>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710" w:type="dxa"/>
          </w:tcPr>
          <w:p>
            <w:pPr>
              <w:pStyle w:val="yTable"/>
            </w:pPr>
            <w:r>
              <w:t>7.</w:t>
            </w:r>
          </w:p>
        </w:tc>
        <w:tc>
          <w:tcPr>
            <w:tcW w:w="1211" w:type="dxa"/>
          </w:tcPr>
          <w:p>
            <w:pPr>
              <w:pStyle w:val="yTable"/>
              <w:tabs>
                <w:tab w:val="decimal" w:pos="340"/>
              </w:tabs>
            </w:pPr>
            <w:r>
              <w:t>15</w:t>
            </w:r>
          </w:p>
        </w:tc>
        <w:tc>
          <w:tcPr>
            <w:tcW w:w="3719" w:type="dxa"/>
            <w:gridSpan w:val="2"/>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710" w:type="dxa"/>
          </w:tcPr>
          <w:p>
            <w:pPr>
              <w:pStyle w:val="yTable"/>
            </w:pPr>
            <w:r>
              <w:t>8.</w:t>
            </w:r>
          </w:p>
        </w:tc>
        <w:tc>
          <w:tcPr>
            <w:tcW w:w="1211" w:type="dxa"/>
          </w:tcPr>
          <w:p>
            <w:pPr>
              <w:pStyle w:val="yTable"/>
              <w:tabs>
                <w:tab w:val="decimal" w:pos="340"/>
              </w:tabs>
              <w:rPr>
                <w:lang w:val="en-US"/>
              </w:rPr>
            </w:pPr>
            <w:r>
              <w:rPr>
                <w:lang w:val="en-US"/>
              </w:rPr>
              <w:t>16(2)</w:t>
            </w:r>
          </w:p>
        </w:tc>
        <w:tc>
          <w:tcPr>
            <w:tcW w:w="3719" w:type="dxa"/>
            <w:gridSpan w:val="2"/>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710" w:type="dxa"/>
          </w:tcPr>
          <w:p>
            <w:pPr>
              <w:pStyle w:val="yTable"/>
            </w:pPr>
            <w:r>
              <w:t>9.</w:t>
            </w:r>
          </w:p>
        </w:tc>
        <w:tc>
          <w:tcPr>
            <w:tcW w:w="1211" w:type="dxa"/>
          </w:tcPr>
          <w:p>
            <w:pPr>
              <w:pStyle w:val="yTable"/>
              <w:tabs>
                <w:tab w:val="decimal" w:pos="340"/>
              </w:tabs>
            </w:pPr>
            <w:r>
              <w:t>17(2)</w:t>
            </w:r>
          </w:p>
        </w:tc>
        <w:tc>
          <w:tcPr>
            <w:tcW w:w="3719" w:type="dxa"/>
            <w:gridSpan w:val="2"/>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710" w:type="dxa"/>
          </w:tcPr>
          <w:p>
            <w:pPr>
              <w:pStyle w:val="yTable"/>
            </w:pPr>
            <w:r>
              <w:t>10.</w:t>
            </w:r>
          </w:p>
        </w:tc>
        <w:tc>
          <w:tcPr>
            <w:tcW w:w="1211" w:type="dxa"/>
          </w:tcPr>
          <w:p>
            <w:pPr>
              <w:pStyle w:val="yTable"/>
              <w:tabs>
                <w:tab w:val="decimal" w:pos="340"/>
              </w:tabs>
            </w:pPr>
            <w:r>
              <w:t>18</w:t>
            </w:r>
          </w:p>
        </w:tc>
        <w:tc>
          <w:tcPr>
            <w:tcW w:w="3719" w:type="dxa"/>
            <w:gridSpan w:val="2"/>
          </w:tcPr>
          <w:p>
            <w:pPr>
              <w:pStyle w:val="yTable"/>
            </w:pPr>
            <w:r>
              <w:t>Hunting etc. non</w:t>
            </w:r>
            <w:r>
              <w:noBreakHyphen/>
              <w:t>indigenous animal</w:t>
            </w:r>
          </w:p>
        </w:tc>
        <w:tc>
          <w:tcPr>
            <w:tcW w:w="1200" w:type="dxa"/>
            <w:vAlign w:val="bottom"/>
          </w:tcPr>
          <w:p>
            <w:pPr>
              <w:pStyle w:val="yTable"/>
              <w:tabs>
                <w:tab w:val="decimal" w:pos="766"/>
              </w:tabs>
            </w:pPr>
            <w:r>
              <w:t>100</w:t>
            </w:r>
          </w:p>
        </w:tc>
      </w:tr>
      <w:tr>
        <w:trPr>
          <w:cantSplit/>
        </w:trPr>
        <w:tc>
          <w:tcPr>
            <w:tcW w:w="710" w:type="dxa"/>
          </w:tcPr>
          <w:p>
            <w:pPr>
              <w:pStyle w:val="yTable"/>
            </w:pPr>
            <w:r>
              <w:t>11.</w:t>
            </w:r>
          </w:p>
        </w:tc>
        <w:tc>
          <w:tcPr>
            <w:tcW w:w="1211" w:type="dxa"/>
          </w:tcPr>
          <w:p>
            <w:pPr>
              <w:pStyle w:val="yTable"/>
              <w:tabs>
                <w:tab w:val="decimal" w:pos="340"/>
              </w:tabs>
            </w:pPr>
            <w:r>
              <w:t>19</w:t>
            </w:r>
          </w:p>
        </w:tc>
        <w:tc>
          <w:tcPr>
            <w:tcW w:w="3719" w:type="dxa"/>
            <w:gridSpan w:val="2"/>
          </w:tcPr>
          <w:p>
            <w:pPr>
              <w:pStyle w:val="yTable"/>
            </w:pPr>
            <w:r>
              <w:t>Failing to remove animal</w:t>
            </w:r>
          </w:p>
        </w:tc>
        <w:tc>
          <w:tcPr>
            <w:tcW w:w="1200" w:type="dxa"/>
          </w:tcPr>
          <w:p>
            <w:pPr>
              <w:pStyle w:val="yTable"/>
              <w:tabs>
                <w:tab w:val="decimal" w:pos="766"/>
              </w:tabs>
            </w:pPr>
            <w:r>
              <w:t>50</w:t>
            </w:r>
          </w:p>
        </w:tc>
      </w:tr>
      <w:tr>
        <w:trPr>
          <w:cantSplit/>
        </w:trPr>
        <w:tc>
          <w:tcPr>
            <w:tcW w:w="710" w:type="dxa"/>
          </w:tcPr>
          <w:p>
            <w:pPr>
              <w:pStyle w:val="yTable"/>
            </w:pPr>
            <w:r>
              <w:t>12.</w:t>
            </w:r>
          </w:p>
        </w:tc>
        <w:tc>
          <w:tcPr>
            <w:tcW w:w="1211" w:type="dxa"/>
          </w:tcPr>
          <w:p>
            <w:pPr>
              <w:pStyle w:val="yTable"/>
              <w:tabs>
                <w:tab w:val="decimal" w:pos="340"/>
              </w:tabs>
            </w:pPr>
            <w:r>
              <w:t>21(1)</w:t>
            </w:r>
          </w:p>
        </w:tc>
        <w:tc>
          <w:tcPr>
            <w:tcW w:w="3719" w:type="dxa"/>
            <w:gridSpan w:val="2"/>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710" w:type="dxa"/>
          </w:tcPr>
          <w:p>
            <w:pPr>
              <w:pStyle w:val="yTable"/>
            </w:pPr>
            <w:r>
              <w:t>13.</w:t>
            </w:r>
          </w:p>
        </w:tc>
        <w:tc>
          <w:tcPr>
            <w:tcW w:w="1211" w:type="dxa"/>
          </w:tcPr>
          <w:p>
            <w:pPr>
              <w:pStyle w:val="yTable"/>
              <w:tabs>
                <w:tab w:val="decimal" w:pos="340"/>
              </w:tabs>
            </w:pPr>
            <w:r>
              <w:t>21(4)</w:t>
            </w:r>
          </w:p>
        </w:tc>
        <w:tc>
          <w:tcPr>
            <w:tcW w:w="3719" w:type="dxa"/>
            <w:gridSpan w:val="2"/>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710" w:type="dxa"/>
          </w:tcPr>
          <w:p>
            <w:pPr>
              <w:pStyle w:val="yTable"/>
            </w:pPr>
            <w:r>
              <w:t>14.</w:t>
            </w:r>
          </w:p>
        </w:tc>
        <w:tc>
          <w:tcPr>
            <w:tcW w:w="1211" w:type="dxa"/>
          </w:tcPr>
          <w:p>
            <w:pPr>
              <w:pStyle w:val="yTable"/>
              <w:tabs>
                <w:tab w:val="decimal" w:pos="340"/>
              </w:tabs>
            </w:pPr>
            <w:r>
              <w:t>22</w:t>
            </w:r>
          </w:p>
        </w:tc>
        <w:tc>
          <w:tcPr>
            <w:tcW w:w="3719" w:type="dxa"/>
            <w:gridSpan w:val="2"/>
          </w:tcPr>
          <w:p>
            <w:pPr>
              <w:pStyle w:val="yTable"/>
            </w:pPr>
            <w:r>
              <w:t>Painting or treating vessels</w:t>
            </w:r>
          </w:p>
        </w:tc>
        <w:tc>
          <w:tcPr>
            <w:tcW w:w="1200" w:type="dxa"/>
            <w:vAlign w:val="bottom"/>
          </w:tcPr>
          <w:p>
            <w:pPr>
              <w:pStyle w:val="yTable"/>
              <w:tabs>
                <w:tab w:val="decimal" w:pos="766"/>
              </w:tabs>
            </w:pPr>
            <w:r>
              <w:t>200</w:t>
            </w:r>
          </w:p>
        </w:tc>
      </w:tr>
      <w:tr>
        <w:trPr>
          <w:cantSplit/>
        </w:trPr>
        <w:tc>
          <w:tcPr>
            <w:tcW w:w="710" w:type="dxa"/>
          </w:tcPr>
          <w:p>
            <w:pPr>
              <w:pStyle w:val="yTable"/>
            </w:pPr>
            <w:r>
              <w:t>15.</w:t>
            </w:r>
          </w:p>
        </w:tc>
        <w:tc>
          <w:tcPr>
            <w:tcW w:w="1211" w:type="dxa"/>
          </w:tcPr>
          <w:p>
            <w:pPr>
              <w:pStyle w:val="yTable"/>
              <w:tabs>
                <w:tab w:val="decimal" w:pos="340"/>
              </w:tabs>
            </w:pPr>
            <w:r>
              <w:t>23(1)</w:t>
            </w:r>
          </w:p>
        </w:tc>
        <w:tc>
          <w:tcPr>
            <w:tcW w:w="3719" w:type="dxa"/>
            <w:gridSpan w:val="2"/>
          </w:tcPr>
          <w:p>
            <w:pPr>
              <w:pStyle w:val="yTable"/>
            </w:pPr>
            <w:r>
              <w:t>Polluting water supply</w:t>
            </w:r>
          </w:p>
        </w:tc>
        <w:tc>
          <w:tcPr>
            <w:tcW w:w="1200" w:type="dxa"/>
            <w:vAlign w:val="bottom"/>
          </w:tcPr>
          <w:p>
            <w:pPr>
              <w:pStyle w:val="yTable"/>
              <w:tabs>
                <w:tab w:val="decimal" w:pos="766"/>
              </w:tabs>
            </w:pPr>
            <w:r>
              <w:t>200</w:t>
            </w:r>
          </w:p>
        </w:tc>
      </w:tr>
      <w:tr>
        <w:trPr>
          <w:cantSplit/>
        </w:trPr>
        <w:tc>
          <w:tcPr>
            <w:tcW w:w="710" w:type="dxa"/>
          </w:tcPr>
          <w:p>
            <w:pPr>
              <w:pStyle w:val="yTable"/>
            </w:pPr>
            <w:r>
              <w:t>16.</w:t>
            </w:r>
          </w:p>
        </w:tc>
        <w:tc>
          <w:tcPr>
            <w:tcW w:w="1211" w:type="dxa"/>
          </w:tcPr>
          <w:p>
            <w:pPr>
              <w:pStyle w:val="yTable"/>
              <w:tabs>
                <w:tab w:val="decimal" w:pos="340"/>
              </w:tabs>
            </w:pPr>
            <w:r>
              <w:t>23(2)</w:t>
            </w:r>
          </w:p>
        </w:tc>
        <w:tc>
          <w:tcPr>
            <w:tcW w:w="3719" w:type="dxa"/>
            <w:gridSpan w:val="2"/>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710" w:type="dxa"/>
          </w:tcPr>
          <w:p>
            <w:pPr>
              <w:pStyle w:val="yTable"/>
            </w:pPr>
            <w:r>
              <w:t>17.</w:t>
            </w:r>
          </w:p>
        </w:tc>
        <w:tc>
          <w:tcPr>
            <w:tcW w:w="1211" w:type="dxa"/>
          </w:tcPr>
          <w:p>
            <w:pPr>
              <w:pStyle w:val="yTable"/>
              <w:tabs>
                <w:tab w:val="decimal" w:pos="340"/>
              </w:tabs>
            </w:pPr>
            <w:r>
              <w:t>24(1)</w:t>
            </w:r>
          </w:p>
        </w:tc>
        <w:tc>
          <w:tcPr>
            <w:tcW w:w="3719" w:type="dxa"/>
            <w:gridSpan w:val="2"/>
          </w:tcPr>
          <w:p>
            <w:pPr>
              <w:pStyle w:val="yTable"/>
            </w:pPr>
            <w:r>
              <w:t>Littering</w:t>
            </w:r>
          </w:p>
        </w:tc>
        <w:tc>
          <w:tcPr>
            <w:tcW w:w="1200" w:type="dxa"/>
            <w:vAlign w:val="bottom"/>
          </w:tcPr>
          <w:p>
            <w:pPr>
              <w:pStyle w:val="yTable"/>
              <w:tabs>
                <w:tab w:val="decimal" w:pos="766"/>
              </w:tabs>
            </w:pPr>
            <w:r>
              <w:t>100</w:t>
            </w:r>
          </w:p>
        </w:tc>
      </w:tr>
      <w:tr>
        <w:trPr>
          <w:cantSplit/>
        </w:trPr>
        <w:tc>
          <w:tcPr>
            <w:tcW w:w="710" w:type="dxa"/>
          </w:tcPr>
          <w:p>
            <w:pPr>
              <w:pStyle w:val="yTable"/>
            </w:pPr>
            <w:r>
              <w:t>18.</w:t>
            </w:r>
          </w:p>
        </w:tc>
        <w:tc>
          <w:tcPr>
            <w:tcW w:w="1211" w:type="dxa"/>
          </w:tcPr>
          <w:p>
            <w:pPr>
              <w:pStyle w:val="yTable"/>
              <w:tabs>
                <w:tab w:val="decimal" w:pos="340"/>
              </w:tabs>
            </w:pPr>
            <w:r>
              <w:t>26</w:t>
            </w:r>
          </w:p>
        </w:tc>
        <w:tc>
          <w:tcPr>
            <w:tcW w:w="3719" w:type="dxa"/>
            <w:gridSpan w:val="2"/>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710" w:type="dxa"/>
          </w:tcPr>
          <w:p>
            <w:pPr>
              <w:pStyle w:val="yTable"/>
            </w:pPr>
            <w:r>
              <w:t>19.</w:t>
            </w:r>
          </w:p>
        </w:tc>
        <w:tc>
          <w:tcPr>
            <w:tcW w:w="1211" w:type="dxa"/>
          </w:tcPr>
          <w:p>
            <w:pPr>
              <w:pStyle w:val="yTable"/>
              <w:tabs>
                <w:tab w:val="decimal" w:pos="340"/>
              </w:tabs>
            </w:pPr>
            <w:r>
              <w:t>27(2)</w:t>
            </w:r>
          </w:p>
        </w:tc>
        <w:tc>
          <w:tcPr>
            <w:tcW w:w="3719" w:type="dxa"/>
            <w:gridSpan w:val="2"/>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710" w:type="dxa"/>
          </w:tcPr>
          <w:p>
            <w:pPr>
              <w:pStyle w:val="yTable"/>
            </w:pPr>
            <w:r>
              <w:t>20.</w:t>
            </w:r>
          </w:p>
        </w:tc>
        <w:tc>
          <w:tcPr>
            <w:tcW w:w="1211" w:type="dxa"/>
          </w:tcPr>
          <w:p>
            <w:pPr>
              <w:pStyle w:val="yTable"/>
              <w:tabs>
                <w:tab w:val="decimal" w:pos="340"/>
              </w:tabs>
            </w:pPr>
            <w:r>
              <w:t>28</w:t>
            </w:r>
          </w:p>
        </w:tc>
        <w:tc>
          <w:tcPr>
            <w:tcW w:w="3719" w:type="dxa"/>
            <w:gridSpan w:val="2"/>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710" w:type="dxa"/>
          </w:tcPr>
          <w:p>
            <w:pPr>
              <w:pStyle w:val="yTable"/>
            </w:pPr>
            <w:r>
              <w:t>21.</w:t>
            </w:r>
          </w:p>
        </w:tc>
        <w:tc>
          <w:tcPr>
            <w:tcW w:w="1211" w:type="dxa"/>
          </w:tcPr>
          <w:p>
            <w:pPr>
              <w:pStyle w:val="yTable"/>
              <w:tabs>
                <w:tab w:val="decimal" w:pos="340"/>
              </w:tabs>
            </w:pPr>
            <w:r>
              <w:t>29(1)</w:t>
            </w:r>
          </w:p>
        </w:tc>
        <w:tc>
          <w:tcPr>
            <w:tcW w:w="3719" w:type="dxa"/>
            <w:gridSpan w:val="2"/>
          </w:tcPr>
          <w:p>
            <w:pPr>
              <w:pStyle w:val="yTable"/>
            </w:pPr>
            <w:r>
              <w:t>Smoking in cave</w:t>
            </w:r>
          </w:p>
        </w:tc>
        <w:tc>
          <w:tcPr>
            <w:tcW w:w="1200" w:type="dxa"/>
            <w:vAlign w:val="bottom"/>
          </w:tcPr>
          <w:p>
            <w:pPr>
              <w:pStyle w:val="yTable"/>
              <w:tabs>
                <w:tab w:val="decimal" w:pos="766"/>
              </w:tabs>
            </w:pPr>
            <w:r>
              <w:t>50</w:t>
            </w:r>
          </w:p>
        </w:tc>
      </w:tr>
      <w:tr>
        <w:trPr>
          <w:cantSplit/>
        </w:trPr>
        <w:tc>
          <w:tcPr>
            <w:tcW w:w="710" w:type="dxa"/>
          </w:tcPr>
          <w:p>
            <w:pPr>
              <w:pStyle w:val="yTable"/>
            </w:pPr>
            <w:r>
              <w:t>22.</w:t>
            </w:r>
          </w:p>
        </w:tc>
        <w:tc>
          <w:tcPr>
            <w:tcW w:w="1211" w:type="dxa"/>
          </w:tcPr>
          <w:p>
            <w:pPr>
              <w:pStyle w:val="yTable"/>
              <w:tabs>
                <w:tab w:val="decimal" w:pos="340"/>
              </w:tabs>
            </w:pPr>
            <w:r>
              <w:t>29(2)</w:t>
            </w:r>
          </w:p>
        </w:tc>
        <w:tc>
          <w:tcPr>
            <w:tcW w:w="3719" w:type="dxa"/>
            <w:gridSpan w:val="2"/>
          </w:tcPr>
          <w:p>
            <w:pPr>
              <w:pStyle w:val="yTable"/>
            </w:pPr>
            <w:r>
              <w:t>Lighting a fire in a cave</w:t>
            </w:r>
          </w:p>
        </w:tc>
        <w:tc>
          <w:tcPr>
            <w:tcW w:w="1200" w:type="dxa"/>
            <w:vAlign w:val="bottom"/>
          </w:tcPr>
          <w:p>
            <w:pPr>
              <w:pStyle w:val="yTable"/>
              <w:tabs>
                <w:tab w:val="decimal" w:pos="766"/>
              </w:tabs>
            </w:pPr>
            <w:r>
              <w:t>200</w:t>
            </w:r>
          </w:p>
        </w:tc>
      </w:tr>
      <w:tr>
        <w:trPr>
          <w:cantSplit/>
        </w:trPr>
        <w:tc>
          <w:tcPr>
            <w:tcW w:w="710" w:type="dxa"/>
          </w:tcPr>
          <w:p>
            <w:pPr>
              <w:pStyle w:val="yTable"/>
            </w:pPr>
            <w:r>
              <w:t>23.</w:t>
            </w:r>
          </w:p>
        </w:tc>
        <w:tc>
          <w:tcPr>
            <w:tcW w:w="1211" w:type="dxa"/>
          </w:tcPr>
          <w:p>
            <w:pPr>
              <w:pStyle w:val="yTable"/>
              <w:tabs>
                <w:tab w:val="decimal" w:pos="340"/>
              </w:tabs>
            </w:pPr>
            <w:r>
              <w:t>31(1)</w:t>
            </w:r>
          </w:p>
        </w:tc>
        <w:tc>
          <w:tcPr>
            <w:tcW w:w="3719" w:type="dxa"/>
            <w:gridSpan w:val="2"/>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710" w:type="dxa"/>
          </w:tcPr>
          <w:p>
            <w:pPr>
              <w:pStyle w:val="yTable"/>
            </w:pPr>
            <w:r>
              <w:t>24.</w:t>
            </w:r>
          </w:p>
        </w:tc>
        <w:tc>
          <w:tcPr>
            <w:tcW w:w="1211" w:type="dxa"/>
          </w:tcPr>
          <w:p>
            <w:pPr>
              <w:pStyle w:val="yTable"/>
              <w:tabs>
                <w:tab w:val="decimal" w:pos="340"/>
              </w:tabs>
            </w:pPr>
            <w:r>
              <w:t>32</w:t>
            </w:r>
          </w:p>
        </w:tc>
        <w:tc>
          <w:tcPr>
            <w:tcW w:w="3719" w:type="dxa"/>
            <w:gridSpan w:val="2"/>
          </w:tcPr>
          <w:p>
            <w:pPr>
              <w:pStyle w:val="yTable"/>
            </w:pPr>
            <w:r>
              <w:t>Sandboarding</w:t>
            </w:r>
          </w:p>
        </w:tc>
        <w:tc>
          <w:tcPr>
            <w:tcW w:w="1200" w:type="dxa"/>
            <w:vAlign w:val="bottom"/>
          </w:tcPr>
          <w:p>
            <w:pPr>
              <w:pStyle w:val="yTable"/>
              <w:tabs>
                <w:tab w:val="decimal" w:pos="766"/>
              </w:tabs>
            </w:pPr>
            <w:r>
              <w:t>50</w:t>
            </w:r>
          </w:p>
        </w:tc>
      </w:tr>
      <w:tr>
        <w:trPr>
          <w:cantSplit/>
        </w:trPr>
        <w:tc>
          <w:tcPr>
            <w:tcW w:w="710" w:type="dxa"/>
          </w:tcPr>
          <w:p>
            <w:pPr>
              <w:pStyle w:val="yTable"/>
            </w:pPr>
            <w:r>
              <w:t>25.</w:t>
            </w:r>
          </w:p>
        </w:tc>
        <w:tc>
          <w:tcPr>
            <w:tcW w:w="1211" w:type="dxa"/>
          </w:tcPr>
          <w:p>
            <w:pPr>
              <w:pStyle w:val="yTable"/>
              <w:tabs>
                <w:tab w:val="decimal" w:pos="340"/>
              </w:tabs>
            </w:pPr>
            <w:r>
              <w:t>33</w:t>
            </w:r>
          </w:p>
        </w:tc>
        <w:tc>
          <w:tcPr>
            <w:tcW w:w="3719" w:type="dxa"/>
            <w:gridSpan w:val="2"/>
          </w:tcPr>
          <w:p>
            <w:pPr>
              <w:pStyle w:val="yTable"/>
            </w:pPr>
            <w:r>
              <w:t>Abseiling</w:t>
            </w:r>
          </w:p>
        </w:tc>
        <w:tc>
          <w:tcPr>
            <w:tcW w:w="1200" w:type="dxa"/>
            <w:vAlign w:val="bottom"/>
          </w:tcPr>
          <w:p>
            <w:pPr>
              <w:pStyle w:val="yTable"/>
              <w:tabs>
                <w:tab w:val="decimal" w:pos="766"/>
              </w:tabs>
            </w:pPr>
            <w:r>
              <w:t>50</w:t>
            </w:r>
          </w:p>
        </w:tc>
      </w:tr>
      <w:tr>
        <w:trPr>
          <w:cantSplit/>
        </w:trPr>
        <w:tc>
          <w:tcPr>
            <w:tcW w:w="710" w:type="dxa"/>
          </w:tcPr>
          <w:p>
            <w:pPr>
              <w:pStyle w:val="yTable"/>
            </w:pPr>
            <w:r>
              <w:t>25a.</w:t>
            </w:r>
          </w:p>
        </w:tc>
        <w:tc>
          <w:tcPr>
            <w:tcW w:w="1211" w:type="dxa"/>
          </w:tcPr>
          <w:p>
            <w:pPr>
              <w:pStyle w:val="yTable"/>
              <w:tabs>
                <w:tab w:val="decimal" w:pos="340"/>
              </w:tabs>
            </w:pPr>
            <w:r>
              <w:t>34(1)</w:t>
            </w:r>
          </w:p>
        </w:tc>
        <w:tc>
          <w:tcPr>
            <w:tcW w:w="3719" w:type="dxa"/>
            <w:gridSpan w:val="2"/>
          </w:tcPr>
          <w:p>
            <w:pPr>
              <w:pStyle w:val="yTable"/>
            </w:pPr>
            <w:r>
              <w:t>Unauthorised structure</w:t>
            </w:r>
          </w:p>
        </w:tc>
        <w:tc>
          <w:tcPr>
            <w:tcW w:w="1200" w:type="dxa"/>
            <w:vAlign w:val="bottom"/>
          </w:tcPr>
          <w:p>
            <w:pPr>
              <w:pStyle w:val="yTable"/>
              <w:tabs>
                <w:tab w:val="decimal" w:pos="766"/>
              </w:tabs>
            </w:pPr>
            <w:r>
              <w:t>200</w:t>
            </w:r>
          </w:p>
        </w:tc>
      </w:tr>
      <w:tr>
        <w:trPr>
          <w:cantSplit/>
        </w:trPr>
        <w:tc>
          <w:tcPr>
            <w:tcW w:w="710" w:type="dxa"/>
          </w:tcPr>
          <w:p>
            <w:pPr>
              <w:pStyle w:val="yTable"/>
            </w:pPr>
            <w:r>
              <w:t>25b.</w:t>
            </w:r>
          </w:p>
        </w:tc>
        <w:tc>
          <w:tcPr>
            <w:tcW w:w="1211" w:type="dxa"/>
          </w:tcPr>
          <w:p>
            <w:pPr>
              <w:pStyle w:val="yTable"/>
              <w:tabs>
                <w:tab w:val="decimal" w:pos="340"/>
              </w:tabs>
            </w:pPr>
            <w:r>
              <w:t>34(4)</w:t>
            </w:r>
          </w:p>
        </w:tc>
        <w:tc>
          <w:tcPr>
            <w:tcW w:w="3719" w:type="dxa"/>
            <w:gridSpan w:val="2"/>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710" w:type="dxa"/>
          </w:tcPr>
          <w:p>
            <w:pPr>
              <w:pStyle w:val="yTable"/>
            </w:pPr>
            <w:r>
              <w:t>25c.</w:t>
            </w:r>
          </w:p>
        </w:tc>
        <w:tc>
          <w:tcPr>
            <w:tcW w:w="1211" w:type="dxa"/>
          </w:tcPr>
          <w:p>
            <w:pPr>
              <w:pStyle w:val="yTable"/>
              <w:tabs>
                <w:tab w:val="decimal" w:pos="340"/>
              </w:tabs>
            </w:pPr>
            <w:r>
              <w:t>35A(1)</w:t>
            </w:r>
          </w:p>
        </w:tc>
        <w:tc>
          <w:tcPr>
            <w:tcW w:w="3719" w:type="dxa"/>
            <w:gridSpan w:val="2"/>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710" w:type="dxa"/>
          </w:tcPr>
          <w:p>
            <w:pPr>
              <w:pStyle w:val="yTable"/>
            </w:pPr>
            <w:r>
              <w:t>26.</w:t>
            </w:r>
          </w:p>
        </w:tc>
        <w:tc>
          <w:tcPr>
            <w:tcW w:w="1211" w:type="dxa"/>
          </w:tcPr>
          <w:p>
            <w:pPr>
              <w:pStyle w:val="yTable"/>
              <w:tabs>
                <w:tab w:val="decimal" w:pos="340"/>
              </w:tabs>
            </w:pPr>
            <w:r>
              <w:t>36</w:t>
            </w:r>
          </w:p>
        </w:tc>
        <w:tc>
          <w:tcPr>
            <w:tcW w:w="3719" w:type="dxa"/>
            <w:gridSpan w:val="2"/>
          </w:tcPr>
          <w:p>
            <w:pPr>
              <w:pStyle w:val="yTable"/>
            </w:pPr>
            <w:r>
              <w:t>Dumping of vehicles etc.</w:t>
            </w:r>
          </w:p>
        </w:tc>
        <w:tc>
          <w:tcPr>
            <w:tcW w:w="1200" w:type="dxa"/>
            <w:vAlign w:val="bottom"/>
          </w:tcPr>
          <w:p>
            <w:pPr>
              <w:pStyle w:val="yTable"/>
              <w:tabs>
                <w:tab w:val="decimal" w:pos="766"/>
              </w:tabs>
            </w:pPr>
            <w:r>
              <w:t>200</w:t>
            </w:r>
          </w:p>
        </w:tc>
      </w:tr>
      <w:tr>
        <w:trPr>
          <w:cantSplit/>
        </w:trPr>
        <w:tc>
          <w:tcPr>
            <w:tcW w:w="710" w:type="dxa"/>
          </w:tcPr>
          <w:p>
            <w:pPr>
              <w:pStyle w:val="yTable"/>
            </w:pPr>
            <w:r>
              <w:t>27.</w:t>
            </w:r>
          </w:p>
        </w:tc>
        <w:tc>
          <w:tcPr>
            <w:tcW w:w="1211" w:type="dxa"/>
          </w:tcPr>
          <w:p>
            <w:pPr>
              <w:pStyle w:val="yTable"/>
              <w:tabs>
                <w:tab w:val="decimal" w:pos="340"/>
              </w:tabs>
            </w:pPr>
            <w:r>
              <w:t>37(1)</w:t>
            </w:r>
          </w:p>
        </w:tc>
        <w:tc>
          <w:tcPr>
            <w:tcW w:w="3719" w:type="dxa"/>
            <w:gridSpan w:val="2"/>
          </w:tcPr>
          <w:p>
            <w:pPr>
              <w:pStyle w:val="yTable"/>
            </w:pPr>
            <w:r>
              <w:t>Billsticking etc.</w:t>
            </w:r>
          </w:p>
        </w:tc>
        <w:tc>
          <w:tcPr>
            <w:tcW w:w="1200" w:type="dxa"/>
            <w:vAlign w:val="bottom"/>
          </w:tcPr>
          <w:p>
            <w:pPr>
              <w:pStyle w:val="yTable"/>
              <w:tabs>
                <w:tab w:val="decimal" w:pos="766"/>
              </w:tabs>
            </w:pPr>
            <w:r>
              <w:t>50</w:t>
            </w:r>
          </w:p>
        </w:tc>
      </w:tr>
      <w:tr>
        <w:trPr>
          <w:cantSplit/>
        </w:trPr>
        <w:tc>
          <w:tcPr>
            <w:tcW w:w="710" w:type="dxa"/>
          </w:tcPr>
          <w:p>
            <w:pPr>
              <w:pStyle w:val="yTable"/>
            </w:pPr>
            <w:r>
              <w:t>28.</w:t>
            </w:r>
          </w:p>
        </w:tc>
        <w:tc>
          <w:tcPr>
            <w:tcW w:w="1211" w:type="dxa"/>
          </w:tcPr>
          <w:p>
            <w:pPr>
              <w:pStyle w:val="yTable"/>
              <w:tabs>
                <w:tab w:val="decimal" w:pos="340"/>
              </w:tabs>
            </w:pPr>
            <w:r>
              <w:t>37(2)</w:t>
            </w:r>
          </w:p>
        </w:tc>
        <w:tc>
          <w:tcPr>
            <w:tcW w:w="3719" w:type="dxa"/>
            <w:gridSpan w:val="2"/>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710" w:type="dxa"/>
          </w:tcPr>
          <w:p>
            <w:pPr>
              <w:pStyle w:val="yTable"/>
            </w:pPr>
            <w:r>
              <w:t>29.</w:t>
            </w:r>
          </w:p>
        </w:tc>
        <w:tc>
          <w:tcPr>
            <w:tcW w:w="1211" w:type="dxa"/>
          </w:tcPr>
          <w:p>
            <w:pPr>
              <w:pStyle w:val="yTable"/>
              <w:tabs>
                <w:tab w:val="decimal" w:pos="340"/>
              </w:tabs>
            </w:pPr>
            <w:r>
              <w:t>38(1)</w:t>
            </w:r>
          </w:p>
        </w:tc>
        <w:tc>
          <w:tcPr>
            <w:tcW w:w="3719" w:type="dxa"/>
            <w:gridSpan w:val="2"/>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710" w:type="dxa"/>
          </w:tcPr>
          <w:p>
            <w:pPr>
              <w:pStyle w:val="yTable"/>
            </w:pPr>
            <w:r>
              <w:t>30.</w:t>
            </w:r>
          </w:p>
        </w:tc>
        <w:tc>
          <w:tcPr>
            <w:tcW w:w="1211" w:type="dxa"/>
          </w:tcPr>
          <w:p>
            <w:pPr>
              <w:pStyle w:val="yTable"/>
              <w:tabs>
                <w:tab w:val="decimal" w:pos="340"/>
              </w:tabs>
            </w:pPr>
            <w:r>
              <w:t>39(1) or (2)</w:t>
            </w:r>
          </w:p>
        </w:tc>
        <w:tc>
          <w:tcPr>
            <w:tcW w:w="3719" w:type="dxa"/>
            <w:gridSpan w:val="2"/>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710" w:type="dxa"/>
          </w:tcPr>
          <w:p>
            <w:pPr>
              <w:pStyle w:val="yTable"/>
            </w:pPr>
            <w:r>
              <w:t>31.</w:t>
            </w:r>
          </w:p>
        </w:tc>
        <w:tc>
          <w:tcPr>
            <w:tcW w:w="1211" w:type="dxa"/>
          </w:tcPr>
          <w:p>
            <w:pPr>
              <w:pStyle w:val="yTable"/>
              <w:tabs>
                <w:tab w:val="decimal" w:pos="340"/>
              </w:tabs>
            </w:pPr>
            <w:r>
              <w:t>40(2)</w:t>
            </w:r>
          </w:p>
        </w:tc>
        <w:tc>
          <w:tcPr>
            <w:tcW w:w="3719" w:type="dxa"/>
            <w:gridSpan w:val="2"/>
          </w:tcPr>
          <w:p>
            <w:pPr>
              <w:pStyle w:val="yTable"/>
            </w:pPr>
            <w:r>
              <w:t>Failing to comply with direction to extinguish fire</w:t>
            </w:r>
          </w:p>
        </w:tc>
        <w:tc>
          <w:tcPr>
            <w:tcW w:w="1200" w:type="dxa"/>
            <w:vAlign w:val="bottom"/>
          </w:tcPr>
          <w:p>
            <w:pPr>
              <w:pStyle w:val="yTable"/>
              <w:tabs>
                <w:tab w:val="decimal" w:pos="766"/>
              </w:tabs>
            </w:pPr>
            <w:r>
              <w:t>200</w:t>
            </w:r>
          </w:p>
        </w:tc>
      </w:tr>
      <w:tr>
        <w:trPr>
          <w:cantSplit/>
        </w:trPr>
        <w:tc>
          <w:tcPr>
            <w:tcW w:w="710" w:type="dxa"/>
          </w:tcPr>
          <w:p>
            <w:pPr>
              <w:pStyle w:val="yTable"/>
            </w:pPr>
            <w:r>
              <w:t>32.</w:t>
            </w:r>
          </w:p>
        </w:tc>
        <w:tc>
          <w:tcPr>
            <w:tcW w:w="1211" w:type="dxa"/>
          </w:tcPr>
          <w:p>
            <w:pPr>
              <w:pStyle w:val="yTable"/>
              <w:tabs>
                <w:tab w:val="decimal" w:pos="340"/>
              </w:tabs>
            </w:pPr>
            <w:r>
              <w:t>41</w:t>
            </w:r>
          </w:p>
        </w:tc>
        <w:tc>
          <w:tcPr>
            <w:tcW w:w="3719" w:type="dxa"/>
            <w:gridSpan w:val="2"/>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710" w:type="dxa"/>
          </w:tcPr>
          <w:p>
            <w:pPr>
              <w:pStyle w:val="yTable"/>
            </w:pPr>
            <w:r>
              <w:t>33.</w:t>
            </w:r>
          </w:p>
        </w:tc>
        <w:tc>
          <w:tcPr>
            <w:tcW w:w="1211" w:type="dxa"/>
          </w:tcPr>
          <w:p>
            <w:pPr>
              <w:pStyle w:val="yTable"/>
              <w:tabs>
                <w:tab w:val="decimal" w:pos="340"/>
              </w:tabs>
            </w:pPr>
            <w:r>
              <w:t>42</w:t>
            </w:r>
          </w:p>
        </w:tc>
        <w:tc>
          <w:tcPr>
            <w:tcW w:w="3719" w:type="dxa"/>
            <w:gridSpan w:val="2"/>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710" w:type="dxa"/>
          </w:tcPr>
          <w:p>
            <w:pPr>
              <w:pStyle w:val="yTable"/>
            </w:pPr>
            <w:r>
              <w:t>34.</w:t>
            </w:r>
          </w:p>
        </w:tc>
        <w:tc>
          <w:tcPr>
            <w:tcW w:w="1211" w:type="dxa"/>
          </w:tcPr>
          <w:p>
            <w:pPr>
              <w:pStyle w:val="yTable"/>
              <w:tabs>
                <w:tab w:val="decimal" w:pos="340"/>
              </w:tabs>
            </w:pPr>
            <w:r>
              <w:t>43</w:t>
            </w:r>
          </w:p>
        </w:tc>
        <w:tc>
          <w:tcPr>
            <w:tcW w:w="3719" w:type="dxa"/>
            <w:gridSpan w:val="2"/>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710" w:type="dxa"/>
          </w:tcPr>
          <w:p>
            <w:pPr>
              <w:pStyle w:val="yTable"/>
            </w:pPr>
            <w:r>
              <w:t>35.</w:t>
            </w:r>
          </w:p>
        </w:tc>
        <w:tc>
          <w:tcPr>
            <w:tcW w:w="1211" w:type="dxa"/>
          </w:tcPr>
          <w:p>
            <w:pPr>
              <w:pStyle w:val="yTable"/>
              <w:tabs>
                <w:tab w:val="decimal" w:pos="340"/>
              </w:tabs>
            </w:pPr>
            <w:r>
              <w:t>46(1)</w:t>
            </w:r>
          </w:p>
        </w:tc>
        <w:tc>
          <w:tcPr>
            <w:tcW w:w="3719" w:type="dxa"/>
            <w:gridSpan w:val="2"/>
          </w:tcPr>
          <w:p>
            <w:pPr>
              <w:pStyle w:val="yTable"/>
            </w:pPr>
            <w:r>
              <w:t>Entering closed area</w:t>
            </w:r>
          </w:p>
        </w:tc>
        <w:tc>
          <w:tcPr>
            <w:tcW w:w="1200" w:type="dxa"/>
            <w:vAlign w:val="bottom"/>
          </w:tcPr>
          <w:p>
            <w:pPr>
              <w:pStyle w:val="yTable"/>
              <w:tabs>
                <w:tab w:val="decimal" w:pos="766"/>
              </w:tabs>
            </w:pPr>
            <w:r>
              <w:t>100</w:t>
            </w:r>
          </w:p>
        </w:tc>
      </w:tr>
      <w:tr>
        <w:trPr>
          <w:cantSplit/>
        </w:trPr>
        <w:tc>
          <w:tcPr>
            <w:tcW w:w="710" w:type="dxa"/>
          </w:tcPr>
          <w:p>
            <w:pPr>
              <w:pStyle w:val="yTable"/>
            </w:pPr>
            <w:r>
              <w:t>36.</w:t>
            </w:r>
          </w:p>
        </w:tc>
        <w:tc>
          <w:tcPr>
            <w:tcW w:w="1211" w:type="dxa"/>
          </w:tcPr>
          <w:p>
            <w:pPr>
              <w:pStyle w:val="yTable"/>
              <w:tabs>
                <w:tab w:val="decimal" w:pos="340"/>
              </w:tabs>
            </w:pPr>
            <w:r>
              <w:t>47(1)</w:t>
            </w:r>
          </w:p>
        </w:tc>
        <w:tc>
          <w:tcPr>
            <w:tcW w:w="3719" w:type="dxa"/>
            <w:gridSpan w:val="2"/>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710" w:type="dxa"/>
          </w:tcPr>
          <w:p>
            <w:pPr>
              <w:pStyle w:val="yTable"/>
            </w:pPr>
            <w:r>
              <w:t>37.</w:t>
            </w:r>
          </w:p>
        </w:tc>
        <w:tc>
          <w:tcPr>
            <w:tcW w:w="1211" w:type="dxa"/>
          </w:tcPr>
          <w:p>
            <w:pPr>
              <w:pStyle w:val="yTable"/>
              <w:tabs>
                <w:tab w:val="decimal" w:pos="340"/>
              </w:tabs>
            </w:pPr>
            <w:r>
              <w:t>47(2)</w:t>
            </w:r>
          </w:p>
        </w:tc>
        <w:tc>
          <w:tcPr>
            <w:tcW w:w="3719" w:type="dxa"/>
            <w:gridSpan w:val="2"/>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710" w:type="dxa"/>
          </w:tcPr>
          <w:p>
            <w:pPr>
              <w:pStyle w:val="yTable"/>
            </w:pPr>
            <w:r>
              <w:t>37a.</w:t>
            </w:r>
          </w:p>
        </w:tc>
        <w:tc>
          <w:tcPr>
            <w:tcW w:w="1211" w:type="dxa"/>
          </w:tcPr>
          <w:p>
            <w:pPr>
              <w:pStyle w:val="yTable"/>
              <w:tabs>
                <w:tab w:val="decimal" w:pos="340"/>
              </w:tabs>
            </w:pPr>
            <w:r>
              <w:t>47(3)</w:t>
            </w:r>
          </w:p>
        </w:tc>
        <w:tc>
          <w:tcPr>
            <w:tcW w:w="3719" w:type="dxa"/>
            <w:gridSpan w:val="2"/>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710" w:type="dxa"/>
          </w:tcPr>
          <w:p>
            <w:pPr>
              <w:pStyle w:val="yTable"/>
            </w:pPr>
            <w:r>
              <w:t>38.</w:t>
            </w:r>
          </w:p>
        </w:tc>
        <w:tc>
          <w:tcPr>
            <w:tcW w:w="1211" w:type="dxa"/>
          </w:tcPr>
          <w:p>
            <w:pPr>
              <w:pStyle w:val="yTable"/>
              <w:tabs>
                <w:tab w:val="decimal" w:pos="340"/>
              </w:tabs>
            </w:pPr>
            <w:r>
              <w:t>48</w:t>
            </w:r>
          </w:p>
        </w:tc>
        <w:tc>
          <w:tcPr>
            <w:tcW w:w="3719" w:type="dxa"/>
            <w:gridSpan w:val="2"/>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710" w:type="dxa"/>
          </w:tcPr>
          <w:p>
            <w:pPr>
              <w:pStyle w:val="yTable"/>
            </w:pPr>
            <w:r>
              <w:t>39.</w:t>
            </w:r>
          </w:p>
        </w:tc>
        <w:tc>
          <w:tcPr>
            <w:tcW w:w="1211" w:type="dxa"/>
          </w:tcPr>
          <w:p>
            <w:pPr>
              <w:pStyle w:val="yTable"/>
              <w:tabs>
                <w:tab w:val="decimal" w:pos="340"/>
              </w:tabs>
            </w:pPr>
            <w:r>
              <w:t>49(4)</w:t>
            </w:r>
          </w:p>
        </w:tc>
        <w:tc>
          <w:tcPr>
            <w:tcW w:w="3719" w:type="dxa"/>
            <w:gridSpan w:val="2"/>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710" w:type="dxa"/>
          </w:tcPr>
          <w:p>
            <w:pPr>
              <w:pStyle w:val="yTable"/>
            </w:pPr>
            <w:r>
              <w:t>40.</w:t>
            </w:r>
          </w:p>
        </w:tc>
        <w:tc>
          <w:tcPr>
            <w:tcW w:w="1211" w:type="dxa"/>
          </w:tcPr>
          <w:p>
            <w:pPr>
              <w:pStyle w:val="yTable"/>
              <w:tabs>
                <w:tab w:val="decimal" w:pos="340"/>
              </w:tabs>
            </w:pPr>
            <w:r>
              <w:t>49(5)</w:t>
            </w:r>
          </w:p>
        </w:tc>
        <w:tc>
          <w:tcPr>
            <w:tcW w:w="3719" w:type="dxa"/>
            <w:gridSpan w:val="2"/>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710" w:type="dxa"/>
          </w:tcPr>
          <w:p>
            <w:pPr>
              <w:pStyle w:val="yTable"/>
            </w:pPr>
            <w:r>
              <w:t>40a.</w:t>
            </w:r>
          </w:p>
        </w:tc>
        <w:tc>
          <w:tcPr>
            <w:tcW w:w="1211" w:type="dxa"/>
          </w:tcPr>
          <w:p>
            <w:pPr>
              <w:pStyle w:val="yTable"/>
              <w:tabs>
                <w:tab w:val="decimal" w:pos="340"/>
              </w:tabs>
            </w:pPr>
            <w:r>
              <w:t>50</w:t>
            </w:r>
          </w:p>
        </w:tc>
        <w:tc>
          <w:tcPr>
            <w:tcW w:w="3719" w:type="dxa"/>
            <w:gridSpan w:val="2"/>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710" w:type="dxa"/>
          </w:tcPr>
          <w:p>
            <w:pPr>
              <w:pStyle w:val="yTable"/>
            </w:pPr>
            <w:r>
              <w:t>41.</w:t>
            </w:r>
          </w:p>
        </w:tc>
        <w:tc>
          <w:tcPr>
            <w:tcW w:w="1211" w:type="dxa"/>
          </w:tcPr>
          <w:p>
            <w:pPr>
              <w:pStyle w:val="yTable"/>
              <w:tabs>
                <w:tab w:val="decimal" w:pos="340"/>
              </w:tabs>
            </w:pPr>
            <w:r>
              <w:t>51(1)</w:t>
            </w:r>
          </w:p>
        </w:tc>
        <w:tc>
          <w:tcPr>
            <w:tcW w:w="3719" w:type="dxa"/>
            <w:gridSpan w:val="2"/>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710" w:type="dxa"/>
          </w:tcPr>
          <w:p>
            <w:pPr>
              <w:pStyle w:val="yTable"/>
            </w:pPr>
            <w:r>
              <w:t>41a.</w:t>
            </w:r>
          </w:p>
        </w:tc>
        <w:tc>
          <w:tcPr>
            <w:tcW w:w="1211" w:type="dxa"/>
          </w:tcPr>
          <w:p>
            <w:pPr>
              <w:pStyle w:val="yTable"/>
              <w:tabs>
                <w:tab w:val="decimal" w:pos="340"/>
              </w:tabs>
            </w:pPr>
            <w:r>
              <w:t>51(3)</w:t>
            </w:r>
          </w:p>
        </w:tc>
        <w:tc>
          <w:tcPr>
            <w:tcW w:w="3719" w:type="dxa"/>
            <w:gridSpan w:val="2"/>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710" w:type="dxa"/>
          </w:tcPr>
          <w:p>
            <w:pPr>
              <w:pStyle w:val="yTable"/>
            </w:pPr>
            <w:r>
              <w:t>41b.</w:t>
            </w:r>
          </w:p>
        </w:tc>
        <w:tc>
          <w:tcPr>
            <w:tcW w:w="1211" w:type="dxa"/>
          </w:tcPr>
          <w:p>
            <w:pPr>
              <w:pStyle w:val="yTable"/>
              <w:tabs>
                <w:tab w:val="decimal" w:pos="340"/>
              </w:tabs>
            </w:pPr>
            <w:r>
              <w:t>51A(1)</w:t>
            </w:r>
          </w:p>
        </w:tc>
        <w:tc>
          <w:tcPr>
            <w:tcW w:w="3719" w:type="dxa"/>
            <w:gridSpan w:val="2"/>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710" w:type="dxa"/>
          </w:tcPr>
          <w:p>
            <w:pPr>
              <w:pStyle w:val="yTable"/>
            </w:pPr>
            <w:r>
              <w:t>41c.</w:t>
            </w:r>
          </w:p>
        </w:tc>
        <w:tc>
          <w:tcPr>
            <w:tcW w:w="1211" w:type="dxa"/>
          </w:tcPr>
          <w:p>
            <w:pPr>
              <w:pStyle w:val="yTable"/>
              <w:tabs>
                <w:tab w:val="decimal" w:pos="340"/>
              </w:tabs>
            </w:pPr>
            <w:r>
              <w:t>51A(3)</w:t>
            </w:r>
          </w:p>
        </w:tc>
        <w:tc>
          <w:tcPr>
            <w:tcW w:w="3719" w:type="dxa"/>
            <w:gridSpan w:val="2"/>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710" w:type="dxa"/>
          </w:tcPr>
          <w:p>
            <w:pPr>
              <w:pStyle w:val="yTable"/>
            </w:pPr>
            <w:r>
              <w:t>42.</w:t>
            </w:r>
          </w:p>
        </w:tc>
        <w:tc>
          <w:tcPr>
            <w:tcW w:w="1211" w:type="dxa"/>
          </w:tcPr>
          <w:p>
            <w:pPr>
              <w:pStyle w:val="yTable"/>
              <w:tabs>
                <w:tab w:val="decimal" w:pos="340"/>
              </w:tabs>
            </w:pPr>
            <w:r>
              <w:t>52</w:t>
            </w:r>
          </w:p>
        </w:tc>
        <w:tc>
          <w:tcPr>
            <w:tcW w:w="3719" w:type="dxa"/>
            <w:gridSpan w:val="2"/>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710" w:type="dxa"/>
          </w:tcPr>
          <w:p>
            <w:pPr>
              <w:pStyle w:val="yTable"/>
            </w:pPr>
            <w:r>
              <w:t>42a.</w:t>
            </w:r>
          </w:p>
        </w:tc>
        <w:tc>
          <w:tcPr>
            <w:tcW w:w="1211" w:type="dxa"/>
          </w:tcPr>
          <w:p>
            <w:pPr>
              <w:pStyle w:val="yTable"/>
              <w:tabs>
                <w:tab w:val="decimal" w:pos="340"/>
              </w:tabs>
            </w:pPr>
            <w:r>
              <w:t>53</w:t>
            </w:r>
          </w:p>
        </w:tc>
        <w:tc>
          <w:tcPr>
            <w:tcW w:w="3719" w:type="dxa"/>
            <w:gridSpan w:val="2"/>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710" w:type="dxa"/>
          </w:tcPr>
          <w:p>
            <w:pPr>
              <w:pStyle w:val="yTable"/>
            </w:pPr>
            <w:r>
              <w:t>43.</w:t>
            </w:r>
          </w:p>
        </w:tc>
        <w:tc>
          <w:tcPr>
            <w:tcW w:w="1211" w:type="dxa"/>
          </w:tcPr>
          <w:p>
            <w:pPr>
              <w:pStyle w:val="yTable"/>
              <w:tabs>
                <w:tab w:val="decimal" w:pos="340"/>
              </w:tabs>
            </w:pPr>
            <w:r>
              <w:t>54(1)</w:t>
            </w:r>
          </w:p>
        </w:tc>
        <w:tc>
          <w:tcPr>
            <w:tcW w:w="3719" w:type="dxa"/>
            <w:gridSpan w:val="2"/>
          </w:tcPr>
          <w:p>
            <w:pPr>
              <w:pStyle w:val="yTable"/>
            </w:pPr>
            <w:r>
              <w:t>Breaching traffic law</w:t>
            </w:r>
          </w:p>
        </w:tc>
        <w:tc>
          <w:tcPr>
            <w:tcW w:w="1200" w:type="dxa"/>
            <w:vAlign w:val="bottom"/>
          </w:tcPr>
          <w:p>
            <w:pPr>
              <w:pStyle w:val="yTable"/>
              <w:tabs>
                <w:tab w:val="decimal" w:pos="766"/>
              </w:tabs>
            </w:pPr>
            <w:r>
              <w:t>50</w:t>
            </w:r>
          </w:p>
        </w:tc>
      </w:tr>
      <w:tr>
        <w:trPr>
          <w:cantSplit/>
        </w:trPr>
        <w:tc>
          <w:tcPr>
            <w:tcW w:w="710" w:type="dxa"/>
          </w:tcPr>
          <w:p>
            <w:pPr>
              <w:pStyle w:val="yTable"/>
            </w:pPr>
            <w:r>
              <w:t>44.</w:t>
            </w:r>
          </w:p>
        </w:tc>
        <w:tc>
          <w:tcPr>
            <w:tcW w:w="1211" w:type="dxa"/>
          </w:tcPr>
          <w:p>
            <w:pPr>
              <w:pStyle w:val="yTable"/>
              <w:tabs>
                <w:tab w:val="decimal" w:pos="340"/>
              </w:tabs>
            </w:pPr>
            <w:r>
              <w:t>55</w:t>
            </w:r>
          </w:p>
        </w:tc>
        <w:tc>
          <w:tcPr>
            <w:tcW w:w="3719" w:type="dxa"/>
            <w:gridSpan w:val="2"/>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710" w:type="dxa"/>
          </w:tcPr>
          <w:p>
            <w:pPr>
              <w:pStyle w:val="yTable"/>
            </w:pPr>
            <w:r>
              <w:t>45.</w:t>
            </w:r>
          </w:p>
        </w:tc>
        <w:tc>
          <w:tcPr>
            <w:tcW w:w="1211" w:type="dxa"/>
          </w:tcPr>
          <w:p>
            <w:pPr>
              <w:pStyle w:val="yTable"/>
              <w:tabs>
                <w:tab w:val="decimal" w:pos="340"/>
              </w:tabs>
            </w:pPr>
            <w:r>
              <w:t>56(1)</w:t>
            </w:r>
          </w:p>
        </w:tc>
        <w:tc>
          <w:tcPr>
            <w:tcW w:w="3719" w:type="dxa"/>
            <w:gridSpan w:val="2"/>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710" w:type="dxa"/>
          </w:tcPr>
          <w:p>
            <w:pPr>
              <w:pStyle w:val="yTable"/>
            </w:pPr>
            <w:r>
              <w:t>46.</w:t>
            </w:r>
          </w:p>
        </w:tc>
        <w:tc>
          <w:tcPr>
            <w:tcW w:w="1211" w:type="dxa"/>
          </w:tcPr>
          <w:p>
            <w:pPr>
              <w:pStyle w:val="yTable"/>
              <w:tabs>
                <w:tab w:val="decimal" w:pos="340"/>
              </w:tabs>
            </w:pPr>
            <w:r>
              <w:t>56(4)</w:t>
            </w:r>
          </w:p>
        </w:tc>
        <w:tc>
          <w:tcPr>
            <w:tcW w:w="3719" w:type="dxa"/>
            <w:gridSpan w:val="2"/>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710" w:type="dxa"/>
          </w:tcPr>
          <w:p>
            <w:pPr>
              <w:pStyle w:val="yTable"/>
            </w:pPr>
            <w:r>
              <w:t>47.</w:t>
            </w:r>
          </w:p>
        </w:tc>
        <w:tc>
          <w:tcPr>
            <w:tcW w:w="1211" w:type="dxa"/>
          </w:tcPr>
          <w:p>
            <w:pPr>
              <w:pStyle w:val="yTable"/>
              <w:tabs>
                <w:tab w:val="decimal" w:pos="340"/>
              </w:tabs>
            </w:pPr>
            <w:r>
              <w:t>57</w:t>
            </w:r>
          </w:p>
        </w:tc>
        <w:tc>
          <w:tcPr>
            <w:tcW w:w="3719" w:type="dxa"/>
            <w:gridSpan w:val="2"/>
          </w:tcPr>
          <w:p>
            <w:pPr>
              <w:pStyle w:val="yTable"/>
            </w:pPr>
            <w:r>
              <w:t>Obstructing vehicle etc.</w:t>
            </w:r>
          </w:p>
        </w:tc>
        <w:tc>
          <w:tcPr>
            <w:tcW w:w="1200" w:type="dxa"/>
            <w:vAlign w:val="bottom"/>
          </w:tcPr>
          <w:p>
            <w:pPr>
              <w:pStyle w:val="yTable"/>
              <w:tabs>
                <w:tab w:val="decimal" w:pos="766"/>
              </w:tabs>
            </w:pPr>
            <w:r>
              <w:t>50</w:t>
            </w:r>
          </w:p>
        </w:tc>
      </w:tr>
      <w:tr>
        <w:trPr>
          <w:cantSplit/>
        </w:trPr>
        <w:tc>
          <w:tcPr>
            <w:tcW w:w="710" w:type="dxa"/>
          </w:tcPr>
          <w:p>
            <w:pPr>
              <w:pStyle w:val="yTable"/>
            </w:pPr>
            <w:r>
              <w:t>47a.</w:t>
            </w:r>
          </w:p>
        </w:tc>
        <w:tc>
          <w:tcPr>
            <w:tcW w:w="1211" w:type="dxa"/>
          </w:tcPr>
          <w:p>
            <w:pPr>
              <w:pStyle w:val="yTable"/>
              <w:tabs>
                <w:tab w:val="decimal" w:pos="340"/>
              </w:tabs>
            </w:pPr>
            <w:r>
              <w:t>59(1)</w:t>
            </w:r>
          </w:p>
        </w:tc>
        <w:tc>
          <w:tcPr>
            <w:tcW w:w="3719" w:type="dxa"/>
            <w:gridSpan w:val="2"/>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710" w:type="dxa"/>
          </w:tcPr>
          <w:p>
            <w:pPr>
              <w:pStyle w:val="yTable"/>
            </w:pPr>
            <w:r>
              <w:t>48.</w:t>
            </w:r>
          </w:p>
        </w:tc>
        <w:tc>
          <w:tcPr>
            <w:tcW w:w="1211" w:type="dxa"/>
          </w:tcPr>
          <w:p>
            <w:pPr>
              <w:pStyle w:val="yTable"/>
              <w:tabs>
                <w:tab w:val="decimal" w:pos="340"/>
              </w:tabs>
            </w:pPr>
            <w:r>
              <w:t>59(2)</w:t>
            </w:r>
          </w:p>
        </w:tc>
        <w:tc>
          <w:tcPr>
            <w:tcW w:w="3719" w:type="dxa"/>
            <w:gridSpan w:val="2"/>
          </w:tcPr>
          <w:p>
            <w:pPr>
              <w:pStyle w:val="yTable"/>
            </w:pPr>
            <w:r>
              <w:t>Using an unlawful mooring</w:t>
            </w:r>
          </w:p>
        </w:tc>
        <w:tc>
          <w:tcPr>
            <w:tcW w:w="1200" w:type="dxa"/>
            <w:vAlign w:val="bottom"/>
          </w:tcPr>
          <w:p>
            <w:pPr>
              <w:pStyle w:val="yTable"/>
              <w:tabs>
                <w:tab w:val="decimal" w:pos="766"/>
              </w:tabs>
            </w:pPr>
            <w:r>
              <w:t>100</w:t>
            </w:r>
          </w:p>
        </w:tc>
      </w:tr>
      <w:tr>
        <w:trPr>
          <w:cantSplit/>
        </w:trPr>
        <w:tc>
          <w:tcPr>
            <w:tcW w:w="710" w:type="dxa"/>
          </w:tcPr>
          <w:p>
            <w:pPr>
              <w:pStyle w:val="yTable"/>
            </w:pPr>
            <w:r>
              <w:t>49.</w:t>
            </w:r>
          </w:p>
        </w:tc>
        <w:tc>
          <w:tcPr>
            <w:tcW w:w="1211" w:type="dxa"/>
          </w:tcPr>
          <w:p>
            <w:pPr>
              <w:pStyle w:val="yTable"/>
              <w:tabs>
                <w:tab w:val="decimal" w:pos="340"/>
              </w:tabs>
            </w:pPr>
            <w:r>
              <w:t>59(3)</w:t>
            </w:r>
          </w:p>
        </w:tc>
        <w:tc>
          <w:tcPr>
            <w:tcW w:w="3719" w:type="dxa"/>
            <w:gridSpan w:val="2"/>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710" w:type="dxa"/>
          </w:tcPr>
          <w:p>
            <w:pPr>
              <w:pStyle w:val="yTable"/>
            </w:pPr>
            <w:r>
              <w:t>50.</w:t>
            </w:r>
          </w:p>
        </w:tc>
        <w:tc>
          <w:tcPr>
            <w:tcW w:w="1211" w:type="dxa"/>
          </w:tcPr>
          <w:p>
            <w:pPr>
              <w:pStyle w:val="yTable"/>
              <w:tabs>
                <w:tab w:val="decimal" w:pos="340"/>
              </w:tabs>
            </w:pPr>
            <w:r>
              <w:t>60(1)</w:t>
            </w:r>
          </w:p>
        </w:tc>
        <w:tc>
          <w:tcPr>
            <w:tcW w:w="3719" w:type="dxa"/>
            <w:gridSpan w:val="2"/>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710" w:type="dxa"/>
          </w:tcPr>
          <w:p>
            <w:pPr>
              <w:pStyle w:val="yTable"/>
            </w:pPr>
            <w:r>
              <w:t>51.</w:t>
            </w:r>
          </w:p>
        </w:tc>
        <w:tc>
          <w:tcPr>
            <w:tcW w:w="1211" w:type="dxa"/>
          </w:tcPr>
          <w:p>
            <w:pPr>
              <w:pStyle w:val="yTable"/>
              <w:tabs>
                <w:tab w:val="decimal" w:pos="340"/>
              </w:tabs>
            </w:pPr>
            <w:r>
              <w:t>61</w:t>
            </w:r>
          </w:p>
        </w:tc>
        <w:tc>
          <w:tcPr>
            <w:tcW w:w="3719" w:type="dxa"/>
            <w:gridSpan w:val="2"/>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710" w:type="dxa"/>
          </w:tcPr>
          <w:p>
            <w:pPr>
              <w:pStyle w:val="yTable"/>
            </w:pPr>
            <w:r>
              <w:t>51a.</w:t>
            </w:r>
          </w:p>
        </w:tc>
        <w:tc>
          <w:tcPr>
            <w:tcW w:w="1211" w:type="dxa"/>
          </w:tcPr>
          <w:p>
            <w:pPr>
              <w:pStyle w:val="yTable"/>
              <w:tabs>
                <w:tab w:val="decimal" w:pos="340"/>
              </w:tabs>
            </w:pPr>
            <w:r>
              <w:t>61A</w:t>
            </w:r>
          </w:p>
        </w:tc>
        <w:tc>
          <w:tcPr>
            <w:tcW w:w="3719" w:type="dxa"/>
            <w:gridSpan w:val="2"/>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710" w:type="dxa"/>
          </w:tcPr>
          <w:p>
            <w:pPr>
              <w:pStyle w:val="yTable"/>
            </w:pPr>
            <w:r>
              <w:t>51b.</w:t>
            </w:r>
          </w:p>
        </w:tc>
        <w:tc>
          <w:tcPr>
            <w:tcW w:w="1211" w:type="dxa"/>
          </w:tcPr>
          <w:p>
            <w:pPr>
              <w:pStyle w:val="yTable"/>
              <w:tabs>
                <w:tab w:val="decimal" w:pos="340"/>
              </w:tabs>
            </w:pPr>
            <w:r>
              <w:t>62(1)</w:t>
            </w:r>
          </w:p>
        </w:tc>
        <w:tc>
          <w:tcPr>
            <w:tcW w:w="3719" w:type="dxa"/>
            <w:gridSpan w:val="2"/>
          </w:tcPr>
          <w:p>
            <w:pPr>
              <w:pStyle w:val="yTable"/>
            </w:pPr>
            <w:r>
              <w:t>Unsafe navigation of vessels</w:t>
            </w:r>
          </w:p>
        </w:tc>
        <w:tc>
          <w:tcPr>
            <w:tcW w:w="1200" w:type="dxa"/>
            <w:vAlign w:val="bottom"/>
          </w:tcPr>
          <w:p>
            <w:pPr>
              <w:pStyle w:val="yTable"/>
              <w:tabs>
                <w:tab w:val="decimal" w:pos="766"/>
              </w:tabs>
            </w:pPr>
            <w:r>
              <w:t>50</w:t>
            </w:r>
          </w:p>
        </w:tc>
      </w:tr>
      <w:tr>
        <w:trPr>
          <w:cantSplit/>
        </w:trPr>
        <w:tc>
          <w:tcPr>
            <w:tcW w:w="710" w:type="dxa"/>
          </w:tcPr>
          <w:p>
            <w:pPr>
              <w:pStyle w:val="yTable"/>
            </w:pPr>
            <w:r>
              <w:t>52.</w:t>
            </w:r>
          </w:p>
        </w:tc>
        <w:tc>
          <w:tcPr>
            <w:tcW w:w="1211" w:type="dxa"/>
          </w:tcPr>
          <w:p>
            <w:pPr>
              <w:pStyle w:val="yTable"/>
              <w:tabs>
                <w:tab w:val="decimal" w:pos="340"/>
              </w:tabs>
            </w:pPr>
            <w:r>
              <w:t>63</w:t>
            </w:r>
          </w:p>
        </w:tc>
        <w:tc>
          <w:tcPr>
            <w:tcW w:w="3719" w:type="dxa"/>
            <w:gridSpan w:val="2"/>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710" w:type="dxa"/>
          </w:tcPr>
          <w:p>
            <w:pPr>
              <w:pStyle w:val="yTable"/>
            </w:pPr>
            <w:r>
              <w:t>53.</w:t>
            </w:r>
          </w:p>
        </w:tc>
        <w:tc>
          <w:tcPr>
            <w:tcW w:w="1211" w:type="dxa"/>
          </w:tcPr>
          <w:p>
            <w:pPr>
              <w:pStyle w:val="yTable"/>
              <w:tabs>
                <w:tab w:val="decimal" w:pos="340"/>
              </w:tabs>
            </w:pPr>
            <w:r>
              <w:t>64(1)</w:t>
            </w:r>
          </w:p>
        </w:tc>
        <w:tc>
          <w:tcPr>
            <w:tcW w:w="3719" w:type="dxa"/>
            <w:gridSpan w:val="2"/>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710" w:type="dxa"/>
          </w:tcPr>
          <w:p>
            <w:pPr>
              <w:pStyle w:val="yTable"/>
            </w:pPr>
            <w:r>
              <w:t>53a.</w:t>
            </w:r>
          </w:p>
        </w:tc>
        <w:tc>
          <w:tcPr>
            <w:tcW w:w="1211" w:type="dxa"/>
          </w:tcPr>
          <w:p>
            <w:pPr>
              <w:pStyle w:val="yTable"/>
              <w:tabs>
                <w:tab w:val="decimal" w:pos="340"/>
              </w:tabs>
            </w:pPr>
            <w:r>
              <w:t>64(2)</w:t>
            </w:r>
          </w:p>
        </w:tc>
        <w:tc>
          <w:tcPr>
            <w:tcW w:w="3719" w:type="dxa"/>
            <w:gridSpan w:val="2"/>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710" w:type="dxa"/>
          </w:tcPr>
          <w:p>
            <w:pPr>
              <w:pStyle w:val="yTable"/>
            </w:pPr>
            <w:r>
              <w:t>54.</w:t>
            </w:r>
          </w:p>
        </w:tc>
        <w:tc>
          <w:tcPr>
            <w:tcW w:w="1211" w:type="dxa"/>
          </w:tcPr>
          <w:p>
            <w:pPr>
              <w:pStyle w:val="yTable"/>
              <w:tabs>
                <w:tab w:val="decimal" w:pos="340"/>
              </w:tabs>
            </w:pPr>
            <w:r>
              <w:t>64(4)</w:t>
            </w:r>
          </w:p>
        </w:tc>
        <w:tc>
          <w:tcPr>
            <w:tcW w:w="3719" w:type="dxa"/>
            <w:gridSpan w:val="2"/>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710" w:type="dxa"/>
          </w:tcPr>
          <w:p>
            <w:pPr>
              <w:pStyle w:val="yTable"/>
            </w:pPr>
            <w:r>
              <w:t>54a.</w:t>
            </w:r>
          </w:p>
        </w:tc>
        <w:tc>
          <w:tcPr>
            <w:tcW w:w="1211" w:type="dxa"/>
          </w:tcPr>
          <w:p>
            <w:pPr>
              <w:pStyle w:val="yTable"/>
              <w:tabs>
                <w:tab w:val="decimal" w:pos="340"/>
              </w:tabs>
            </w:pPr>
            <w:r>
              <w:t>65(1)</w:t>
            </w:r>
          </w:p>
        </w:tc>
        <w:tc>
          <w:tcPr>
            <w:tcW w:w="3719" w:type="dxa"/>
            <w:gridSpan w:val="2"/>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710" w:type="dxa"/>
          </w:tcPr>
          <w:p>
            <w:pPr>
              <w:pStyle w:val="yTable"/>
            </w:pPr>
            <w:r>
              <w:t>55.</w:t>
            </w:r>
          </w:p>
        </w:tc>
        <w:tc>
          <w:tcPr>
            <w:tcW w:w="1211" w:type="dxa"/>
          </w:tcPr>
          <w:p>
            <w:pPr>
              <w:pStyle w:val="yTable"/>
              <w:tabs>
                <w:tab w:val="decimal" w:pos="340"/>
              </w:tabs>
            </w:pPr>
            <w:r>
              <w:t>66(1)</w:t>
            </w:r>
          </w:p>
        </w:tc>
        <w:tc>
          <w:tcPr>
            <w:tcW w:w="3719" w:type="dxa"/>
            <w:gridSpan w:val="2"/>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710" w:type="dxa"/>
          </w:tcPr>
          <w:p>
            <w:pPr>
              <w:pStyle w:val="yTable"/>
            </w:pPr>
            <w:r>
              <w:t>56.</w:t>
            </w:r>
          </w:p>
        </w:tc>
        <w:tc>
          <w:tcPr>
            <w:tcW w:w="1211" w:type="dxa"/>
          </w:tcPr>
          <w:p>
            <w:pPr>
              <w:pStyle w:val="yTable"/>
              <w:tabs>
                <w:tab w:val="decimal" w:pos="340"/>
              </w:tabs>
            </w:pPr>
            <w:r>
              <w:t>66(2)</w:t>
            </w:r>
          </w:p>
        </w:tc>
        <w:tc>
          <w:tcPr>
            <w:tcW w:w="3719" w:type="dxa"/>
            <w:gridSpan w:val="2"/>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710" w:type="dxa"/>
          </w:tcPr>
          <w:p>
            <w:pPr>
              <w:pStyle w:val="yTable"/>
            </w:pPr>
            <w:r>
              <w:t>57.</w:t>
            </w:r>
          </w:p>
        </w:tc>
        <w:tc>
          <w:tcPr>
            <w:tcW w:w="1211" w:type="dxa"/>
          </w:tcPr>
          <w:p>
            <w:pPr>
              <w:pStyle w:val="yTable"/>
              <w:tabs>
                <w:tab w:val="decimal" w:pos="340"/>
              </w:tabs>
            </w:pPr>
            <w:r>
              <w:t>67(2)</w:t>
            </w:r>
          </w:p>
        </w:tc>
        <w:tc>
          <w:tcPr>
            <w:tcW w:w="3719" w:type="dxa"/>
            <w:gridSpan w:val="2"/>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710" w:type="dxa"/>
          </w:tcPr>
          <w:p>
            <w:pPr>
              <w:pStyle w:val="yTable"/>
            </w:pPr>
            <w:r>
              <w:t>58.</w:t>
            </w:r>
          </w:p>
        </w:tc>
        <w:tc>
          <w:tcPr>
            <w:tcW w:w="1211" w:type="dxa"/>
          </w:tcPr>
          <w:p>
            <w:pPr>
              <w:pStyle w:val="yTable"/>
              <w:tabs>
                <w:tab w:val="decimal" w:pos="340"/>
              </w:tabs>
            </w:pPr>
            <w:r>
              <w:t>68</w:t>
            </w:r>
          </w:p>
        </w:tc>
        <w:tc>
          <w:tcPr>
            <w:tcW w:w="3719" w:type="dxa"/>
            <w:gridSpan w:val="2"/>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710" w:type="dxa"/>
          </w:tcPr>
          <w:p>
            <w:pPr>
              <w:pStyle w:val="yTable"/>
            </w:pPr>
            <w:r>
              <w:t>59.</w:t>
            </w:r>
          </w:p>
        </w:tc>
        <w:tc>
          <w:tcPr>
            <w:tcW w:w="1211" w:type="dxa"/>
          </w:tcPr>
          <w:p>
            <w:pPr>
              <w:pStyle w:val="yTable"/>
              <w:tabs>
                <w:tab w:val="decimal" w:pos="340"/>
              </w:tabs>
            </w:pPr>
            <w:r>
              <w:t>69(1)</w:t>
            </w:r>
          </w:p>
        </w:tc>
        <w:tc>
          <w:tcPr>
            <w:tcW w:w="3719" w:type="dxa"/>
            <w:gridSpan w:val="2"/>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710" w:type="dxa"/>
          </w:tcPr>
          <w:p>
            <w:pPr>
              <w:pStyle w:val="yTable"/>
            </w:pPr>
            <w:r>
              <w:t>60.</w:t>
            </w:r>
          </w:p>
        </w:tc>
        <w:tc>
          <w:tcPr>
            <w:tcW w:w="1211" w:type="dxa"/>
          </w:tcPr>
          <w:p>
            <w:pPr>
              <w:pStyle w:val="yTable"/>
              <w:tabs>
                <w:tab w:val="decimal" w:pos="340"/>
              </w:tabs>
            </w:pPr>
            <w:r>
              <w:t>69(2)</w:t>
            </w:r>
          </w:p>
        </w:tc>
        <w:tc>
          <w:tcPr>
            <w:tcW w:w="3719" w:type="dxa"/>
            <w:gridSpan w:val="2"/>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710" w:type="dxa"/>
          </w:tcPr>
          <w:p>
            <w:pPr>
              <w:pStyle w:val="yTable"/>
            </w:pPr>
            <w:r>
              <w:t>61.</w:t>
            </w:r>
          </w:p>
        </w:tc>
        <w:tc>
          <w:tcPr>
            <w:tcW w:w="1211" w:type="dxa"/>
          </w:tcPr>
          <w:p>
            <w:pPr>
              <w:pStyle w:val="yTable"/>
              <w:tabs>
                <w:tab w:val="decimal" w:pos="340"/>
              </w:tabs>
            </w:pPr>
            <w:r>
              <w:t>69(3)</w:t>
            </w:r>
          </w:p>
        </w:tc>
        <w:tc>
          <w:tcPr>
            <w:tcW w:w="3719" w:type="dxa"/>
            <w:gridSpan w:val="2"/>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710" w:type="dxa"/>
          </w:tcPr>
          <w:p>
            <w:pPr>
              <w:pStyle w:val="yTable"/>
            </w:pPr>
            <w:r>
              <w:t>62.</w:t>
            </w:r>
          </w:p>
        </w:tc>
        <w:tc>
          <w:tcPr>
            <w:tcW w:w="1211" w:type="dxa"/>
          </w:tcPr>
          <w:p>
            <w:pPr>
              <w:pStyle w:val="yTable"/>
              <w:tabs>
                <w:tab w:val="decimal" w:pos="340"/>
              </w:tabs>
            </w:pPr>
            <w:r>
              <w:t>69(4)</w:t>
            </w:r>
          </w:p>
        </w:tc>
        <w:tc>
          <w:tcPr>
            <w:tcW w:w="3719" w:type="dxa"/>
            <w:gridSpan w:val="2"/>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710" w:type="dxa"/>
          </w:tcPr>
          <w:p>
            <w:pPr>
              <w:pStyle w:val="yTable"/>
            </w:pPr>
            <w:r>
              <w:t>63.</w:t>
            </w:r>
          </w:p>
        </w:tc>
        <w:tc>
          <w:tcPr>
            <w:tcW w:w="1211" w:type="dxa"/>
          </w:tcPr>
          <w:p>
            <w:pPr>
              <w:pStyle w:val="yTable"/>
              <w:tabs>
                <w:tab w:val="decimal" w:pos="340"/>
              </w:tabs>
            </w:pPr>
            <w:r>
              <w:t>69(6)</w:t>
            </w:r>
          </w:p>
        </w:tc>
        <w:tc>
          <w:tcPr>
            <w:tcW w:w="3719" w:type="dxa"/>
            <w:gridSpan w:val="2"/>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710" w:type="dxa"/>
          </w:tcPr>
          <w:p>
            <w:pPr>
              <w:pStyle w:val="yTable"/>
            </w:pPr>
            <w:r>
              <w:t>64.</w:t>
            </w:r>
          </w:p>
        </w:tc>
        <w:tc>
          <w:tcPr>
            <w:tcW w:w="1211" w:type="dxa"/>
          </w:tcPr>
          <w:p>
            <w:pPr>
              <w:pStyle w:val="yTable"/>
              <w:tabs>
                <w:tab w:val="decimal" w:pos="340"/>
              </w:tabs>
            </w:pPr>
            <w:r>
              <w:t>70(2)</w:t>
            </w:r>
          </w:p>
        </w:tc>
        <w:tc>
          <w:tcPr>
            <w:tcW w:w="3719" w:type="dxa"/>
            <w:gridSpan w:val="2"/>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710" w:type="dxa"/>
          </w:tcPr>
          <w:p>
            <w:pPr>
              <w:pStyle w:val="yTable"/>
            </w:pPr>
            <w:r>
              <w:t>64a.</w:t>
            </w:r>
          </w:p>
        </w:tc>
        <w:tc>
          <w:tcPr>
            <w:tcW w:w="1211" w:type="dxa"/>
          </w:tcPr>
          <w:p>
            <w:pPr>
              <w:pStyle w:val="yTable"/>
              <w:tabs>
                <w:tab w:val="decimal" w:pos="340"/>
              </w:tabs>
            </w:pPr>
            <w:r>
              <w:t>71(2a)</w:t>
            </w:r>
          </w:p>
        </w:tc>
        <w:tc>
          <w:tcPr>
            <w:tcW w:w="3719" w:type="dxa"/>
            <w:gridSpan w:val="2"/>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710" w:type="dxa"/>
          </w:tcPr>
          <w:p>
            <w:pPr>
              <w:pStyle w:val="yTable"/>
            </w:pPr>
            <w:r>
              <w:t>64b.</w:t>
            </w:r>
          </w:p>
        </w:tc>
        <w:tc>
          <w:tcPr>
            <w:tcW w:w="1211" w:type="dxa"/>
          </w:tcPr>
          <w:p>
            <w:pPr>
              <w:pStyle w:val="yTable"/>
              <w:tabs>
                <w:tab w:val="decimal" w:pos="340"/>
              </w:tabs>
            </w:pPr>
            <w:r>
              <w:t>73(2)</w:t>
            </w:r>
          </w:p>
        </w:tc>
        <w:tc>
          <w:tcPr>
            <w:tcW w:w="3719" w:type="dxa"/>
            <w:gridSpan w:val="2"/>
          </w:tcPr>
          <w:p>
            <w:pPr>
              <w:pStyle w:val="yTable"/>
            </w:pPr>
            <w:r>
              <w:t>Failing to comply with signs</w:t>
            </w:r>
          </w:p>
        </w:tc>
        <w:tc>
          <w:tcPr>
            <w:tcW w:w="1200" w:type="dxa"/>
            <w:vAlign w:val="bottom"/>
          </w:tcPr>
          <w:p>
            <w:pPr>
              <w:pStyle w:val="yTable"/>
              <w:tabs>
                <w:tab w:val="decimal" w:pos="766"/>
              </w:tabs>
            </w:pPr>
            <w:r>
              <w:t>50</w:t>
            </w:r>
          </w:p>
        </w:tc>
      </w:tr>
      <w:tr>
        <w:trPr>
          <w:cantSplit/>
        </w:trPr>
        <w:tc>
          <w:tcPr>
            <w:tcW w:w="710" w:type="dxa"/>
          </w:tcPr>
          <w:p>
            <w:pPr>
              <w:pStyle w:val="yTable"/>
            </w:pPr>
            <w:r>
              <w:t>65.</w:t>
            </w:r>
          </w:p>
        </w:tc>
        <w:tc>
          <w:tcPr>
            <w:tcW w:w="1211" w:type="dxa"/>
          </w:tcPr>
          <w:p>
            <w:pPr>
              <w:pStyle w:val="yTable"/>
              <w:tabs>
                <w:tab w:val="decimal" w:pos="340"/>
              </w:tabs>
            </w:pPr>
            <w:r>
              <w:t>75(2)</w:t>
            </w:r>
          </w:p>
        </w:tc>
        <w:tc>
          <w:tcPr>
            <w:tcW w:w="3719" w:type="dxa"/>
            <w:gridSpan w:val="2"/>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710" w:type="dxa"/>
          </w:tcPr>
          <w:p>
            <w:pPr>
              <w:pStyle w:val="yTable"/>
            </w:pPr>
            <w:r>
              <w:t>66.</w:t>
            </w:r>
          </w:p>
        </w:tc>
        <w:tc>
          <w:tcPr>
            <w:tcW w:w="1211" w:type="dxa"/>
          </w:tcPr>
          <w:p>
            <w:pPr>
              <w:pStyle w:val="yTable"/>
              <w:tabs>
                <w:tab w:val="decimal" w:pos="340"/>
              </w:tabs>
            </w:pPr>
            <w:r>
              <w:t>76(1)</w:t>
            </w:r>
          </w:p>
        </w:tc>
        <w:tc>
          <w:tcPr>
            <w:tcW w:w="3719" w:type="dxa"/>
            <w:gridSpan w:val="2"/>
          </w:tcPr>
          <w:p>
            <w:pPr>
              <w:pStyle w:val="yTable"/>
            </w:pPr>
            <w:r>
              <w:t>Removing CALM property</w:t>
            </w:r>
          </w:p>
        </w:tc>
        <w:tc>
          <w:tcPr>
            <w:tcW w:w="1200" w:type="dxa"/>
            <w:vAlign w:val="bottom"/>
          </w:tcPr>
          <w:p>
            <w:pPr>
              <w:pStyle w:val="yTable"/>
              <w:tabs>
                <w:tab w:val="decimal" w:pos="766"/>
              </w:tabs>
            </w:pPr>
            <w:r>
              <w:t>200</w:t>
            </w:r>
          </w:p>
        </w:tc>
      </w:tr>
      <w:tr>
        <w:trPr>
          <w:cantSplit/>
        </w:trPr>
        <w:tc>
          <w:tcPr>
            <w:tcW w:w="710" w:type="dxa"/>
          </w:tcPr>
          <w:p>
            <w:pPr>
              <w:pStyle w:val="yTable"/>
            </w:pPr>
            <w:r>
              <w:t>66a.</w:t>
            </w:r>
          </w:p>
        </w:tc>
        <w:tc>
          <w:tcPr>
            <w:tcW w:w="1211" w:type="dxa"/>
          </w:tcPr>
          <w:p>
            <w:pPr>
              <w:pStyle w:val="yTable"/>
              <w:tabs>
                <w:tab w:val="decimal" w:pos="340"/>
              </w:tabs>
            </w:pPr>
            <w:r>
              <w:t>78(1a)</w:t>
            </w:r>
          </w:p>
        </w:tc>
        <w:tc>
          <w:tcPr>
            <w:tcW w:w="3719" w:type="dxa"/>
            <w:gridSpan w:val="2"/>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710" w:type="dxa"/>
          </w:tcPr>
          <w:p>
            <w:pPr>
              <w:pStyle w:val="yTable"/>
            </w:pPr>
            <w:r>
              <w:t>67.</w:t>
            </w:r>
          </w:p>
        </w:tc>
        <w:tc>
          <w:tcPr>
            <w:tcW w:w="1211" w:type="dxa"/>
          </w:tcPr>
          <w:p>
            <w:pPr>
              <w:pStyle w:val="yTable"/>
              <w:tabs>
                <w:tab w:val="decimal" w:pos="340"/>
              </w:tabs>
            </w:pPr>
            <w:r>
              <w:t>88(2)</w:t>
            </w:r>
          </w:p>
        </w:tc>
        <w:tc>
          <w:tcPr>
            <w:tcW w:w="3719" w:type="dxa"/>
            <w:gridSpan w:val="2"/>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710" w:type="dxa"/>
          </w:tcPr>
          <w:p>
            <w:pPr>
              <w:pStyle w:val="yTable"/>
            </w:pPr>
            <w:r>
              <w:t>68.</w:t>
            </w:r>
          </w:p>
        </w:tc>
        <w:tc>
          <w:tcPr>
            <w:tcW w:w="1211" w:type="dxa"/>
          </w:tcPr>
          <w:p>
            <w:pPr>
              <w:pStyle w:val="yTable"/>
              <w:tabs>
                <w:tab w:val="decimal" w:pos="340"/>
              </w:tabs>
            </w:pPr>
            <w:r>
              <w:t>98(3)</w:t>
            </w:r>
          </w:p>
        </w:tc>
        <w:tc>
          <w:tcPr>
            <w:tcW w:w="3719" w:type="dxa"/>
            <w:gridSpan w:val="2"/>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710" w:type="dxa"/>
          </w:tcPr>
          <w:p>
            <w:pPr>
              <w:pStyle w:val="yTable"/>
            </w:pPr>
            <w:r>
              <w:t>69.</w:t>
            </w:r>
          </w:p>
        </w:tc>
        <w:tc>
          <w:tcPr>
            <w:tcW w:w="1211" w:type="dxa"/>
          </w:tcPr>
          <w:p>
            <w:pPr>
              <w:pStyle w:val="yTable"/>
              <w:tabs>
                <w:tab w:val="decimal" w:pos="340"/>
              </w:tabs>
            </w:pPr>
            <w:r>
              <w:t>99(5)</w:t>
            </w:r>
          </w:p>
        </w:tc>
        <w:tc>
          <w:tcPr>
            <w:tcW w:w="3719" w:type="dxa"/>
            <w:gridSpan w:val="2"/>
          </w:tcPr>
          <w:p>
            <w:pPr>
              <w:pStyle w:val="yTable"/>
            </w:pPr>
            <w:r>
              <w:t>Failing to pay entrance fee</w:t>
            </w:r>
          </w:p>
        </w:tc>
        <w:tc>
          <w:tcPr>
            <w:tcW w:w="1200" w:type="dxa"/>
            <w:vAlign w:val="bottom"/>
          </w:tcPr>
          <w:p>
            <w:pPr>
              <w:pStyle w:val="yTable"/>
              <w:tabs>
                <w:tab w:val="decimal" w:pos="766"/>
              </w:tabs>
            </w:pPr>
            <w:r>
              <w:t>35</w:t>
            </w:r>
          </w:p>
        </w:tc>
      </w:tr>
      <w:tr>
        <w:trPr>
          <w:cantSplit/>
        </w:trPr>
        <w:tc>
          <w:tcPr>
            <w:tcW w:w="710" w:type="dxa"/>
          </w:tcPr>
          <w:p>
            <w:pPr>
              <w:pStyle w:val="yTable"/>
            </w:pPr>
            <w:r>
              <w:t>69a.</w:t>
            </w:r>
          </w:p>
        </w:tc>
        <w:tc>
          <w:tcPr>
            <w:tcW w:w="1211" w:type="dxa"/>
          </w:tcPr>
          <w:p>
            <w:pPr>
              <w:pStyle w:val="yTable"/>
              <w:tabs>
                <w:tab w:val="decimal" w:pos="340"/>
              </w:tabs>
            </w:pPr>
            <w:r>
              <w:t>99A(3)</w:t>
            </w:r>
          </w:p>
        </w:tc>
        <w:tc>
          <w:tcPr>
            <w:tcW w:w="3719" w:type="dxa"/>
            <w:gridSpan w:val="2"/>
          </w:tcPr>
          <w:p>
            <w:pPr>
              <w:pStyle w:val="yTable"/>
            </w:pPr>
            <w:r>
              <w:t>Failing to pay landing fee for tour aircraft</w:t>
            </w:r>
          </w:p>
        </w:tc>
        <w:tc>
          <w:tcPr>
            <w:tcW w:w="1200" w:type="dxa"/>
            <w:vAlign w:val="bottom"/>
          </w:tcPr>
          <w:p>
            <w:pPr>
              <w:pStyle w:val="yTable"/>
              <w:tabs>
                <w:tab w:val="decimal" w:pos="766"/>
              </w:tabs>
            </w:pPr>
            <w:r>
              <w:t>100</w:t>
            </w:r>
          </w:p>
        </w:tc>
      </w:tr>
      <w:tr>
        <w:trPr>
          <w:cantSplit/>
        </w:trPr>
        <w:tc>
          <w:tcPr>
            <w:tcW w:w="710" w:type="dxa"/>
          </w:tcPr>
          <w:p>
            <w:pPr>
              <w:pStyle w:val="yTable"/>
            </w:pPr>
            <w:r>
              <w:t>70.</w:t>
            </w:r>
          </w:p>
        </w:tc>
        <w:tc>
          <w:tcPr>
            <w:tcW w:w="1211" w:type="dxa"/>
          </w:tcPr>
          <w:p>
            <w:pPr>
              <w:pStyle w:val="yTable"/>
              <w:ind w:firstLine="45"/>
            </w:pPr>
            <w:r>
              <w:t>100(4)</w:t>
            </w:r>
          </w:p>
        </w:tc>
        <w:tc>
          <w:tcPr>
            <w:tcW w:w="3719" w:type="dxa"/>
            <w:gridSpan w:val="2"/>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710" w:type="dxa"/>
          </w:tcPr>
          <w:p>
            <w:pPr>
              <w:pStyle w:val="yTable"/>
            </w:pPr>
            <w:r>
              <w:t>70a.</w:t>
            </w:r>
          </w:p>
        </w:tc>
        <w:tc>
          <w:tcPr>
            <w:tcW w:w="1211" w:type="dxa"/>
          </w:tcPr>
          <w:p>
            <w:pPr>
              <w:pStyle w:val="yTable"/>
              <w:ind w:firstLine="45"/>
            </w:pPr>
            <w:r>
              <w:t>100A(4)</w:t>
            </w:r>
          </w:p>
        </w:tc>
        <w:tc>
          <w:tcPr>
            <w:tcW w:w="3719" w:type="dxa"/>
            <w:gridSpan w:val="2"/>
          </w:tcPr>
          <w:p>
            <w:pPr>
              <w:pStyle w:val="yTable"/>
            </w:pPr>
            <w:r>
              <w:t>Failing to pay entrance fee</w:t>
            </w:r>
          </w:p>
        </w:tc>
        <w:tc>
          <w:tcPr>
            <w:tcW w:w="1200" w:type="dxa"/>
            <w:vAlign w:val="bottom"/>
          </w:tcPr>
          <w:p>
            <w:pPr>
              <w:pStyle w:val="yTable"/>
              <w:tabs>
                <w:tab w:val="decimal" w:pos="766"/>
              </w:tabs>
            </w:pPr>
            <w:r>
              <w:t>35</w:t>
            </w:r>
          </w:p>
        </w:tc>
      </w:tr>
      <w:tr>
        <w:trPr>
          <w:cantSplit/>
        </w:trPr>
        <w:tc>
          <w:tcPr>
            <w:tcW w:w="710" w:type="dxa"/>
          </w:tcPr>
          <w:p>
            <w:pPr>
              <w:pStyle w:val="yTable"/>
            </w:pPr>
            <w:r>
              <w:t>71.</w:t>
            </w:r>
          </w:p>
        </w:tc>
        <w:tc>
          <w:tcPr>
            <w:tcW w:w="1211" w:type="dxa"/>
          </w:tcPr>
          <w:p>
            <w:pPr>
              <w:pStyle w:val="yTable"/>
              <w:ind w:firstLine="45"/>
            </w:pPr>
            <w:r>
              <w:t>102</w:t>
            </w:r>
          </w:p>
        </w:tc>
        <w:tc>
          <w:tcPr>
            <w:tcW w:w="3719" w:type="dxa"/>
            <w:gridSpan w:val="2"/>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710" w:type="dxa"/>
          </w:tcPr>
          <w:p>
            <w:pPr>
              <w:pStyle w:val="yTable"/>
            </w:pPr>
            <w:r>
              <w:t>71a.</w:t>
            </w:r>
          </w:p>
        </w:tc>
        <w:tc>
          <w:tcPr>
            <w:tcW w:w="1211" w:type="dxa"/>
          </w:tcPr>
          <w:p>
            <w:pPr>
              <w:pStyle w:val="yTable"/>
              <w:ind w:firstLine="45"/>
            </w:pPr>
            <w:r>
              <w:t>102A(3)</w:t>
            </w:r>
          </w:p>
        </w:tc>
        <w:tc>
          <w:tcPr>
            <w:tcW w:w="3719" w:type="dxa"/>
            <w:gridSpan w:val="2"/>
          </w:tcPr>
          <w:p>
            <w:pPr>
              <w:pStyle w:val="yTable"/>
            </w:pPr>
            <w:r>
              <w:t>Failing to pay abseiling fee</w:t>
            </w:r>
          </w:p>
        </w:tc>
        <w:tc>
          <w:tcPr>
            <w:tcW w:w="1200" w:type="dxa"/>
            <w:vAlign w:val="bottom"/>
          </w:tcPr>
          <w:p>
            <w:pPr>
              <w:pStyle w:val="yTable"/>
              <w:tabs>
                <w:tab w:val="decimal" w:pos="766"/>
              </w:tabs>
            </w:pPr>
            <w:r>
              <w:t>35</w:t>
            </w:r>
          </w:p>
        </w:tc>
      </w:tr>
      <w:tr>
        <w:trPr>
          <w:cantSplit/>
        </w:trPr>
        <w:tc>
          <w:tcPr>
            <w:tcW w:w="710" w:type="dxa"/>
          </w:tcPr>
          <w:p>
            <w:pPr>
              <w:pStyle w:val="yTable"/>
            </w:pPr>
            <w:r>
              <w:t>72.</w:t>
            </w:r>
          </w:p>
        </w:tc>
        <w:tc>
          <w:tcPr>
            <w:tcW w:w="1211" w:type="dxa"/>
          </w:tcPr>
          <w:p>
            <w:pPr>
              <w:pStyle w:val="yTable"/>
              <w:ind w:firstLine="45"/>
            </w:pPr>
            <w:r>
              <w:t>103(4)</w:t>
            </w:r>
          </w:p>
        </w:tc>
        <w:tc>
          <w:tcPr>
            <w:tcW w:w="3719" w:type="dxa"/>
            <w:gridSpan w:val="2"/>
          </w:tcPr>
          <w:p>
            <w:pPr>
              <w:pStyle w:val="yTable"/>
            </w:pPr>
            <w:r>
              <w:t>Failing to pay camping fee</w:t>
            </w:r>
          </w:p>
        </w:tc>
        <w:tc>
          <w:tcPr>
            <w:tcW w:w="1200" w:type="dxa"/>
            <w:vAlign w:val="bottom"/>
          </w:tcPr>
          <w:p>
            <w:pPr>
              <w:pStyle w:val="yTable"/>
              <w:tabs>
                <w:tab w:val="decimal" w:pos="766"/>
              </w:tabs>
            </w:pPr>
            <w:r>
              <w:t>35</w:t>
            </w:r>
          </w:p>
        </w:tc>
      </w:tr>
      <w:tr>
        <w:trPr>
          <w:cantSplit/>
        </w:trPr>
        <w:tc>
          <w:tcPr>
            <w:tcW w:w="710" w:type="dxa"/>
          </w:tcPr>
          <w:p>
            <w:pPr>
              <w:pStyle w:val="yTable"/>
            </w:pPr>
            <w:r>
              <w:t>73.</w:t>
            </w:r>
          </w:p>
        </w:tc>
        <w:tc>
          <w:tcPr>
            <w:tcW w:w="1211" w:type="dxa"/>
          </w:tcPr>
          <w:p>
            <w:pPr>
              <w:pStyle w:val="yTable"/>
              <w:ind w:firstLine="45"/>
            </w:pPr>
            <w:r>
              <w:t>105(1)</w:t>
            </w:r>
          </w:p>
        </w:tc>
        <w:tc>
          <w:tcPr>
            <w:tcW w:w="3719" w:type="dxa"/>
            <w:gridSpan w:val="2"/>
          </w:tcPr>
          <w:p>
            <w:pPr>
              <w:pStyle w:val="yTable"/>
            </w:pPr>
            <w:r>
              <w:t>Organising etc. meeting etc.</w:t>
            </w:r>
          </w:p>
        </w:tc>
        <w:tc>
          <w:tcPr>
            <w:tcW w:w="1200" w:type="dxa"/>
            <w:vAlign w:val="bottom"/>
          </w:tcPr>
          <w:p>
            <w:pPr>
              <w:pStyle w:val="yTable"/>
              <w:tabs>
                <w:tab w:val="decimal" w:pos="766"/>
              </w:tabs>
            </w:pPr>
            <w:r>
              <w:t>200</w:t>
            </w:r>
          </w:p>
        </w:tc>
      </w:tr>
      <w:tr>
        <w:trPr>
          <w:cantSplit/>
        </w:trPr>
        <w:tc>
          <w:tcPr>
            <w:tcW w:w="710" w:type="dxa"/>
          </w:tcPr>
          <w:p>
            <w:pPr>
              <w:pStyle w:val="yTable"/>
            </w:pPr>
            <w:r>
              <w:t>74.</w:t>
            </w:r>
          </w:p>
        </w:tc>
        <w:tc>
          <w:tcPr>
            <w:tcW w:w="1211" w:type="dxa"/>
          </w:tcPr>
          <w:p>
            <w:pPr>
              <w:pStyle w:val="yTable"/>
              <w:ind w:firstLine="45"/>
            </w:pPr>
            <w:r>
              <w:t>106(1)</w:t>
            </w:r>
          </w:p>
        </w:tc>
        <w:tc>
          <w:tcPr>
            <w:tcW w:w="3719" w:type="dxa"/>
            <w:gridSpan w:val="2"/>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710" w:type="dxa"/>
          </w:tcPr>
          <w:p>
            <w:pPr>
              <w:pStyle w:val="yTable"/>
            </w:pPr>
            <w:r>
              <w:t>74a.</w:t>
            </w:r>
          </w:p>
        </w:tc>
        <w:tc>
          <w:tcPr>
            <w:tcW w:w="1211" w:type="dxa"/>
          </w:tcPr>
          <w:p>
            <w:pPr>
              <w:pStyle w:val="yTable"/>
              <w:ind w:firstLine="45"/>
            </w:pPr>
            <w:r>
              <w:t>106(2)</w:t>
            </w:r>
          </w:p>
        </w:tc>
        <w:tc>
          <w:tcPr>
            <w:tcW w:w="3719" w:type="dxa"/>
            <w:gridSpan w:val="2"/>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710" w:type="dxa"/>
          </w:tcPr>
          <w:p>
            <w:pPr>
              <w:pStyle w:val="yTable"/>
            </w:pPr>
            <w:r>
              <w:t>75.</w:t>
            </w:r>
          </w:p>
        </w:tc>
        <w:tc>
          <w:tcPr>
            <w:tcW w:w="1211" w:type="dxa"/>
          </w:tcPr>
          <w:p>
            <w:pPr>
              <w:pStyle w:val="yTable"/>
              <w:ind w:firstLine="45"/>
            </w:pPr>
            <w:r>
              <w:t>107</w:t>
            </w:r>
          </w:p>
        </w:tc>
        <w:tc>
          <w:tcPr>
            <w:tcW w:w="3719" w:type="dxa"/>
            <w:gridSpan w:val="2"/>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710" w:type="dxa"/>
          </w:tcPr>
          <w:p>
            <w:pPr>
              <w:pStyle w:val="yTable"/>
            </w:pPr>
            <w:r>
              <w:t>76.</w:t>
            </w:r>
          </w:p>
        </w:tc>
        <w:tc>
          <w:tcPr>
            <w:tcW w:w="1211" w:type="dxa"/>
          </w:tcPr>
          <w:p>
            <w:pPr>
              <w:pStyle w:val="yTable"/>
              <w:ind w:firstLine="45"/>
            </w:pPr>
            <w:r>
              <w:t>108</w:t>
            </w:r>
          </w:p>
        </w:tc>
        <w:tc>
          <w:tcPr>
            <w:tcW w:w="3719" w:type="dxa"/>
            <w:gridSpan w:val="2"/>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710" w:type="dxa"/>
          </w:tcPr>
          <w:p>
            <w:pPr>
              <w:pStyle w:val="yTable"/>
            </w:pPr>
            <w:r>
              <w:t>77.</w:t>
            </w:r>
          </w:p>
        </w:tc>
        <w:tc>
          <w:tcPr>
            <w:tcW w:w="1211" w:type="dxa"/>
          </w:tcPr>
          <w:p>
            <w:pPr>
              <w:pStyle w:val="yTable"/>
              <w:ind w:firstLine="45"/>
            </w:pPr>
            <w:r>
              <w:t>109</w:t>
            </w:r>
          </w:p>
        </w:tc>
        <w:tc>
          <w:tcPr>
            <w:tcW w:w="3719" w:type="dxa"/>
            <w:gridSpan w:val="2"/>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710" w:type="dxa"/>
          </w:tcPr>
          <w:p>
            <w:pPr>
              <w:pStyle w:val="yTable"/>
            </w:pPr>
            <w:r>
              <w:t>78.</w:t>
            </w:r>
          </w:p>
        </w:tc>
        <w:tc>
          <w:tcPr>
            <w:tcW w:w="1211" w:type="dxa"/>
          </w:tcPr>
          <w:p>
            <w:pPr>
              <w:pStyle w:val="yTable"/>
              <w:ind w:firstLine="45"/>
            </w:pPr>
            <w:r>
              <w:t>110</w:t>
            </w:r>
          </w:p>
        </w:tc>
        <w:tc>
          <w:tcPr>
            <w:tcW w:w="3719" w:type="dxa"/>
            <w:gridSpan w:val="2"/>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r>
        <w:tab/>
        <w:t>[Division 2 amended in Gazette 29 Sep 2006 p. 4331</w:t>
      </w:r>
      <w:r>
        <w:noBreakHyphen/>
        <w:t>3; 27 Feb 2007 p. 625-6.]</w:t>
      </w:r>
    </w:p>
    <w:p>
      <w:pPr>
        <w:pStyle w:val="yScheduleHeading"/>
      </w:pPr>
      <w:bookmarkStart w:id="1230" w:name="_Toc189456651"/>
      <w:bookmarkStart w:id="1231" w:name="_Toc223500454"/>
      <w:bookmarkStart w:id="1232" w:name="_Toc223500616"/>
      <w:bookmarkStart w:id="1233" w:name="_Toc239150566"/>
      <w:bookmarkStart w:id="1234" w:name="_Toc271207589"/>
      <w:bookmarkStart w:id="1235" w:name="_Toc271207765"/>
      <w:bookmarkStart w:id="1236" w:name="_Toc271209088"/>
      <w:bookmarkStart w:id="1237" w:name="_Toc271209422"/>
      <w:bookmarkStart w:id="1238" w:name="_Toc271209598"/>
      <w:bookmarkStart w:id="1239" w:name="_Toc271209774"/>
      <w:bookmarkStart w:id="1240" w:name="_Toc271209950"/>
      <w:bookmarkStart w:id="1241" w:name="_Toc524423038"/>
      <w:r>
        <w:rPr>
          <w:rStyle w:val="CharSchNo"/>
        </w:rPr>
        <w:t>Schedule 3</w:t>
      </w:r>
      <w:r>
        <w:rPr>
          <w:rStyle w:val="CharSDivNo"/>
        </w:rPr>
        <w:t xml:space="preserve"> </w:t>
      </w:r>
      <w:r>
        <w:t>—</w:t>
      </w:r>
      <w:r>
        <w:rPr>
          <w:rStyle w:val="CharSDivText"/>
        </w:rPr>
        <w:t xml:space="preserve"> </w:t>
      </w:r>
      <w:r>
        <w:rPr>
          <w:rStyle w:val="CharSchText"/>
        </w:rPr>
        <w:t>Forms</w:t>
      </w:r>
      <w:bookmarkEnd w:id="1230"/>
      <w:bookmarkEnd w:id="1231"/>
      <w:bookmarkEnd w:id="1232"/>
      <w:bookmarkEnd w:id="1233"/>
      <w:bookmarkEnd w:id="1234"/>
      <w:bookmarkEnd w:id="1235"/>
      <w:bookmarkEnd w:id="1236"/>
      <w:bookmarkEnd w:id="1237"/>
      <w:bookmarkEnd w:id="1238"/>
      <w:bookmarkEnd w:id="1239"/>
      <w:bookmarkEnd w:id="1240"/>
      <w:bookmarkEnd w:id="1241"/>
    </w:p>
    <w:p>
      <w:pPr>
        <w:pStyle w:val="yShoulderClause"/>
      </w:pPr>
      <w:r>
        <w:t>[r. 112(3)]</w:t>
      </w:r>
    </w:p>
    <w:p>
      <w:pPr>
        <w:pStyle w:val="yMiscellaneousBody"/>
        <w:jc w:val="center"/>
        <w:rPr>
          <w:snapToGrid w:val="0"/>
        </w:rPr>
      </w:pPr>
      <w:r>
        <w:rPr>
          <w:snapToGrid w:val="0"/>
        </w:rPr>
        <w:t>Form 1</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114A(1))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1. 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r>
        <w:rPr>
          <w:snapToGrid w:val="0"/>
        </w:rPr>
        <w:t xml:space="preserve">2. It is alleged that at about . . . . . . . . .a.m./p.m. on the . . . day of. . . . . . . . . . . ., you committed an offence against regulation . . . . . of the </w:t>
      </w:r>
      <w:r>
        <w:rPr>
          <w:i/>
          <w:snapToGrid w:val="0"/>
        </w:rPr>
        <w:t>Conservation and Land Management Regulations 2002</w:t>
      </w:r>
      <w:r>
        <w:rPr>
          <w:snapToGrid w:val="0"/>
        </w:rPr>
        <w:t xml:space="preserve"> by . . . . . . . . . . . . . . . . . . . . . . . . . . . . . . . </w:t>
      </w:r>
    </w:p>
    <w:p>
      <w:pPr>
        <w:pStyle w:val="yMiscellaneousBody"/>
        <w:rPr>
          <w:snapToGrid w:val="0"/>
        </w:rPr>
      </w:pPr>
      <w:r>
        <w:rPr>
          <w:snapToGrid w:val="0"/>
        </w:rPr>
        <w:t xml:space="preserve">3. If you do not wish to have a complaint of the alleged offence heard and determined by a court, you may pay the modified penalty of $ . . . . . . . . for that offence to the </w:t>
      </w:r>
      <w:r>
        <w:t xml:space="preserve">Chief Executive Officer </w:t>
      </w:r>
      <w:r>
        <w:rPr>
          <w:snapToGrid w:val="0"/>
        </w:rPr>
        <w:t>within 21 days of the giving of this notice.</w:t>
      </w:r>
    </w:p>
    <w:p>
      <w:pPr>
        <w:pStyle w:val="yMiscellaneousBody"/>
        <w:rPr>
          <w:snapToGrid w:val="0"/>
        </w:rPr>
      </w:pPr>
      <w:r>
        <w:rPr>
          <w:snapToGrid w:val="0"/>
        </w:rPr>
        <w:t>4. Payment may be made by either posting this form and a cheque, money or postal note for the modified penalty to the</w:t>
      </w:r>
      <w:r>
        <w:t xml:space="preserve"> Chief Executive Officer</w:t>
      </w:r>
      <w:r>
        <w:rPr>
          <w:snapToGrid w:val="0"/>
        </w:rPr>
        <w:t xml:space="preserve">, </w:t>
      </w:r>
      <w:r>
        <w:t>Department of Environment and Conservation</w:t>
      </w:r>
      <w:r>
        <w:rPr>
          <w:snapToGrid w:val="0"/>
        </w:rPr>
        <w:t>, P.O. Box 104, Como WA 6152, or by delivering this form and paying the modified penalty at an office of the</w:t>
      </w:r>
      <w:r>
        <w:t xml:space="preserve"> Department of Environment and Conservation</w:t>
      </w:r>
      <w:r>
        <w:rPr>
          <w:snapToGrid w:val="0"/>
        </w:rPr>
        <w:t>.</w:t>
      </w:r>
    </w:p>
    <w:p>
      <w:pPr>
        <w:pStyle w:val="yMiscellaneousBody"/>
        <w:keepNext/>
        <w:keepLines/>
        <w:rPr>
          <w:snapToGrid w:val="0"/>
        </w:rPr>
      </w:pPr>
      <w:r>
        <w:rPr>
          <w:snapToGrid w:val="0"/>
        </w:rPr>
        <w:t>5. If this modified penalty is not paid within 21 days of the date of this notice, court proceedings may be taken against you.</w:t>
      </w:r>
    </w:p>
    <w:p>
      <w:pPr>
        <w:pStyle w:val="yMiscellaneousBody"/>
        <w:keepNext/>
        <w:keepLines/>
        <w:jc w:val="right"/>
        <w:rPr>
          <w:snapToGrid w:val="0"/>
        </w:rPr>
      </w:pPr>
      <w:r>
        <w:rPr>
          <w:snapToGrid w:val="0"/>
        </w:rPr>
        <w:t xml:space="preserve"> . . . . . . . . . . . . . . . . . . . . . . . . . . . . . </w:t>
      </w:r>
    </w:p>
    <w:p>
      <w:pPr>
        <w:pStyle w:val="yMiscellaneousBody"/>
        <w:keepNext/>
        <w:keepLines/>
        <w:spacing w:before="0"/>
        <w:jc w:val="right"/>
        <w:rPr>
          <w:snapToGrid w:val="0"/>
        </w:rPr>
      </w:pPr>
      <w:r>
        <w:rPr>
          <w:snapToGrid w:val="0"/>
        </w:rPr>
        <w:t>Signature of (forest/wildlife/conservation</w:t>
      </w:r>
      <w:r>
        <w:rPr>
          <w:snapToGrid w:val="0"/>
        </w:rPr>
        <w:br/>
        <w:t xml:space="preserve"> and land management officer/ranger)*</w:t>
      </w:r>
    </w:p>
    <w:p>
      <w:pPr>
        <w:pStyle w:val="yMiscellaneousBody"/>
        <w:keepNext/>
        <w:keepLines/>
        <w:rPr>
          <w:snapToGrid w:val="0"/>
        </w:rPr>
      </w:pPr>
      <w:r>
        <w:rPr>
          <w:snapToGrid w:val="0"/>
        </w:rPr>
        <w:t>(* Delete whichever does not apply.)</w:t>
      </w:r>
    </w:p>
    <w:p>
      <w:pPr>
        <w:pStyle w:val="yFootnotesection"/>
        <w:keepNext/>
      </w:pPr>
      <w:r>
        <w:tab/>
        <w:t>[Form 1 amended in Gazette 29 Sep 2006 p. 4333.]</w:t>
      </w:r>
    </w:p>
    <w:p>
      <w:pPr>
        <w:pStyle w:val="yMiscellaneousBody"/>
        <w:pageBreakBefore/>
        <w:jc w:val="center"/>
        <w:rPr>
          <w:snapToGrid w:val="0"/>
        </w:rPr>
      </w:pPr>
      <w:r>
        <w:rPr>
          <w:snapToGrid w:val="0"/>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p>
    <w:p>
      <w:pPr>
        <w:pStyle w:val="yMiscellaneousBody"/>
        <w:rPr>
          <w:snapToGrid w:val="0"/>
        </w:rPr>
      </w:pPr>
      <w:r>
        <w:rPr>
          <w:snapToGrid w:val="0"/>
        </w:rPr>
        <w:t>1. Infringement Notice No. . . . . . . . . . . . . . . . Date . . . ./ . . . ./ . . for the alleged offence of . . . . . . . . . . . . . . . . . . . . . . . . . . . . . . . . . . . . . . . . . . . . . . . . . . . . . . . . . . . . . . . . . . . . . . . . . . . . . . . . . . . . . . . . . . . . . . . . . . . . . . . . . . . . . . . . . . . . . .and specifying the modified penalty of $. . . . . . .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 xml:space="preserve">. . . . . . . . . . . . . . . . . . . . . . . . . . . . . . . </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rPr>
      </w:pPr>
      <w:r>
        <w:t>Department of Environment and Conservation</w:t>
      </w:r>
    </w:p>
    <w:p>
      <w:pPr>
        <w:pStyle w:val="yFootnotesection"/>
      </w:pPr>
      <w:r>
        <w:tab/>
        <w:t>[Form 2 amended in Gazette 29 Sep 2006 p. 4333.]</w:t>
      </w:r>
    </w:p>
    <w:p>
      <w:pPr>
        <w:pStyle w:val="yTHeadingNAm"/>
        <w:rPr>
          <w:ins w:id="1242" w:author="Master Repository Process" w:date="2021-07-31T18:45:00Z"/>
        </w:rPr>
      </w:pPr>
      <w:ins w:id="1243" w:author="Master Repository Process" w:date="2021-07-31T18:45:00Z">
        <w:r>
          <w:t>Form 3 — Apiary permit</w:t>
        </w:r>
      </w:ins>
    </w:p>
    <w:p>
      <w:pPr>
        <w:keepNext/>
        <w:keepLines/>
        <w:rPr>
          <w:ins w:id="1244" w:author="Master Repository Process" w:date="2021-07-31T18:45:00Z"/>
        </w:rPr>
      </w:pPr>
      <w:ins w:id="1245" w:author="Master Repository Process" w:date="2021-07-31T18:45:00Z">
        <w:r>
          <w:rPr>
            <w:noProof/>
            <w:lang w:eastAsia="en-AU"/>
          </w:rPr>
          <w:drawing>
            <wp:inline distT="0" distB="0" distL="0" distR="0">
              <wp:extent cx="4533900" cy="5810250"/>
              <wp:effectExtent l="19050" t="19050" r="19050" b="19050"/>
              <wp:docPr id="1" name="Picture 1" descr="..\..\..\..\..\PCO Work\Apiary Site Permit (v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 Work\Apiary Site Permit (v6).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33900" cy="5810250"/>
                      </a:xfrm>
                      <a:prstGeom prst="rect">
                        <a:avLst/>
                      </a:prstGeom>
                      <a:noFill/>
                      <a:ln w="6350" cmpd="sng">
                        <a:solidFill>
                          <a:srgbClr val="000000"/>
                        </a:solidFill>
                        <a:miter lim="800000"/>
                        <a:headEnd/>
                        <a:tailEnd/>
                      </a:ln>
                      <a:effectLst/>
                    </pic:spPr>
                  </pic:pic>
                </a:graphicData>
              </a:graphic>
            </wp:inline>
          </w:drawing>
        </w:r>
      </w:ins>
    </w:p>
    <w:p>
      <w:pPr>
        <w:pStyle w:val="yFootnotesection"/>
        <w:rPr>
          <w:ins w:id="1246" w:author="Master Repository Process" w:date="2021-07-31T18:45:00Z"/>
        </w:rPr>
      </w:pPr>
      <w:ins w:id="1247" w:author="Master Repository Process" w:date="2021-07-31T18:45:00Z">
        <w:r>
          <w:tab/>
          <w:t>[Form 3 inserted in Gazette 3 Sep 2010 p. 4284.]</w:t>
        </w:r>
      </w:ins>
    </w:p>
    <w:p>
      <w:pPr>
        <w:tabs>
          <w:tab w:val="decimal" w:pos="766"/>
        </w:tabs>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48" w:name="_Toc189456652"/>
      <w:bookmarkStart w:id="1249" w:name="_Toc223500455"/>
      <w:bookmarkStart w:id="1250" w:name="_Toc223500617"/>
      <w:bookmarkStart w:id="1251" w:name="_Toc239150567"/>
      <w:bookmarkStart w:id="1252" w:name="_Toc271207590"/>
      <w:bookmarkStart w:id="1253" w:name="_Toc271207766"/>
      <w:bookmarkStart w:id="1254" w:name="_Toc271209089"/>
      <w:bookmarkStart w:id="1255" w:name="_Toc271209423"/>
      <w:bookmarkStart w:id="1256" w:name="_Toc271209599"/>
      <w:bookmarkStart w:id="1257" w:name="_Toc271209775"/>
      <w:bookmarkStart w:id="1258" w:name="_Toc271209951"/>
      <w:bookmarkStart w:id="1259" w:name="_Toc524423039"/>
      <w:r>
        <w:t>Notes</w:t>
      </w:r>
      <w:bookmarkEnd w:id="1248"/>
      <w:bookmarkEnd w:id="1249"/>
      <w:bookmarkEnd w:id="1250"/>
      <w:bookmarkEnd w:id="1251"/>
      <w:bookmarkEnd w:id="1252"/>
      <w:bookmarkEnd w:id="1253"/>
      <w:bookmarkEnd w:id="1254"/>
      <w:bookmarkEnd w:id="1255"/>
      <w:bookmarkEnd w:id="1256"/>
      <w:bookmarkEnd w:id="1257"/>
      <w:bookmarkEnd w:id="1258"/>
      <w:bookmarkEnd w:id="1259"/>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260" w:name="_Toc271209090"/>
      <w:bookmarkStart w:id="1261" w:name="_Toc271209952"/>
      <w:bookmarkStart w:id="1262" w:name="_Toc239150568"/>
      <w:bookmarkStart w:id="1263" w:name="_Toc524423040"/>
      <w:r>
        <w:t>Compilation table</w:t>
      </w:r>
      <w:bookmarkEnd w:id="1260"/>
      <w:bookmarkEnd w:id="1261"/>
      <w:bookmarkEnd w:id="1262"/>
      <w:bookmarkEnd w:id="12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 2007 p. 625-6</w:t>
            </w:r>
          </w:p>
        </w:tc>
        <w:tc>
          <w:tcPr>
            <w:tcW w:w="2693" w:type="dxa"/>
          </w:tcPr>
          <w:p>
            <w:pPr>
              <w:pStyle w:val="nTable"/>
              <w:spacing w:after="40"/>
              <w:rPr>
                <w:sz w:val="19"/>
              </w:rPr>
            </w:pPr>
            <w:r>
              <w:rPr>
                <w:sz w:val="19"/>
              </w:rPr>
              <w:t>27 Feb 2007</w:t>
            </w:r>
          </w:p>
        </w:tc>
      </w:tr>
      <w:tr>
        <w:tc>
          <w:tcPr>
            <w:tcW w:w="3119" w:type="dxa"/>
          </w:tcPr>
          <w:p>
            <w:pPr>
              <w:pStyle w:val="nTable"/>
              <w:spacing w:after="40"/>
              <w:rPr>
                <w:i/>
                <w:sz w:val="19"/>
              </w:rPr>
            </w:pPr>
            <w:r>
              <w:rPr>
                <w:i/>
                <w:sz w:val="19"/>
              </w:rPr>
              <w:t>Conservation and Land Management Amendment Regulations (No. 2) 2007</w:t>
            </w:r>
          </w:p>
        </w:tc>
        <w:tc>
          <w:tcPr>
            <w:tcW w:w="1276" w:type="dxa"/>
          </w:tcPr>
          <w:p>
            <w:pPr>
              <w:pStyle w:val="nTable"/>
              <w:spacing w:after="40"/>
              <w:rPr>
                <w:sz w:val="19"/>
              </w:rPr>
            </w:pPr>
            <w:r>
              <w:rPr>
                <w:sz w:val="19"/>
              </w:rPr>
              <w:t>29 Jan 2008 p. 241-2</w:t>
            </w:r>
          </w:p>
        </w:tc>
        <w:tc>
          <w:tcPr>
            <w:tcW w:w="2693" w:type="dxa"/>
          </w:tcPr>
          <w:p>
            <w:pPr>
              <w:pStyle w:val="nTable"/>
              <w:spacing w:after="40"/>
              <w:rPr>
                <w:sz w:val="19"/>
              </w:rPr>
            </w:pPr>
            <w:r>
              <w:rPr>
                <w:sz w:val="19"/>
              </w:rPr>
              <w:t>r. 1 and 2: 29 Jan 2008 (see r. 2(a));</w:t>
            </w:r>
          </w:p>
          <w:p>
            <w:pPr>
              <w:pStyle w:val="nTable"/>
              <w:spacing w:before="0" w:after="40"/>
              <w:rPr>
                <w:sz w:val="19"/>
              </w:rPr>
            </w:pPr>
            <w:r>
              <w:rPr>
                <w:sz w:val="19"/>
              </w:rPr>
              <w:t>Regulations other than r. 1 and 2: 30 Jan 2008 (see r. 2(b))</w:t>
            </w:r>
          </w:p>
        </w:tc>
      </w:tr>
      <w:tr>
        <w:tc>
          <w:tcPr>
            <w:tcW w:w="3119" w:type="dxa"/>
          </w:tcPr>
          <w:p>
            <w:pPr>
              <w:pStyle w:val="nTable"/>
              <w:spacing w:after="40"/>
              <w:rPr>
                <w:i/>
                <w:sz w:val="19"/>
              </w:rPr>
            </w:pPr>
            <w:r>
              <w:rPr>
                <w:i/>
                <w:sz w:val="19"/>
              </w:rPr>
              <w:t xml:space="preserve">Financial Management (Transitional Provisions) Regulations 2009 </w:t>
            </w:r>
            <w:r>
              <w:rPr>
                <w:iCs/>
                <w:sz w:val="19"/>
                <w:vertAlign w:val="superscript"/>
              </w:rPr>
              <w:t>3</w:t>
            </w:r>
          </w:p>
        </w:tc>
        <w:tc>
          <w:tcPr>
            <w:tcW w:w="1276" w:type="dxa"/>
          </w:tcPr>
          <w:p>
            <w:pPr>
              <w:pStyle w:val="nTable"/>
              <w:spacing w:after="40"/>
              <w:rPr>
                <w:sz w:val="19"/>
              </w:rPr>
            </w:pPr>
            <w:r>
              <w:rPr>
                <w:sz w:val="19"/>
              </w:rPr>
              <w:t>27 Feb 2009 p. 529-30</w:t>
            </w:r>
          </w:p>
        </w:tc>
        <w:tc>
          <w:tcPr>
            <w:tcW w:w="2693" w:type="dxa"/>
          </w:tcPr>
          <w:p>
            <w:pPr>
              <w:pStyle w:val="nTable"/>
              <w:spacing w:after="40"/>
              <w:rPr>
                <w:sz w:val="19"/>
              </w:rPr>
            </w:pPr>
            <w:r>
              <w:rPr>
                <w:sz w:val="19"/>
              </w:rPr>
              <w:t>r. 1 and 2: 27 Feb 2009 (see r. 2(a));</w:t>
            </w:r>
            <w:r>
              <w:rPr>
                <w:sz w:val="19"/>
              </w:rPr>
              <w:br/>
              <w:t>Regulations other than r. 1 and 2: 28 Feb 2009 (see r. 2(b))</w:t>
            </w:r>
          </w:p>
        </w:tc>
      </w:tr>
      <w:tr>
        <w:tc>
          <w:tcPr>
            <w:tcW w:w="3119" w:type="dxa"/>
          </w:tcPr>
          <w:p>
            <w:pPr>
              <w:pStyle w:val="nTable"/>
              <w:spacing w:after="40"/>
              <w:rPr>
                <w:i/>
                <w:sz w:val="19"/>
              </w:rPr>
            </w:pPr>
            <w:r>
              <w:rPr>
                <w:i/>
                <w:sz w:val="19"/>
              </w:rPr>
              <w:t>Conservation and Land Management Amendment Regulations 2009</w:t>
            </w:r>
          </w:p>
        </w:tc>
        <w:tc>
          <w:tcPr>
            <w:tcW w:w="1276" w:type="dxa"/>
          </w:tcPr>
          <w:p>
            <w:pPr>
              <w:pStyle w:val="nTable"/>
              <w:spacing w:after="40"/>
              <w:rPr>
                <w:sz w:val="19"/>
              </w:rPr>
            </w:pPr>
            <w:r>
              <w:rPr>
                <w:sz w:val="19"/>
              </w:rPr>
              <w:t>28 Aug 2009 p. 3354-7</w:t>
            </w:r>
          </w:p>
        </w:tc>
        <w:tc>
          <w:tcPr>
            <w:tcW w:w="2693" w:type="dxa"/>
          </w:tcPr>
          <w:p>
            <w:pPr>
              <w:pStyle w:val="nTable"/>
              <w:spacing w:after="40"/>
              <w:rPr>
                <w:sz w:val="19"/>
              </w:rPr>
            </w:pPr>
            <w:r>
              <w:rPr>
                <w:sz w:val="19"/>
              </w:rPr>
              <w:t>r. 1 and 2: 28 Aug 2009 (see r. 2(a));</w:t>
            </w:r>
            <w:r>
              <w:rPr>
                <w:sz w:val="19"/>
              </w:rPr>
              <w:br/>
              <w:t>Regulations other than r. 1 and 2: 1 Sep 2009 (see r. 2(b))</w:t>
            </w:r>
          </w:p>
        </w:tc>
      </w:tr>
      <w:tr>
        <w:trPr>
          <w:ins w:id="1264" w:author="Master Repository Process" w:date="2021-07-31T18:45:00Z"/>
        </w:trPr>
        <w:tc>
          <w:tcPr>
            <w:tcW w:w="3119" w:type="dxa"/>
            <w:tcBorders>
              <w:bottom w:val="single" w:sz="4" w:space="0" w:color="auto"/>
            </w:tcBorders>
          </w:tcPr>
          <w:p>
            <w:pPr>
              <w:pStyle w:val="nTable"/>
              <w:spacing w:after="40"/>
              <w:rPr>
                <w:ins w:id="1265" w:author="Master Repository Process" w:date="2021-07-31T18:45:00Z"/>
                <w:i/>
                <w:sz w:val="19"/>
              </w:rPr>
            </w:pPr>
            <w:ins w:id="1266" w:author="Master Repository Process" w:date="2021-07-31T18:45:00Z">
              <w:r>
                <w:rPr>
                  <w:i/>
                  <w:sz w:val="19"/>
                </w:rPr>
                <w:t>Conservation and Land Management Amendment Regulations (No. 2) 2010</w:t>
              </w:r>
            </w:ins>
          </w:p>
        </w:tc>
        <w:tc>
          <w:tcPr>
            <w:tcW w:w="1276" w:type="dxa"/>
            <w:tcBorders>
              <w:bottom w:val="single" w:sz="4" w:space="0" w:color="auto"/>
            </w:tcBorders>
          </w:tcPr>
          <w:p>
            <w:pPr>
              <w:pStyle w:val="nTable"/>
              <w:spacing w:after="40"/>
              <w:rPr>
                <w:ins w:id="1267" w:author="Master Repository Process" w:date="2021-07-31T18:45:00Z"/>
                <w:sz w:val="19"/>
              </w:rPr>
            </w:pPr>
            <w:ins w:id="1268" w:author="Master Repository Process" w:date="2021-07-31T18:45:00Z">
              <w:r>
                <w:rPr>
                  <w:sz w:val="19"/>
                </w:rPr>
                <w:t>3 Sep 2010 p. 4278</w:t>
              </w:r>
              <w:r>
                <w:rPr>
                  <w:sz w:val="19"/>
                </w:rPr>
                <w:noBreakHyphen/>
                <w:t>84</w:t>
              </w:r>
            </w:ins>
          </w:p>
        </w:tc>
        <w:tc>
          <w:tcPr>
            <w:tcW w:w="2693" w:type="dxa"/>
            <w:tcBorders>
              <w:bottom w:val="single" w:sz="4" w:space="0" w:color="auto"/>
            </w:tcBorders>
          </w:tcPr>
          <w:p>
            <w:pPr>
              <w:pStyle w:val="nTable"/>
              <w:spacing w:after="40"/>
              <w:rPr>
                <w:ins w:id="1269" w:author="Master Repository Process" w:date="2021-07-31T18:45:00Z"/>
                <w:sz w:val="19"/>
              </w:rPr>
            </w:pPr>
            <w:ins w:id="1270" w:author="Master Repository Process" w:date="2021-07-31T18:45:00Z">
              <w:r>
                <w:rPr>
                  <w:snapToGrid w:val="0"/>
                  <w:spacing w:val="-2"/>
                  <w:sz w:val="19"/>
                  <w:lang w:val="en-US"/>
                </w:rPr>
                <w:t>r. 1 and 2: 3 Sep 2010 (see r. 2(a));</w:t>
              </w:r>
              <w:r>
                <w:rPr>
                  <w:snapToGrid w:val="0"/>
                  <w:spacing w:val="-2"/>
                  <w:sz w:val="19"/>
                  <w:lang w:val="en-US"/>
                </w:rPr>
                <w:br/>
                <w:t xml:space="preserve">Regulations other than r. 1 and 2: 4 Sep 2010 (see r. 2(b) and </w:t>
              </w:r>
              <w:r>
                <w:rPr>
                  <w:i/>
                  <w:iCs/>
                  <w:snapToGrid w:val="0"/>
                  <w:spacing w:val="-2"/>
                  <w:sz w:val="19"/>
                  <w:lang w:val="en-US"/>
                </w:rPr>
                <w:t>Gazette</w:t>
              </w:r>
              <w:r>
                <w:rPr>
                  <w:snapToGrid w:val="0"/>
                  <w:spacing w:val="-2"/>
                  <w:sz w:val="19"/>
                  <w:lang w:val="en-US"/>
                </w:rPr>
                <w:t xml:space="preserve"> 3 Sep 2010 p. 4273)</w:t>
              </w:r>
            </w:ins>
          </w:p>
        </w:tc>
      </w:tr>
    </w:tbl>
    <w:p>
      <w:pPr>
        <w:pStyle w:val="nSubsection"/>
      </w:pPr>
      <w:r>
        <w:rPr>
          <w:vertAlign w:val="superscript"/>
        </w:rPr>
        <w:t>2</w:t>
      </w:r>
      <w:r>
        <w:tab/>
        <w:t>Repealed by these regulations r. 115.</w:t>
      </w:r>
    </w:p>
    <w:p>
      <w:pPr>
        <w:pStyle w:val="nSubsection"/>
        <w:rPr>
          <w:iCs/>
          <w:sz w:val="19"/>
        </w:rPr>
      </w:pPr>
      <w:r>
        <w:rPr>
          <w:vertAlign w:val="superscript"/>
        </w:rPr>
        <w:t>3</w:t>
      </w:r>
      <w:r>
        <w:tab/>
        <w:t xml:space="preserve">The </w:t>
      </w:r>
      <w:r>
        <w:rPr>
          <w:i/>
          <w:sz w:val="19"/>
        </w:rPr>
        <w:t>Financial Management (Transitional Provisions) Regulations 2009</w:t>
      </w:r>
      <w:r>
        <w:rPr>
          <w:iCs/>
          <w:sz w:val="19"/>
        </w:rPr>
        <w:t xml:space="preserve"> r. 4 reads as follows:</w:t>
      </w:r>
    </w:p>
    <w:p>
      <w:pPr>
        <w:pStyle w:val="MiscOpen"/>
      </w:pPr>
      <w:r>
        <w:t>“</w:t>
      </w:r>
    </w:p>
    <w:p>
      <w:pPr>
        <w:pStyle w:val="nzHeading5"/>
      </w:pPr>
      <w:r>
        <w:rPr>
          <w:rStyle w:val="CharSectno"/>
        </w:rPr>
        <w:t>4</w:t>
      </w:r>
      <w:r>
        <w:t>.</w:t>
      </w:r>
      <w:r>
        <w:tab/>
        <w:t>Transitional provision for Barrow Island Trust Account</w:t>
      </w:r>
    </w:p>
    <w:p>
      <w:pPr>
        <w:pStyle w:val="nzSubsection"/>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pPr>
      <w:r>
        <w:tab/>
        <w:t>(2)</w:t>
      </w:r>
      <w:r>
        <w:tab/>
        <w:t>Any money standing to the credit of the Barrow Island Trust Account immediately before the commencement of regulation 3 is to be transferred to the Barrow Island Net Conservation Benefit Account.</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FDFEB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5737"/>
    <w:docVar w:name="WAFER_20151208145737" w:val="RemoveTrackChanges"/>
    <w:docVar w:name="WAFER_20151208145737_GUID" w:val="4e760f79-0adf-4480-a231-c0e6e8f8dc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BD23AA-B926-423D-891D-041A0261E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19720</Words>
  <Characters>89928</Characters>
  <Application>Microsoft Office Word</Application>
  <DocSecurity>0</DocSecurity>
  <Lines>3100</Lines>
  <Paragraphs>2284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107364</CharactersWithSpaces>
  <SharedDoc>false</SharedDoc>
  <HLinks>
    <vt:vector size="6" baseType="variant">
      <vt:variant>
        <vt:i4>131075</vt:i4>
      </vt:variant>
      <vt:variant>
        <vt:i4>119079</vt:i4>
      </vt:variant>
      <vt:variant>
        <vt:i4>1025</vt:i4>
      </vt:variant>
      <vt:variant>
        <vt:i4>1</vt:i4>
      </vt:variant>
      <vt:variant>
        <vt:lpwstr>..\..\..\..\..\PCO Work\Apiary Site Permit (v6).tif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01-e0-03 - 01-f0-02</dc:title>
  <dc:subject/>
  <dc:creator/>
  <cp:keywords/>
  <dc:description/>
  <cp:lastModifiedBy>Master Repository Process</cp:lastModifiedBy>
  <cp:revision>2</cp:revision>
  <cp:lastPrinted>2006-11-16T01:33:00Z</cp:lastPrinted>
  <dcterms:created xsi:type="dcterms:W3CDTF">2021-07-31T10:45:00Z</dcterms:created>
  <dcterms:modified xsi:type="dcterms:W3CDTF">2021-07-31T10:45:00Z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20100904</vt:lpwstr>
  </property>
  <property fmtid="{D5CDD505-2E9C-101B-9397-08002B2CF9AE}" pid="4" name="DocumentType">
    <vt:lpwstr>Reg</vt:lpwstr>
  </property>
  <property fmtid="{D5CDD505-2E9C-101B-9397-08002B2CF9AE}" pid="5" name="OwlsUID">
    <vt:i4>609</vt:i4>
  </property>
  <property fmtid="{D5CDD505-2E9C-101B-9397-08002B2CF9AE}" pid="6" name="ReprintNo">
    <vt:lpwstr>1</vt:lpwstr>
  </property>
  <property fmtid="{D5CDD505-2E9C-101B-9397-08002B2CF9AE}" pid="7" name="FromSuffix">
    <vt:lpwstr>01-e0-03</vt:lpwstr>
  </property>
  <property fmtid="{D5CDD505-2E9C-101B-9397-08002B2CF9AE}" pid="8" name="FromAsAtDate">
    <vt:lpwstr>01 Sep 2009</vt:lpwstr>
  </property>
  <property fmtid="{D5CDD505-2E9C-101B-9397-08002B2CF9AE}" pid="9" name="ToSuffix">
    <vt:lpwstr>01-f0-02</vt:lpwstr>
  </property>
  <property fmtid="{D5CDD505-2E9C-101B-9397-08002B2CF9AE}" pid="10" name="ToAsAtDate">
    <vt:lpwstr>04 Sep 2010</vt:lpwstr>
  </property>
</Properties>
</file>