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Consumer Affairs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Consumer Affairs Act 1971 </w:t>
      </w:r>
    </w:p>
    <w:p>
      <w:pPr>
        <w:pStyle w:val="LongTitle"/>
        <w:rPr>
          <w:snapToGrid w:val="0"/>
        </w:rPr>
      </w:pPr>
      <w:r>
        <w:rPr>
          <w:snapToGrid w:val="0"/>
        </w:rPr>
        <w:t>A</w:t>
      </w:r>
      <w:bookmarkStart w:id="0" w:name="_GoBack"/>
      <w:bookmarkEnd w:id="0"/>
      <w:r>
        <w:rPr>
          <w:snapToGrid w:val="0"/>
        </w:rPr>
        <w:t xml:space="preserve">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bookmarkStart w:id="3" w:name="_Toc211395368"/>
      <w:bookmarkStart w:id="4" w:name="_Toc211395673"/>
      <w:bookmarkStart w:id="5" w:name="_Toc211830735"/>
      <w:bookmarkStart w:id="6" w:name="_Toc212861667"/>
      <w:bookmarkStart w:id="7" w:name="_Toc213037525"/>
      <w:bookmarkStart w:id="8" w:name="_Toc213037623"/>
      <w:bookmarkStart w:id="9" w:name="_Toc223842351"/>
      <w:bookmarkStart w:id="10" w:name="_Toc268258048"/>
      <w:bookmarkStart w:id="11" w:name="_Toc268258104"/>
      <w:bookmarkStart w:id="12" w:name="_Toc27205001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272050018"/>
      <w:bookmarkStart w:id="14" w:name="_Toc223842352"/>
      <w:r>
        <w:rPr>
          <w:rStyle w:val="CharSectno"/>
        </w:rPr>
        <w:t>1</w:t>
      </w:r>
      <w:r>
        <w:rPr>
          <w:snapToGrid w:val="0"/>
        </w:rPr>
        <w:t>.</w:t>
      </w:r>
      <w:r>
        <w:rPr>
          <w:snapToGrid w:val="0"/>
        </w:rPr>
        <w:tab/>
        <w:t>Short title</w:t>
      </w:r>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5" w:name="_Toc272050019"/>
      <w:bookmarkStart w:id="16" w:name="_Toc223842353"/>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t xml:space="preserve">Deleted by No. 110 of 1981 s. 4.] </w:t>
      </w:r>
    </w:p>
    <w:p>
      <w:pPr>
        <w:pStyle w:val="Heading5"/>
        <w:spacing w:before="180"/>
        <w:rPr>
          <w:snapToGrid w:val="0"/>
        </w:rPr>
      </w:pPr>
      <w:bookmarkStart w:id="17" w:name="_Toc272050020"/>
      <w:bookmarkStart w:id="18" w:name="_Toc223842354"/>
      <w:r>
        <w:rPr>
          <w:rStyle w:val="CharSectno"/>
        </w:rPr>
        <w:t>4</w:t>
      </w:r>
      <w:r>
        <w:rPr>
          <w:snapToGrid w:val="0"/>
        </w:rPr>
        <w:t>.</w:t>
      </w:r>
      <w:r>
        <w:rPr>
          <w:snapToGrid w:val="0"/>
        </w:rPr>
        <w:tab/>
        <w:t>Terms used in this Act</w:t>
      </w:r>
      <w:bookmarkEnd w:id="17"/>
      <w:bookmarkEnd w:id="18"/>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19" w:name="_Toc272050021"/>
      <w:bookmarkStart w:id="20" w:name="_Toc223842355"/>
      <w:r>
        <w:rPr>
          <w:rStyle w:val="CharSectno"/>
        </w:rPr>
        <w:t>5</w:t>
      </w:r>
      <w:r>
        <w:rPr>
          <w:snapToGrid w:val="0"/>
        </w:rPr>
        <w:t>.</w:t>
      </w:r>
      <w:r>
        <w:rPr>
          <w:snapToGrid w:val="0"/>
        </w:rPr>
        <w:tab/>
        <w:t>Construction of Act</w:t>
      </w:r>
      <w:bookmarkEnd w:id="19"/>
      <w:bookmarkEnd w:id="20"/>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21" w:name="_Toc192040880"/>
      <w:bookmarkStart w:id="22" w:name="_Toc199752735"/>
      <w:bookmarkStart w:id="23" w:name="_Toc211395373"/>
      <w:bookmarkStart w:id="24" w:name="_Toc211395678"/>
      <w:bookmarkStart w:id="25" w:name="_Toc211830740"/>
      <w:bookmarkStart w:id="26" w:name="_Toc212861672"/>
      <w:bookmarkStart w:id="27" w:name="_Toc213037530"/>
      <w:bookmarkStart w:id="28" w:name="_Toc213037628"/>
      <w:bookmarkStart w:id="29" w:name="_Toc223842356"/>
      <w:bookmarkStart w:id="30" w:name="_Toc268258053"/>
      <w:bookmarkStart w:id="31" w:name="_Toc268258109"/>
      <w:bookmarkStart w:id="32" w:name="_Toc272050022"/>
      <w:r>
        <w:rPr>
          <w:rStyle w:val="CharPartNo"/>
        </w:rPr>
        <w:t>Part III</w:t>
      </w:r>
      <w:r>
        <w:rPr>
          <w:rStyle w:val="CharDivNo"/>
        </w:rPr>
        <w:t> </w:t>
      </w:r>
      <w:r>
        <w:t>—</w:t>
      </w:r>
      <w:r>
        <w:rPr>
          <w:rStyle w:val="CharDivText"/>
        </w:rPr>
        <w:t> </w:t>
      </w:r>
      <w:r>
        <w:rPr>
          <w:rStyle w:val="CharPartText"/>
        </w:rPr>
        <w:t>Administrative provisions</w:t>
      </w:r>
      <w:bookmarkEnd w:id="21"/>
      <w:bookmarkEnd w:id="22"/>
      <w:bookmarkEnd w:id="23"/>
      <w:bookmarkEnd w:id="24"/>
      <w:bookmarkEnd w:id="25"/>
      <w:bookmarkEnd w:id="26"/>
      <w:bookmarkEnd w:id="27"/>
      <w:bookmarkEnd w:id="28"/>
      <w:bookmarkEnd w:id="29"/>
      <w:bookmarkEnd w:id="30"/>
      <w:bookmarkEnd w:id="31"/>
      <w:bookmarkEnd w:id="32"/>
    </w:p>
    <w:p>
      <w:pPr>
        <w:pStyle w:val="Footnoteheading"/>
      </w:pPr>
      <w:r>
        <w:tab/>
        <w:t>[Heading inserted by No. 28 of 2006 s. 74.]</w:t>
      </w:r>
    </w:p>
    <w:p>
      <w:pPr>
        <w:pStyle w:val="Heading5"/>
      </w:pPr>
      <w:bookmarkStart w:id="33" w:name="_Toc272050023"/>
      <w:bookmarkStart w:id="34" w:name="_Toc223842357"/>
      <w:r>
        <w:rPr>
          <w:rStyle w:val="CharSectno"/>
        </w:rPr>
        <w:t>15</w:t>
      </w:r>
      <w:r>
        <w:t>.</w:t>
      </w:r>
      <w:r>
        <w:tab/>
        <w:t>Commissioner</w:t>
      </w:r>
      <w:bookmarkEnd w:id="33"/>
      <w:bookmarkEnd w:id="3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35" w:name="_Toc272050024"/>
      <w:bookmarkStart w:id="36" w:name="_Toc223842358"/>
      <w:r>
        <w:rPr>
          <w:rStyle w:val="CharSectno"/>
        </w:rPr>
        <w:t>16</w:t>
      </w:r>
      <w:r>
        <w:t>.</w:t>
      </w:r>
      <w:r>
        <w:tab/>
        <w:t>Functions of the Commissioner</w:t>
      </w:r>
      <w:bookmarkEnd w:id="35"/>
      <w:bookmarkEnd w:id="36"/>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37" w:name="_Toc272050025"/>
      <w:bookmarkStart w:id="38" w:name="_Toc223842359"/>
      <w:r>
        <w:rPr>
          <w:rStyle w:val="CharSectno"/>
        </w:rPr>
        <w:t>17</w:t>
      </w:r>
      <w:r>
        <w:t>.</w:t>
      </w:r>
      <w:r>
        <w:tab/>
        <w:t>Power of Commissioner to publish warnings about unsatisfactory or dangerous goods and services etc.</w:t>
      </w:r>
      <w:bookmarkEnd w:id="37"/>
      <w:bookmarkEnd w:id="38"/>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39" w:name="_Toc272050026"/>
      <w:bookmarkStart w:id="40" w:name="_Toc223842360"/>
      <w:r>
        <w:rPr>
          <w:rStyle w:val="CharSectno"/>
        </w:rPr>
        <w:t>18</w:t>
      </w:r>
      <w:r>
        <w:rPr>
          <w:snapToGrid w:val="0"/>
        </w:rPr>
        <w:t>.</w:t>
      </w:r>
      <w:r>
        <w:rPr>
          <w:snapToGrid w:val="0"/>
        </w:rPr>
        <w:tab/>
        <w:t>Power of Commissioner to institute or defend legal proceedings on behalf of consumers</w:t>
      </w:r>
      <w:bookmarkEnd w:id="39"/>
      <w:bookmarkEnd w:id="40"/>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41" w:name="_Toc272050027"/>
      <w:bookmarkStart w:id="42" w:name="_Toc223842361"/>
      <w:r>
        <w:rPr>
          <w:rStyle w:val="CharSectno"/>
        </w:rPr>
        <w:t>19</w:t>
      </w:r>
      <w:r>
        <w:rPr>
          <w:snapToGrid w:val="0"/>
        </w:rPr>
        <w:t>.</w:t>
      </w:r>
      <w:r>
        <w:rPr>
          <w:snapToGrid w:val="0"/>
        </w:rPr>
        <w:tab/>
        <w:t>Power of Commissioner to investigate, inquire and obtain information</w:t>
      </w:r>
      <w:bookmarkEnd w:id="41"/>
      <w:bookmarkEnd w:id="42"/>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43" w:name="_Toc272050028"/>
      <w:bookmarkStart w:id="44" w:name="_Toc223842362"/>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43"/>
      <w:bookmarkEnd w:id="44"/>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45" w:name="_Toc272050029"/>
      <w:bookmarkStart w:id="46" w:name="_Toc223842363"/>
      <w:r>
        <w:rPr>
          <w:rStyle w:val="CharSectno"/>
        </w:rPr>
        <w:t>21</w:t>
      </w:r>
      <w:r>
        <w:rPr>
          <w:snapToGrid w:val="0"/>
        </w:rPr>
        <w:t>.</w:t>
      </w:r>
      <w:r>
        <w:rPr>
          <w:snapToGrid w:val="0"/>
        </w:rPr>
        <w:tab/>
        <w:t>Failure to supply information</w:t>
      </w:r>
      <w:bookmarkEnd w:id="45"/>
      <w:bookmarkEnd w:id="46"/>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47" w:name="_Toc272050030"/>
      <w:bookmarkStart w:id="48" w:name="_Toc223842364"/>
      <w:r>
        <w:rPr>
          <w:rStyle w:val="CharSectno"/>
        </w:rPr>
        <w:t>22</w:t>
      </w:r>
      <w:r>
        <w:rPr>
          <w:snapToGrid w:val="0"/>
        </w:rPr>
        <w:t>.</w:t>
      </w:r>
      <w:r>
        <w:rPr>
          <w:snapToGrid w:val="0"/>
        </w:rPr>
        <w:tab/>
        <w:t>Obstructing Commissioner</w:t>
      </w:r>
      <w:bookmarkEnd w:id="47"/>
      <w:bookmarkEnd w:id="48"/>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49" w:name="_Toc272050031"/>
      <w:bookmarkStart w:id="50" w:name="_Toc223842365"/>
      <w:r>
        <w:rPr>
          <w:rStyle w:val="CharSectno"/>
        </w:rPr>
        <w:t>23</w:t>
      </w:r>
      <w:r>
        <w:t>.</w:t>
      </w:r>
      <w:r>
        <w:tab/>
        <w:t>Delegation by Commissioner</w:t>
      </w:r>
      <w:bookmarkEnd w:id="49"/>
      <w:bookmarkEnd w:id="50"/>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51" w:name="_Toc272050032"/>
      <w:bookmarkStart w:id="52" w:name="_Toc223842366"/>
      <w:r>
        <w:rPr>
          <w:rStyle w:val="CharSectno"/>
        </w:rPr>
        <w:t>23A</w:t>
      </w:r>
      <w:r>
        <w:rPr>
          <w:snapToGrid w:val="0"/>
        </w:rPr>
        <w:t>.</w:t>
      </w:r>
      <w:r>
        <w:rPr>
          <w:snapToGrid w:val="0"/>
        </w:rPr>
        <w:tab/>
        <w:t>Judicial notice</w:t>
      </w:r>
      <w:bookmarkEnd w:id="51"/>
      <w:bookmarkEnd w:id="5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53" w:name="_Toc192040891"/>
      <w:bookmarkStart w:id="54" w:name="_Toc199752746"/>
      <w:bookmarkStart w:id="55" w:name="_Toc211395384"/>
      <w:bookmarkStart w:id="56" w:name="_Toc211395689"/>
      <w:bookmarkStart w:id="57" w:name="_Toc211830751"/>
      <w:bookmarkStart w:id="58" w:name="_Toc212861683"/>
      <w:bookmarkStart w:id="59" w:name="_Toc213037541"/>
      <w:bookmarkStart w:id="60" w:name="_Toc213037639"/>
      <w:bookmarkStart w:id="61" w:name="_Toc223842367"/>
      <w:bookmarkStart w:id="62" w:name="_Toc268258064"/>
      <w:bookmarkStart w:id="63" w:name="_Toc268258120"/>
      <w:bookmarkStart w:id="64" w:name="_Toc272050033"/>
      <w:r>
        <w:rPr>
          <w:rStyle w:val="CharPartNo"/>
        </w:rPr>
        <w:t>Part IIIA</w:t>
      </w:r>
      <w:r>
        <w:t> — </w:t>
      </w:r>
      <w:r>
        <w:rPr>
          <w:rStyle w:val="CharPartText"/>
        </w:rPr>
        <w:t>Consumer Products Safety Committee</w:t>
      </w:r>
      <w:bookmarkEnd w:id="53"/>
      <w:bookmarkEnd w:id="54"/>
      <w:bookmarkEnd w:id="55"/>
      <w:bookmarkEnd w:id="56"/>
      <w:bookmarkEnd w:id="57"/>
      <w:bookmarkEnd w:id="58"/>
      <w:bookmarkEnd w:id="59"/>
      <w:bookmarkEnd w:id="60"/>
      <w:bookmarkEnd w:id="61"/>
      <w:bookmarkEnd w:id="62"/>
      <w:bookmarkEnd w:id="63"/>
      <w:bookmarkEnd w:id="64"/>
    </w:p>
    <w:p>
      <w:pPr>
        <w:pStyle w:val="Footnoteheading"/>
        <w:ind w:left="890"/>
        <w:rPr>
          <w:snapToGrid w:val="0"/>
        </w:rPr>
      </w:pPr>
      <w:r>
        <w:rPr>
          <w:snapToGrid w:val="0"/>
        </w:rPr>
        <w:tab/>
        <w:t xml:space="preserve">[Heading inserted by No. 90 of 1978 s. 7.] </w:t>
      </w:r>
    </w:p>
    <w:p>
      <w:pPr>
        <w:pStyle w:val="Heading3"/>
        <w:rPr>
          <w:snapToGrid w:val="0"/>
        </w:rPr>
      </w:pPr>
      <w:bookmarkStart w:id="65" w:name="_Toc192040892"/>
      <w:bookmarkStart w:id="66" w:name="_Toc199752747"/>
      <w:bookmarkStart w:id="67" w:name="_Toc211395385"/>
      <w:bookmarkStart w:id="68" w:name="_Toc211395690"/>
      <w:bookmarkStart w:id="69" w:name="_Toc211830752"/>
      <w:bookmarkStart w:id="70" w:name="_Toc212861684"/>
      <w:bookmarkStart w:id="71" w:name="_Toc213037542"/>
      <w:bookmarkStart w:id="72" w:name="_Toc213037640"/>
      <w:bookmarkStart w:id="73" w:name="_Toc223842368"/>
      <w:bookmarkStart w:id="74" w:name="_Toc268258065"/>
      <w:bookmarkStart w:id="75" w:name="_Toc268258121"/>
      <w:bookmarkStart w:id="76" w:name="_Toc272050034"/>
      <w:r>
        <w:rPr>
          <w:rStyle w:val="CharDivNo"/>
        </w:rPr>
        <w:t>Division 1</w:t>
      </w:r>
      <w:r>
        <w:rPr>
          <w:snapToGrid w:val="0"/>
        </w:rPr>
        <w:t> — </w:t>
      </w:r>
      <w:r>
        <w:rPr>
          <w:rStyle w:val="CharDivText"/>
        </w:rPr>
        <w:t>Preliminary</w:t>
      </w:r>
      <w:bookmarkEnd w:id="65"/>
      <w:bookmarkEnd w:id="66"/>
      <w:bookmarkEnd w:id="67"/>
      <w:bookmarkEnd w:id="68"/>
      <w:bookmarkEnd w:id="69"/>
      <w:bookmarkEnd w:id="70"/>
      <w:bookmarkEnd w:id="71"/>
      <w:bookmarkEnd w:id="72"/>
      <w:bookmarkEnd w:id="73"/>
      <w:bookmarkEnd w:id="74"/>
      <w:bookmarkEnd w:id="75"/>
      <w:bookmarkEnd w:id="7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77" w:name="_Toc272050035"/>
      <w:bookmarkStart w:id="78" w:name="_Toc223842369"/>
      <w:r>
        <w:rPr>
          <w:rStyle w:val="CharSectno"/>
        </w:rPr>
        <w:t>23B</w:t>
      </w:r>
      <w:r>
        <w:rPr>
          <w:snapToGrid w:val="0"/>
        </w:rPr>
        <w:t>.</w:t>
      </w:r>
      <w:r>
        <w:rPr>
          <w:snapToGrid w:val="0"/>
        </w:rPr>
        <w:tab/>
        <w:t>Terms used in this Part</w:t>
      </w:r>
      <w:bookmarkEnd w:id="77"/>
      <w:bookmarkEnd w:id="78"/>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79" w:name="_Toc272050036"/>
      <w:bookmarkStart w:id="80" w:name="_Toc223842370"/>
      <w:r>
        <w:rPr>
          <w:rStyle w:val="CharSectno"/>
        </w:rPr>
        <w:t>23C</w:t>
      </w:r>
      <w:r>
        <w:rPr>
          <w:snapToGrid w:val="0"/>
        </w:rPr>
        <w:t>.</w:t>
      </w:r>
      <w:r>
        <w:rPr>
          <w:snapToGrid w:val="0"/>
        </w:rPr>
        <w:tab/>
        <w:t>Application</w:t>
      </w:r>
      <w:bookmarkEnd w:id="79"/>
      <w:bookmarkEnd w:id="80"/>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81" w:name="_Toc272050037"/>
      <w:bookmarkStart w:id="82" w:name="_Toc223842371"/>
      <w:r>
        <w:rPr>
          <w:rStyle w:val="CharSectno"/>
        </w:rPr>
        <w:t>23D</w:t>
      </w:r>
      <w:r>
        <w:rPr>
          <w:snapToGrid w:val="0"/>
        </w:rPr>
        <w:t>.</w:t>
      </w:r>
      <w:r>
        <w:rPr>
          <w:snapToGrid w:val="0"/>
        </w:rPr>
        <w:tab/>
        <w:t>Schedule may be amended by regulations</w:t>
      </w:r>
      <w:bookmarkEnd w:id="81"/>
      <w:bookmarkEnd w:id="82"/>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83" w:name="_Toc192040896"/>
      <w:bookmarkStart w:id="84" w:name="_Toc199752751"/>
      <w:bookmarkStart w:id="85" w:name="_Toc211395389"/>
      <w:bookmarkStart w:id="86" w:name="_Toc211395694"/>
      <w:bookmarkStart w:id="87" w:name="_Toc211830756"/>
      <w:bookmarkStart w:id="88" w:name="_Toc212861688"/>
      <w:bookmarkStart w:id="89" w:name="_Toc213037546"/>
      <w:bookmarkStart w:id="90" w:name="_Toc213037644"/>
      <w:bookmarkStart w:id="91" w:name="_Toc223842372"/>
      <w:bookmarkStart w:id="92" w:name="_Toc268258069"/>
      <w:bookmarkStart w:id="93" w:name="_Toc268258125"/>
      <w:bookmarkStart w:id="94" w:name="_Toc272050038"/>
      <w:r>
        <w:rPr>
          <w:rStyle w:val="CharDivNo"/>
        </w:rPr>
        <w:t>Division 2</w:t>
      </w:r>
      <w:r>
        <w:rPr>
          <w:snapToGrid w:val="0"/>
        </w:rPr>
        <w:t> — </w:t>
      </w:r>
      <w:r>
        <w:rPr>
          <w:rStyle w:val="CharDivText"/>
        </w:rPr>
        <w:t>Prohibition or restriction on supply of dangerous goods to consumers</w:t>
      </w:r>
      <w:bookmarkEnd w:id="83"/>
      <w:bookmarkEnd w:id="84"/>
      <w:bookmarkEnd w:id="85"/>
      <w:bookmarkEnd w:id="86"/>
      <w:bookmarkEnd w:id="87"/>
      <w:bookmarkEnd w:id="88"/>
      <w:bookmarkEnd w:id="89"/>
      <w:bookmarkEnd w:id="90"/>
      <w:bookmarkEnd w:id="91"/>
      <w:bookmarkEnd w:id="92"/>
      <w:bookmarkEnd w:id="93"/>
      <w:bookmarkEnd w:id="94"/>
    </w:p>
    <w:p>
      <w:pPr>
        <w:pStyle w:val="Footnoteheading"/>
        <w:ind w:left="890"/>
      </w:pPr>
      <w:r>
        <w:rPr>
          <w:snapToGrid w:val="0"/>
        </w:rPr>
        <w:tab/>
        <w:t>[Heading inserted by No. 90 of 1978 s. 7.]</w:t>
      </w:r>
    </w:p>
    <w:p>
      <w:pPr>
        <w:pStyle w:val="Heading5"/>
        <w:rPr>
          <w:snapToGrid w:val="0"/>
        </w:rPr>
      </w:pPr>
      <w:bookmarkStart w:id="95" w:name="_Toc272050039"/>
      <w:bookmarkStart w:id="96" w:name="_Toc223842373"/>
      <w:r>
        <w:rPr>
          <w:rStyle w:val="CharSectno"/>
        </w:rPr>
        <w:t>23E</w:t>
      </w:r>
      <w:r>
        <w:rPr>
          <w:snapToGrid w:val="0"/>
        </w:rPr>
        <w:t>.</w:t>
      </w:r>
      <w:r>
        <w:rPr>
          <w:snapToGrid w:val="0"/>
        </w:rPr>
        <w:tab/>
        <w:t>Consumer Products Safety Committee</w:t>
      </w:r>
      <w:bookmarkEnd w:id="95"/>
      <w:bookmarkEnd w:id="96"/>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97" w:name="_Toc272050040"/>
      <w:bookmarkStart w:id="98" w:name="_Toc223842374"/>
      <w:r>
        <w:rPr>
          <w:rStyle w:val="CharSectno"/>
        </w:rPr>
        <w:t>23F</w:t>
      </w:r>
      <w:r>
        <w:rPr>
          <w:snapToGrid w:val="0"/>
        </w:rPr>
        <w:t>.</w:t>
      </w:r>
      <w:r>
        <w:rPr>
          <w:snapToGrid w:val="0"/>
        </w:rPr>
        <w:tab/>
        <w:t>Committee may seek advice</w:t>
      </w:r>
      <w:bookmarkEnd w:id="97"/>
      <w:bookmarkEnd w:id="98"/>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99" w:name="_Toc272050041"/>
      <w:bookmarkStart w:id="100" w:name="_Toc223842375"/>
      <w:r>
        <w:rPr>
          <w:rStyle w:val="CharSectno"/>
        </w:rPr>
        <w:t>23G</w:t>
      </w:r>
      <w:r>
        <w:rPr>
          <w:snapToGrid w:val="0"/>
        </w:rPr>
        <w:t>.</w:t>
      </w:r>
      <w:r>
        <w:rPr>
          <w:snapToGrid w:val="0"/>
        </w:rPr>
        <w:tab/>
        <w:t>Appointment and term of office of members</w:t>
      </w:r>
      <w:bookmarkEnd w:id="99"/>
      <w:bookmarkEnd w:id="100"/>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01" w:name="_Toc272050042"/>
      <w:bookmarkStart w:id="102" w:name="_Toc223842376"/>
      <w:r>
        <w:rPr>
          <w:rStyle w:val="CharSectno"/>
        </w:rPr>
        <w:t>23H</w:t>
      </w:r>
      <w:r>
        <w:rPr>
          <w:snapToGrid w:val="0"/>
        </w:rPr>
        <w:t>.</w:t>
      </w:r>
      <w:r>
        <w:rPr>
          <w:snapToGrid w:val="0"/>
        </w:rPr>
        <w:tab/>
        <w:t>Minister may remove members</w:t>
      </w:r>
      <w:bookmarkEnd w:id="101"/>
      <w:bookmarkEnd w:id="10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03" w:name="_Toc272050043"/>
      <w:bookmarkStart w:id="104" w:name="_Toc223842377"/>
      <w:r>
        <w:rPr>
          <w:rStyle w:val="CharSectno"/>
        </w:rPr>
        <w:t>23I</w:t>
      </w:r>
      <w:r>
        <w:rPr>
          <w:snapToGrid w:val="0"/>
        </w:rPr>
        <w:t>.</w:t>
      </w:r>
      <w:r>
        <w:rPr>
          <w:snapToGrid w:val="0"/>
        </w:rPr>
        <w:tab/>
        <w:t>Deputies</w:t>
      </w:r>
      <w:bookmarkEnd w:id="103"/>
      <w:bookmarkEnd w:id="104"/>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05" w:name="_Toc272050044"/>
      <w:bookmarkStart w:id="106" w:name="_Toc223842378"/>
      <w:r>
        <w:rPr>
          <w:rStyle w:val="CharSectno"/>
        </w:rPr>
        <w:t>23J</w:t>
      </w:r>
      <w:r>
        <w:rPr>
          <w:snapToGrid w:val="0"/>
        </w:rPr>
        <w:t>.</w:t>
      </w:r>
      <w:r>
        <w:rPr>
          <w:snapToGrid w:val="0"/>
        </w:rPr>
        <w:tab/>
        <w:t>Decisions of the Committee</w:t>
      </w:r>
      <w:bookmarkEnd w:id="105"/>
      <w:bookmarkEnd w:id="106"/>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07" w:name="_Toc272050045"/>
      <w:bookmarkStart w:id="108" w:name="_Toc223842379"/>
      <w:r>
        <w:rPr>
          <w:rStyle w:val="CharSectno"/>
        </w:rPr>
        <w:t>23K</w:t>
      </w:r>
      <w:r>
        <w:rPr>
          <w:snapToGrid w:val="0"/>
        </w:rPr>
        <w:t>.</w:t>
      </w:r>
      <w:r>
        <w:rPr>
          <w:snapToGrid w:val="0"/>
        </w:rPr>
        <w:tab/>
        <w:t>Remuneration</w:t>
      </w:r>
      <w:bookmarkEnd w:id="107"/>
      <w:bookmarkEnd w:id="108"/>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09" w:name="_Toc272050046"/>
      <w:bookmarkStart w:id="110" w:name="_Toc223842380"/>
      <w:r>
        <w:rPr>
          <w:rStyle w:val="CharSectno"/>
        </w:rPr>
        <w:t>23L</w:t>
      </w:r>
      <w:r>
        <w:rPr>
          <w:snapToGrid w:val="0"/>
        </w:rPr>
        <w:t>.</w:t>
      </w:r>
      <w:r>
        <w:rPr>
          <w:snapToGrid w:val="0"/>
        </w:rPr>
        <w:tab/>
        <w:t>References of questions to the Committee</w:t>
      </w:r>
      <w:bookmarkEnd w:id="109"/>
      <w:bookmarkEnd w:id="110"/>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11" w:name="_Toc272050047"/>
      <w:bookmarkStart w:id="112" w:name="_Toc223842381"/>
      <w:r>
        <w:rPr>
          <w:rStyle w:val="CharSectno"/>
        </w:rPr>
        <w:t>23M</w:t>
      </w:r>
      <w:r>
        <w:rPr>
          <w:snapToGrid w:val="0"/>
        </w:rPr>
        <w:t>.</w:t>
      </w:r>
      <w:r>
        <w:rPr>
          <w:snapToGrid w:val="0"/>
        </w:rPr>
        <w:tab/>
        <w:t>Committee to report to Commissioner</w:t>
      </w:r>
      <w:bookmarkEnd w:id="111"/>
      <w:bookmarkEnd w:id="112"/>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13" w:name="_Toc272050048"/>
      <w:bookmarkStart w:id="114" w:name="_Toc223842382"/>
      <w:r>
        <w:rPr>
          <w:rStyle w:val="CharSectno"/>
        </w:rPr>
        <w:t>23N</w:t>
      </w:r>
      <w:r>
        <w:rPr>
          <w:snapToGrid w:val="0"/>
        </w:rPr>
        <w:t>.</w:t>
      </w:r>
      <w:r>
        <w:rPr>
          <w:snapToGrid w:val="0"/>
        </w:rPr>
        <w:tab/>
        <w:t>Commissioner to assist investigations</w:t>
      </w:r>
      <w:bookmarkEnd w:id="113"/>
      <w:bookmarkEnd w:id="114"/>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115" w:name="_Toc272050049"/>
      <w:bookmarkStart w:id="116" w:name="_Toc223842383"/>
      <w:r>
        <w:rPr>
          <w:rStyle w:val="CharSectno"/>
        </w:rPr>
        <w:t>23O</w:t>
      </w:r>
      <w:r>
        <w:rPr>
          <w:snapToGrid w:val="0"/>
        </w:rPr>
        <w:t>.</w:t>
      </w:r>
      <w:r>
        <w:rPr>
          <w:snapToGrid w:val="0"/>
        </w:rPr>
        <w:tab/>
        <w:t>Powers of Committee in investigating referred questions</w:t>
      </w:r>
      <w:bookmarkEnd w:id="115"/>
      <w:bookmarkEnd w:id="116"/>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117" w:name="_Toc272050050"/>
      <w:bookmarkStart w:id="118" w:name="_Toc223842384"/>
      <w:r>
        <w:rPr>
          <w:rStyle w:val="CharSectno"/>
        </w:rPr>
        <w:t>23P</w:t>
      </w:r>
      <w:r>
        <w:rPr>
          <w:snapToGrid w:val="0"/>
        </w:rPr>
        <w:t>.</w:t>
      </w:r>
      <w:r>
        <w:rPr>
          <w:snapToGrid w:val="0"/>
        </w:rPr>
        <w:tab/>
        <w:t>Attendance of witnesses and production of documents</w:t>
      </w:r>
      <w:bookmarkEnd w:id="117"/>
      <w:bookmarkEnd w:id="118"/>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19" w:name="_Toc272050051"/>
      <w:bookmarkStart w:id="120" w:name="_Toc223842385"/>
      <w:r>
        <w:rPr>
          <w:rStyle w:val="CharSectno"/>
        </w:rPr>
        <w:t>23Q</w:t>
      </w:r>
      <w:r>
        <w:rPr>
          <w:snapToGrid w:val="0"/>
        </w:rPr>
        <w:t>.</w:t>
      </w:r>
      <w:r>
        <w:rPr>
          <w:snapToGrid w:val="0"/>
        </w:rPr>
        <w:tab/>
        <w:t>Interim orders</w:t>
      </w:r>
      <w:bookmarkEnd w:id="119"/>
      <w:bookmarkEnd w:id="120"/>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121" w:name="_Toc272050052"/>
      <w:bookmarkStart w:id="122" w:name="_Toc223842386"/>
      <w:r>
        <w:rPr>
          <w:rStyle w:val="CharSectno"/>
        </w:rPr>
        <w:t>23R</w:t>
      </w:r>
      <w:r>
        <w:rPr>
          <w:snapToGrid w:val="0"/>
        </w:rPr>
        <w:t>.</w:t>
      </w:r>
      <w:r>
        <w:rPr>
          <w:snapToGrid w:val="0"/>
        </w:rPr>
        <w:tab/>
        <w:t>Commissioner may make orders prohibiting or restricting supply of goods</w:t>
      </w:r>
      <w:bookmarkEnd w:id="121"/>
      <w:bookmarkEnd w:id="122"/>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123" w:name="_Toc272050053"/>
      <w:bookmarkStart w:id="124" w:name="_Toc223842387"/>
      <w:r>
        <w:rPr>
          <w:rStyle w:val="CharSectno"/>
        </w:rPr>
        <w:t>23S</w:t>
      </w:r>
      <w:r>
        <w:rPr>
          <w:snapToGrid w:val="0"/>
        </w:rPr>
        <w:t>.</w:t>
      </w:r>
      <w:r>
        <w:rPr>
          <w:snapToGrid w:val="0"/>
        </w:rPr>
        <w:tab/>
        <w:t>Offences</w:t>
      </w:r>
      <w:bookmarkEnd w:id="123"/>
      <w:bookmarkEnd w:id="124"/>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25" w:name="_Toc272050054"/>
      <w:bookmarkStart w:id="126" w:name="_Toc223842388"/>
      <w:r>
        <w:rPr>
          <w:rStyle w:val="CharSectno"/>
        </w:rPr>
        <w:t>23T</w:t>
      </w:r>
      <w:r>
        <w:rPr>
          <w:snapToGrid w:val="0"/>
        </w:rPr>
        <w:t>.</w:t>
      </w:r>
      <w:r>
        <w:rPr>
          <w:snapToGrid w:val="0"/>
        </w:rPr>
        <w:tab/>
        <w:t>Action for breach of statutory duty</w:t>
      </w:r>
      <w:bookmarkEnd w:id="125"/>
      <w:bookmarkEnd w:id="126"/>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27" w:name="_Toc192040913"/>
      <w:bookmarkStart w:id="128" w:name="_Toc199752768"/>
      <w:bookmarkStart w:id="129" w:name="_Toc211395406"/>
      <w:bookmarkStart w:id="130" w:name="_Toc211395711"/>
      <w:bookmarkStart w:id="131" w:name="_Toc211830773"/>
      <w:bookmarkStart w:id="132" w:name="_Toc212861705"/>
      <w:bookmarkStart w:id="133" w:name="_Toc213037563"/>
      <w:bookmarkStart w:id="134" w:name="_Toc213037661"/>
      <w:bookmarkStart w:id="135" w:name="_Toc223842389"/>
      <w:bookmarkStart w:id="136" w:name="_Toc268258086"/>
      <w:bookmarkStart w:id="137" w:name="_Toc268258142"/>
      <w:bookmarkStart w:id="138" w:name="_Toc272050055"/>
      <w:r>
        <w:rPr>
          <w:rStyle w:val="CharDivNo"/>
        </w:rPr>
        <w:t>Division 3</w:t>
      </w:r>
      <w:r>
        <w:rPr>
          <w:snapToGrid w:val="0"/>
        </w:rPr>
        <w:t> — </w:t>
      </w:r>
      <w:r>
        <w:rPr>
          <w:rStyle w:val="CharDivText"/>
        </w:rPr>
        <w:t>Imposition of safety requirements by regulation</w:t>
      </w:r>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39" w:name="_Toc272050056"/>
      <w:bookmarkStart w:id="140" w:name="_Toc223842390"/>
      <w:r>
        <w:rPr>
          <w:rStyle w:val="CharSectno"/>
        </w:rPr>
        <w:t>23U</w:t>
      </w:r>
      <w:r>
        <w:rPr>
          <w:snapToGrid w:val="0"/>
        </w:rPr>
        <w:t>.</w:t>
      </w:r>
      <w:r>
        <w:rPr>
          <w:snapToGrid w:val="0"/>
        </w:rPr>
        <w:tab/>
        <w:t>Regulations for safety requirements</w:t>
      </w:r>
      <w:bookmarkEnd w:id="139"/>
      <w:bookmarkEnd w:id="140"/>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41" w:name="_Toc272050057"/>
      <w:bookmarkStart w:id="142" w:name="_Toc223842391"/>
      <w:r>
        <w:rPr>
          <w:rStyle w:val="CharSectno"/>
        </w:rPr>
        <w:t>23V</w:t>
      </w:r>
      <w:r>
        <w:rPr>
          <w:snapToGrid w:val="0"/>
        </w:rPr>
        <w:t>.</w:t>
      </w:r>
      <w:r>
        <w:rPr>
          <w:snapToGrid w:val="0"/>
        </w:rPr>
        <w:tab/>
        <w:t>Prohibition on supply of goods not complying with regulations</w:t>
      </w:r>
      <w:bookmarkEnd w:id="141"/>
      <w:bookmarkEnd w:id="142"/>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43" w:name="_Toc272050058"/>
      <w:bookmarkStart w:id="144" w:name="_Toc223842392"/>
      <w:r>
        <w:rPr>
          <w:rStyle w:val="CharSectno"/>
        </w:rPr>
        <w:t>23W</w:t>
      </w:r>
      <w:r>
        <w:rPr>
          <w:snapToGrid w:val="0"/>
        </w:rPr>
        <w:t>.</w:t>
      </w:r>
      <w:r>
        <w:rPr>
          <w:snapToGrid w:val="0"/>
        </w:rPr>
        <w:tab/>
        <w:t>Breach of duty actionable</w:t>
      </w:r>
      <w:bookmarkEnd w:id="143"/>
      <w:bookmarkEnd w:id="144"/>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45" w:name="_Toc192040917"/>
      <w:bookmarkStart w:id="146" w:name="_Toc199752772"/>
      <w:bookmarkStart w:id="147" w:name="_Toc211395410"/>
      <w:bookmarkStart w:id="148" w:name="_Toc211395715"/>
      <w:bookmarkStart w:id="149" w:name="_Toc211830777"/>
      <w:bookmarkStart w:id="150" w:name="_Toc212861709"/>
      <w:bookmarkStart w:id="151" w:name="_Toc213037567"/>
      <w:bookmarkStart w:id="152" w:name="_Toc213037665"/>
      <w:bookmarkStart w:id="153" w:name="_Toc223842393"/>
      <w:bookmarkStart w:id="154" w:name="_Toc268258090"/>
      <w:bookmarkStart w:id="155" w:name="_Toc268258146"/>
      <w:bookmarkStart w:id="156" w:name="_Toc272050059"/>
      <w:r>
        <w:rPr>
          <w:rStyle w:val="CharDivNo"/>
        </w:rPr>
        <w:t>Division 4</w:t>
      </w:r>
      <w:r>
        <w:rPr>
          <w:snapToGrid w:val="0"/>
        </w:rPr>
        <w:t> — </w:t>
      </w:r>
      <w:r>
        <w:rPr>
          <w:rStyle w:val="CharDivText"/>
        </w:rPr>
        <w:t>General</w:t>
      </w:r>
      <w:bookmarkEnd w:id="145"/>
      <w:bookmarkEnd w:id="146"/>
      <w:bookmarkEnd w:id="147"/>
      <w:bookmarkEnd w:id="148"/>
      <w:bookmarkEnd w:id="149"/>
      <w:bookmarkEnd w:id="150"/>
      <w:bookmarkEnd w:id="151"/>
      <w:bookmarkEnd w:id="152"/>
      <w:bookmarkEnd w:id="153"/>
      <w:bookmarkEnd w:id="154"/>
      <w:bookmarkEnd w:id="155"/>
      <w:bookmarkEnd w:id="156"/>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57" w:name="_Toc272050060"/>
      <w:bookmarkStart w:id="158" w:name="_Toc223842394"/>
      <w:r>
        <w:rPr>
          <w:rStyle w:val="CharSectno"/>
        </w:rPr>
        <w:t>23X</w:t>
      </w:r>
      <w:r>
        <w:rPr>
          <w:snapToGrid w:val="0"/>
        </w:rPr>
        <w:t>.</w:t>
      </w:r>
      <w:r>
        <w:rPr>
          <w:snapToGrid w:val="0"/>
        </w:rPr>
        <w:tab/>
        <w:t>Authorised persons</w:t>
      </w:r>
      <w:bookmarkEnd w:id="157"/>
      <w:bookmarkEnd w:id="158"/>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59" w:name="_Toc272050061"/>
      <w:bookmarkStart w:id="160" w:name="_Toc223842395"/>
      <w:r>
        <w:rPr>
          <w:rStyle w:val="CharSectno"/>
        </w:rPr>
        <w:t>23Y</w:t>
      </w:r>
      <w:r>
        <w:rPr>
          <w:snapToGrid w:val="0"/>
        </w:rPr>
        <w:t>.</w:t>
      </w:r>
      <w:r>
        <w:rPr>
          <w:snapToGrid w:val="0"/>
        </w:rPr>
        <w:tab/>
        <w:t>Offences</w:t>
      </w:r>
      <w:bookmarkEnd w:id="159"/>
      <w:bookmarkEnd w:id="160"/>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61" w:name="_Toc192040920"/>
      <w:bookmarkStart w:id="162" w:name="_Toc199752775"/>
      <w:bookmarkStart w:id="163" w:name="_Toc211395413"/>
      <w:bookmarkStart w:id="164" w:name="_Toc211395718"/>
      <w:bookmarkStart w:id="165" w:name="_Toc211830780"/>
      <w:bookmarkStart w:id="166" w:name="_Toc212861712"/>
      <w:bookmarkStart w:id="167" w:name="_Toc213037570"/>
      <w:bookmarkStart w:id="168" w:name="_Toc213037668"/>
      <w:bookmarkStart w:id="169" w:name="_Toc223842396"/>
      <w:bookmarkStart w:id="170" w:name="_Toc268258093"/>
      <w:bookmarkStart w:id="171" w:name="_Toc268258149"/>
      <w:bookmarkStart w:id="172" w:name="_Toc272050062"/>
      <w:r>
        <w:rPr>
          <w:rStyle w:val="CharPartNo"/>
        </w:rPr>
        <w:t>Part IV</w:t>
      </w:r>
      <w:r>
        <w:rPr>
          <w:rStyle w:val="CharDivNo"/>
        </w:rPr>
        <w:t> </w:t>
      </w:r>
      <w:r>
        <w:t>—</w:t>
      </w:r>
      <w:r>
        <w:rPr>
          <w:rStyle w:val="CharDivText"/>
        </w:rPr>
        <w:t> </w:t>
      </w:r>
      <w:r>
        <w:rPr>
          <w:rStyle w:val="CharPartText"/>
        </w:rPr>
        <w:t>Miscellaneous</w:t>
      </w:r>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pPr>
      <w:bookmarkStart w:id="173" w:name="_Toc272050063"/>
      <w:bookmarkStart w:id="174" w:name="_Toc223842397"/>
      <w:r>
        <w:rPr>
          <w:rStyle w:val="CharSectno"/>
        </w:rPr>
        <w:t>24</w:t>
      </w:r>
      <w:r>
        <w:t>.</w:t>
      </w:r>
      <w:r>
        <w:tab/>
        <w:t>Information officially obtained to be confidential</w:t>
      </w:r>
      <w:bookmarkEnd w:id="173"/>
      <w:bookmarkEnd w:id="174"/>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75" w:name="_Toc272050064"/>
      <w:bookmarkStart w:id="176" w:name="_Toc223842398"/>
      <w:r>
        <w:rPr>
          <w:rStyle w:val="CharSectno"/>
        </w:rPr>
        <w:t>25</w:t>
      </w:r>
      <w:r>
        <w:rPr>
          <w:snapToGrid w:val="0"/>
        </w:rPr>
        <w:t>.</w:t>
      </w:r>
      <w:r>
        <w:rPr>
          <w:snapToGrid w:val="0"/>
        </w:rPr>
        <w:tab/>
        <w:t>Liability of members, officers and the Crown</w:t>
      </w:r>
      <w:bookmarkEnd w:id="175"/>
      <w:bookmarkEnd w:id="17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77" w:name="_Toc272050065"/>
      <w:bookmarkStart w:id="178" w:name="_Toc223842399"/>
      <w:r>
        <w:rPr>
          <w:rStyle w:val="CharSectno"/>
        </w:rPr>
        <w:t>25A</w:t>
      </w:r>
      <w:r>
        <w:rPr>
          <w:snapToGrid w:val="0"/>
        </w:rPr>
        <w:t>.</w:t>
      </w:r>
      <w:r>
        <w:rPr>
          <w:snapToGrid w:val="0"/>
        </w:rPr>
        <w:tab/>
        <w:t>Advertisements not to imply approval by Committee, Department or other authority</w:t>
      </w:r>
      <w:bookmarkEnd w:id="177"/>
      <w:bookmarkEnd w:id="178"/>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79" w:name="_Toc272050066"/>
      <w:bookmarkStart w:id="180" w:name="_Toc223842400"/>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79"/>
      <w:bookmarkEnd w:id="180"/>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81" w:name="_Toc272050067"/>
      <w:bookmarkStart w:id="182" w:name="_Toc223842401"/>
      <w:r>
        <w:rPr>
          <w:rStyle w:val="CharSectno"/>
        </w:rPr>
        <w:t>27</w:t>
      </w:r>
      <w:r>
        <w:rPr>
          <w:snapToGrid w:val="0"/>
        </w:rPr>
        <w:t>.</w:t>
      </w:r>
      <w:r>
        <w:rPr>
          <w:snapToGrid w:val="0"/>
        </w:rPr>
        <w:tab/>
        <w:t>Regulations</w:t>
      </w:r>
      <w:bookmarkEnd w:id="181"/>
      <w:bookmarkEnd w:id="182"/>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183" w:author="svcMRProcess" w:date="2018-08-22T09:05:00Z"/>
          <w:snapToGrid/>
        </w:rPr>
      </w:pPr>
      <w:bookmarkStart w:id="184" w:name="_Toc192040926"/>
      <w:bookmarkStart w:id="185" w:name="_Toc199752781"/>
      <w:bookmarkStart w:id="186" w:name="_Toc211395419"/>
      <w:bookmarkStart w:id="187" w:name="_Toc211395724"/>
      <w:bookmarkStart w:id="188" w:name="_Toc211830786"/>
      <w:bookmarkStart w:id="189" w:name="_Toc212861718"/>
      <w:bookmarkStart w:id="190" w:name="_Toc213037576"/>
      <w:bookmarkStart w:id="191" w:name="_Toc213037674"/>
      <w:bookmarkStart w:id="192" w:name="_Toc223842402"/>
      <w:bookmarkStart w:id="193" w:name="_Toc268258099"/>
      <w:bookmarkStart w:id="194" w:name="_Toc268258155"/>
      <w:bookmarkStart w:id="195" w:name="_Toc272050068"/>
      <w:r>
        <w:rPr>
          <w:rStyle w:val="CharSchNo"/>
        </w:rPr>
        <w:t>Schedule</w:t>
      </w:r>
      <w:bookmarkEnd w:id="184"/>
      <w:bookmarkEnd w:id="185"/>
      <w:bookmarkEnd w:id="186"/>
      <w:bookmarkEnd w:id="187"/>
      <w:bookmarkEnd w:id="188"/>
      <w:bookmarkEnd w:id="189"/>
      <w:bookmarkEnd w:id="190"/>
      <w:bookmarkEnd w:id="191"/>
      <w:bookmarkEnd w:id="192"/>
    </w:p>
    <w:p>
      <w:pPr>
        <w:pStyle w:val="yScheduleHeading"/>
      </w:pPr>
      <w:ins w:id="196" w:author="svcMRProcess" w:date="2018-08-22T09:05:00Z">
        <w:r>
          <w:t> — </w:t>
        </w:r>
      </w:ins>
      <w:bookmarkStart w:id="197" w:name="_Toc192040927"/>
      <w:bookmarkStart w:id="198" w:name="_Toc199752782"/>
      <w:r>
        <w:rPr>
          <w:rStyle w:val="CharSchText"/>
        </w:rPr>
        <w:t>Acts prohibiting or regulating the supply of goods</w:t>
      </w:r>
      <w:bookmarkEnd w:id="193"/>
      <w:bookmarkEnd w:id="194"/>
      <w:bookmarkEnd w:id="195"/>
      <w:bookmarkEnd w:id="197"/>
      <w:bookmarkEnd w:id="198"/>
    </w:p>
    <w:p>
      <w:pPr>
        <w:pStyle w:val="yShoulderClause"/>
        <w:rPr>
          <w:ins w:id="199" w:author="svcMRProcess" w:date="2018-08-22T09:05:00Z"/>
        </w:rPr>
      </w:pPr>
      <w:ins w:id="200" w:author="svcMRProcess" w:date="2018-08-22T09:05:00Z">
        <w:r>
          <w:t>[s. 23C]</w:t>
        </w:r>
      </w:ins>
    </w:p>
    <w:p>
      <w:pPr>
        <w:pStyle w:val="yFootnoteheading"/>
        <w:rPr>
          <w:ins w:id="201" w:author="svcMRProcess" w:date="2018-08-22T09:05:00Z"/>
          <w:snapToGrid w:val="0"/>
        </w:rPr>
      </w:pPr>
      <w:ins w:id="202" w:author="svcMRProcess" w:date="2018-08-22T09:05:00Z">
        <w:r>
          <w:tab/>
          <w:t>[Heading amended by No. 19 of 2010 s. 4.]</w:t>
        </w:r>
      </w:ins>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pPr>
      <w:r>
        <w:rPr>
          <w:i/>
          <w:iCs/>
        </w:rPr>
        <w:t>Trade Measurement Act 2006</w:t>
      </w:r>
      <w:r>
        <w:t>.</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pStyle w:val="CentredBaseLine"/>
        <w:jc w:val="center"/>
        <w:rPr>
          <w:del w:id="203" w:author="svcMRProcess" w:date="2018-08-22T09:05:00Z"/>
        </w:rPr>
      </w:pPr>
      <w:del w:id="204" w:author="svcMRProcess" w:date="2018-08-22T09:05:00Z">
        <w:r>
          <w:rPr>
            <w:noProof/>
            <w:lang w:eastAsia="en-AU"/>
          </w:rPr>
          <w:drawing>
            <wp:inline distT="0" distB="0" distL="0" distR="0">
              <wp:extent cx="932180" cy="17589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5895"/>
                      </a:xfrm>
                      <a:prstGeom prst="rect">
                        <a:avLst/>
                      </a:prstGeom>
                      <a:noFill/>
                      <a:ln>
                        <a:noFill/>
                      </a:ln>
                    </pic:spPr>
                  </pic:pic>
                </a:graphicData>
              </a:graphic>
            </wp:inline>
          </w:drawing>
        </w:r>
      </w:del>
    </w:p>
    <w:p>
      <w:pPr>
        <w:pStyle w:val="CentredBaseLine"/>
        <w:jc w:val="center"/>
        <w:rPr>
          <w:ins w:id="205" w:author="svcMRProcess" w:date="2018-08-22T09:05:00Z"/>
        </w:rPr>
      </w:pPr>
      <w:ins w:id="206" w:author="svcMRProcess" w:date="2018-08-22T09:05:00Z">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07" w:name="_Toc192040928"/>
      <w:bookmarkStart w:id="208" w:name="_Toc199752783"/>
      <w:bookmarkStart w:id="209" w:name="_Toc211395420"/>
      <w:bookmarkStart w:id="210" w:name="_Toc211395725"/>
      <w:bookmarkStart w:id="211" w:name="_Toc211830787"/>
      <w:bookmarkStart w:id="212" w:name="_Toc212861719"/>
      <w:bookmarkStart w:id="213" w:name="_Toc213037577"/>
      <w:bookmarkStart w:id="214" w:name="_Toc213037675"/>
      <w:bookmarkStart w:id="215" w:name="_Toc223842403"/>
      <w:bookmarkStart w:id="216" w:name="_Toc268258100"/>
      <w:bookmarkStart w:id="217" w:name="_Toc268258156"/>
      <w:bookmarkStart w:id="218" w:name="_Toc272050069"/>
      <w:r>
        <w:t>Notes</w:t>
      </w:r>
      <w:bookmarkEnd w:id="207"/>
      <w:bookmarkEnd w:id="208"/>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19" w:name="_Toc272050070"/>
      <w:bookmarkStart w:id="220" w:name="_Toc223842404"/>
      <w:r>
        <w:rPr>
          <w:snapToGrid w:val="0"/>
        </w:rPr>
        <w:t>Compilation table</w:t>
      </w:r>
      <w:bookmarkEnd w:id="219"/>
      <w:bookmarkEnd w:id="220"/>
    </w:p>
    <w:tbl>
      <w:tblPr>
        <w:tblW w:w="7087" w:type="dxa"/>
        <w:tblInd w:w="56" w:type="dxa"/>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29" w:type="dxa"/>
            <w:tcBorders>
              <w:top w:val="single" w:sz="8" w:space="0" w:color="auto"/>
            </w:tcBorders>
          </w:tcPr>
          <w:p>
            <w:pPr>
              <w:pStyle w:val="nTable"/>
              <w:spacing w:after="40"/>
              <w:rPr>
                <w:sz w:val="19"/>
              </w:rPr>
            </w:pPr>
            <w:r>
              <w:rPr>
                <w:sz w:val="19"/>
              </w:rPr>
              <w:t>68 of 1971</w:t>
            </w:r>
          </w:p>
        </w:tc>
        <w:tc>
          <w:tcPr>
            <w:tcW w:w="1126" w:type="dxa"/>
            <w:tcBorders>
              <w:top w:val="single" w:sz="8" w:space="0" w:color="auto"/>
            </w:tcBorders>
          </w:tcPr>
          <w:p>
            <w:pPr>
              <w:pStyle w:val="nTable"/>
              <w:spacing w:after="40"/>
              <w:rPr>
                <w:sz w:val="19"/>
              </w:rPr>
            </w:pPr>
            <w:r>
              <w:rPr>
                <w:sz w:val="19"/>
              </w:rPr>
              <w:t>22 Dec 1971</w:t>
            </w:r>
          </w:p>
        </w:tc>
        <w:tc>
          <w:tcPr>
            <w:tcW w:w="2575"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57" w:type="dxa"/>
          </w:tcPr>
          <w:p>
            <w:pPr>
              <w:pStyle w:val="nTable"/>
              <w:spacing w:after="40"/>
              <w:rPr>
                <w:i/>
                <w:sz w:val="19"/>
              </w:rPr>
            </w:pPr>
            <w:r>
              <w:rPr>
                <w:i/>
                <w:sz w:val="19"/>
              </w:rPr>
              <w:t>Consumer Protection Act Amendment Act 1975</w:t>
            </w:r>
          </w:p>
        </w:tc>
        <w:tc>
          <w:tcPr>
            <w:tcW w:w="1129" w:type="dxa"/>
          </w:tcPr>
          <w:p>
            <w:pPr>
              <w:pStyle w:val="nTable"/>
              <w:spacing w:after="40"/>
              <w:rPr>
                <w:sz w:val="19"/>
              </w:rPr>
            </w:pPr>
            <w:r>
              <w:rPr>
                <w:sz w:val="19"/>
              </w:rPr>
              <w:t>21 of 1975</w:t>
            </w:r>
          </w:p>
        </w:tc>
        <w:tc>
          <w:tcPr>
            <w:tcW w:w="1126" w:type="dxa"/>
          </w:tcPr>
          <w:p>
            <w:pPr>
              <w:pStyle w:val="nTable"/>
              <w:spacing w:after="40"/>
              <w:rPr>
                <w:sz w:val="19"/>
              </w:rPr>
            </w:pPr>
            <w:r>
              <w:rPr>
                <w:sz w:val="19"/>
              </w:rPr>
              <w:t>13 May 1975</w:t>
            </w:r>
          </w:p>
        </w:tc>
        <w:tc>
          <w:tcPr>
            <w:tcW w:w="2575"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57" w:type="dxa"/>
          </w:tcPr>
          <w:p>
            <w:pPr>
              <w:pStyle w:val="nTable"/>
              <w:spacing w:after="40"/>
              <w:rPr>
                <w:i/>
                <w:sz w:val="19"/>
              </w:rPr>
            </w:pPr>
            <w:r>
              <w:rPr>
                <w:i/>
                <w:sz w:val="19"/>
              </w:rPr>
              <w:t>Consumer Affairs Act Amendment Act 1978</w:t>
            </w:r>
          </w:p>
        </w:tc>
        <w:tc>
          <w:tcPr>
            <w:tcW w:w="1129" w:type="dxa"/>
          </w:tcPr>
          <w:p>
            <w:pPr>
              <w:pStyle w:val="nTable"/>
              <w:spacing w:after="40"/>
              <w:rPr>
                <w:sz w:val="19"/>
              </w:rPr>
            </w:pPr>
            <w:r>
              <w:rPr>
                <w:sz w:val="19"/>
              </w:rPr>
              <w:t>90 of 1978</w:t>
            </w:r>
          </w:p>
        </w:tc>
        <w:tc>
          <w:tcPr>
            <w:tcW w:w="1126" w:type="dxa"/>
          </w:tcPr>
          <w:p>
            <w:pPr>
              <w:pStyle w:val="nTable"/>
              <w:spacing w:after="40"/>
              <w:rPr>
                <w:sz w:val="19"/>
              </w:rPr>
            </w:pPr>
            <w:r>
              <w:rPr>
                <w:sz w:val="19"/>
              </w:rPr>
              <w:t>8 Nov 1978</w:t>
            </w:r>
          </w:p>
        </w:tc>
        <w:tc>
          <w:tcPr>
            <w:tcW w:w="2575" w:type="dxa"/>
            <w:gridSpan w:val="2"/>
          </w:tcPr>
          <w:p>
            <w:pPr>
              <w:pStyle w:val="nTable"/>
              <w:spacing w:after="40"/>
              <w:rPr>
                <w:sz w:val="19"/>
              </w:rPr>
            </w:pPr>
            <w:r>
              <w:rPr>
                <w:sz w:val="19"/>
              </w:rPr>
              <w:t>8 Nov 1978</w:t>
            </w:r>
          </w:p>
        </w:tc>
      </w:tr>
      <w:tr>
        <w:trPr>
          <w:cantSplit/>
        </w:trPr>
        <w:tc>
          <w:tcPr>
            <w:tcW w:w="2257" w:type="dxa"/>
          </w:tcPr>
          <w:p>
            <w:pPr>
              <w:pStyle w:val="nTable"/>
              <w:spacing w:after="40"/>
              <w:rPr>
                <w:i/>
                <w:sz w:val="19"/>
              </w:rPr>
            </w:pPr>
            <w:r>
              <w:rPr>
                <w:i/>
                <w:sz w:val="19"/>
              </w:rPr>
              <w:t>Consumer Affairs Amendment Act 1980</w:t>
            </w:r>
          </w:p>
        </w:tc>
        <w:tc>
          <w:tcPr>
            <w:tcW w:w="1129" w:type="dxa"/>
          </w:tcPr>
          <w:p>
            <w:pPr>
              <w:pStyle w:val="nTable"/>
              <w:spacing w:after="40"/>
              <w:rPr>
                <w:sz w:val="19"/>
              </w:rPr>
            </w:pPr>
            <w:r>
              <w:rPr>
                <w:sz w:val="19"/>
              </w:rPr>
              <w:t>66 of 1980</w:t>
            </w:r>
          </w:p>
        </w:tc>
        <w:tc>
          <w:tcPr>
            <w:tcW w:w="1126" w:type="dxa"/>
          </w:tcPr>
          <w:p>
            <w:pPr>
              <w:pStyle w:val="nTable"/>
              <w:spacing w:after="40"/>
              <w:rPr>
                <w:sz w:val="19"/>
              </w:rPr>
            </w:pPr>
            <w:r>
              <w:rPr>
                <w:sz w:val="19"/>
              </w:rPr>
              <w:t>26 Nov 1980</w:t>
            </w:r>
          </w:p>
        </w:tc>
        <w:tc>
          <w:tcPr>
            <w:tcW w:w="2575" w:type="dxa"/>
            <w:gridSpan w:val="2"/>
          </w:tcPr>
          <w:p>
            <w:pPr>
              <w:pStyle w:val="nTable"/>
              <w:spacing w:after="40"/>
              <w:rPr>
                <w:sz w:val="19"/>
              </w:rPr>
            </w:pPr>
            <w:r>
              <w:rPr>
                <w:sz w:val="19"/>
              </w:rPr>
              <w:t>26 Nov 1980</w:t>
            </w:r>
          </w:p>
        </w:tc>
      </w:tr>
      <w:tr>
        <w:trPr>
          <w:cantSplit/>
        </w:trPr>
        <w:tc>
          <w:tcPr>
            <w:tcW w:w="2257" w:type="dxa"/>
          </w:tcPr>
          <w:p>
            <w:pPr>
              <w:pStyle w:val="nTable"/>
              <w:spacing w:after="40"/>
              <w:rPr>
                <w:i/>
                <w:sz w:val="19"/>
              </w:rPr>
            </w:pPr>
            <w:r>
              <w:rPr>
                <w:i/>
                <w:sz w:val="19"/>
              </w:rPr>
              <w:t>Consumer Affairs Amendment Act 1981</w:t>
            </w:r>
          </w:p>
        </w:tc>
        <w:tc>
          <w:tcPr>
            <w:tcW w:w="1129" w:type="dxa"/>
          </w:tcPr>
          <w:p>
            <w:pPr>
              <w:pStyle w:val="nTable"/>
              <w:spacing w:after="40"/>
              <w:rPr>
                <w:sz w:val="19"/>
              </w:rPr>
            </w:pPr>
            <w:r>
              <w:rPr>
                <w:sz w:val="19"/>
              </w:rPr>
              <w:t>110 of 1981</w:t>
            </w:r>
          </w:p>
        </w:tc>
        <w:tc>
          <w:tcPr>
            <w:tcW w:w="1126" w:type="dxa"/>
          </w:tcPr>
          <w:p>
            <w:pPr>
              <w:pStyle w:val="nTable"/>
              <w:spacing w:after="40"/>
              <w:rPr>
                <w:sz w:val="19"/>
              </w:rPr>
            </w:pPr>
            <w:r>
              <w:rPr>
                <w:sz w:val="19"/>
              </w:rPr>
              <w:t>4 Dec 1981</w:t>
            </w:r>
          </w:p>
        </w:tc>
        <w:tc>
          <w:tcPr>
            <w:tcW w:w="2575"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57" w:type="dxa"/>
          </w:tcPr>
          <w:p>
            <w:pPr>
              <w:pStyle w:val="nTable"/>
              <w:spacing w:after="40"/>
              <w:rPr>
                <w:i/>
                <w:sz w:val="19"/>
              </w:rPr>
            </w:pPr>
            <w:r>
              <w:rPr>
                <w:i/>
                <w:sz w:val="19"/>
              </w:rPr>
              <w:t>Consumer Affairs Amendment Act (No. 2) 1982</w:t>
            </w:r>
          </w:p>
        </w:tc>
        <w:tc>
          <w:tcPr>
            <w:tcW w:w="1129" w:type="dxa"/>
          </w:tcPr>
          <w:p>
            <w:pPr>
              <w:pStyle w:val="nTable"/>
              <w:spacing w:after="40"/>
              <w:rPr>
                <w:sz w:val="19"/>
              </w:rPr>
            </w:pPr>
            <w:r>
              <w:rPr>
                <w:sz w:val="19"/>
              </w:rPr>
              <w:t>52 of 1982</w:t>
            </w:r>
          </w:p>
        </w:tc>
        <w:tc>
          <w:tcPr>
            <w:tcW w:w="1126" w:type="dxa"/>
          </w:tcPr>
          <w:p>
            <w:pPr>
              <w:pStyle w:val="nTable"/>
              <w:spacing w:after="40"/>
              <w:rPr>
                <w:sz w:val="19"/>
              </w:rPr>
            </w:pPr>
            <w:r>
              <w:rPr>
                <w:sz w:val="19"/>
              </w:rPr>
              <w:t>6 Sep 1982</w:t>
            </w:r>
          </w:p>
        </w:tc>
        <w:tc>
          <w:tcPr>
            <w:tcW w:w="2575" w:type="dxa"/>
            <w:gridSpan w:val="2"/>
          </w:tcPr>
          <w:p>
            <w:pPr>
              <w:pStyle w:val="nTable"/>
              <w:spacing w:after="40"/>
              <w:rPr>
                <w:sz w:val="19"/>
              </w:rPr>
            </w:pPr>
            <w:r>
              <w:rPr>
                <w:sz w:val="19"/>
              </w:rPr>
              <w:t>6 Sep 1982</w:t>
            </w:r>
          </w:p>
        </w:tc>
      </w:tr>
      <w:tr>
        <w:trPr>
          <w:cantSplit/>
        </w:trPr>
        <w:tc>
          <w:tcPr>
            <w:tcW w:w="2257" w:type="dxa"/>
          </w:tcPr>
          <w:p>
            <w:pPr>
              <w:pStyle w:val="nTable"/>
              <w:spacing w:after="40"/>
              <w:rPr>
                <w:sz w:val="19"/>
              </w:rPr>
            </w:pPr>
            <w:r>
              <w:rPr>
                <w:i/>
                <w:sz w:val="19"/>
              </w:rPr>
              <w:t>Acts Amendment (Prevention of Excessive Prices) Act 1983</w:t>
            </w:r>
            <w:r>
              <w:rPr>
                <w:sz w:val="19"/>
              </w:rPr>
              <w:t xml:space="preserve"> Pt. II</w:t>
            </w:r>
          </w:p>
        </w:tc>
        <w:tc>
          <w:tcPr>
            <w:tcW w:w="1129" w:type="dxa"/>
          </w:tcPr>
          <w:p>
            <w:pPr>
              <w:pStyle w:val="nTable"/>
              <w:spacing w:after="40"/>
              <w:rPr>
                <w:sz w:val="19"/>
              </w:rPr>
            </w:pPr>
            <w:r>
              <w:rPr>
                <w:sz w:val="19"/>
              </w:rPr>
              <w:t>2 of 1983</w:t>
            </w:r>
          </w:p>
        </w:tc>
        <w:tc>
          <w:tcPr>
            <w:tcW w:w="1126" w:type="dxa"/>
          </w:tcPr>
          <w:p>
            <w:pPr>
              <w:pStyle w:val="nTable"/>
              <w:spacing w:after="40"/>
              <w:rPr>
                <w:sz w:val="19"/>
              </w:rPr>
            </w:pPr>
            <w:r>
              <w:rPr>
                <w:sz w:val="19"/>
              </w:rPr>
              <w:t>25 Mar 1983</w:t>
            </w:r>
          </w:p>
        </w:tc>
        <w:tc>
          <w:tcPr>
            <w:tcW w:w="2575"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57" w:type="dxa"/>
          </w:tcPr>
          <w:p>
            <w:pPr>
              <w:pStyle w:val="nTable"/>
              <w:spacing w:after="40"/>
              <w:rPr>
                <w:i/>
                <w:sz w:val="19"/>
              </w:rPr>
            </w:pPr>
            <w:r>
              <w:rPr>
                <w:i/>
                <w:sz w:val="19"/>
              </w:rPr>
              <w:t>Consumer Affairs Amendment Act 1983</w:t>
            </w:r>
          </w:p>
        </w:tc>
        <w:tc>
          <w:tcPr>
            <w:tcW w:w="1129" w:type="dxa"/>
          </w:tcPr>
          <w:p>
            <w:pPr>
              <w:pStyle w:val="nTable"/>
              <w:spacing w:after="40"/>
              <w:rPr>
                <w:sz w:val="19"/>
              </w:rPr>
            </w:pPr>
            <w:r>
              <w:rPr>
                <w:sz w:val="19"/>
              </w:rPr>
              <w:t>24 of 1983</w:t>
            </w:r>
          </w:p>
        </w:tc>
        <w:tc>
          <w:tcPr>
            <w:tcW w:w="1126" w:type="dxa"/>
          </w:tcPr>
          <w:p>
            <w:pPr>
              <w:pStyle w:val="nTable"/>
              <w:spacing w:after="40"/>
              <w:rPr>
                <w:sz w:val="19"/>
              </w:rPr>
            </w:pPr>
            <w:r>
              <w:rPr>
                <w:sz w:val="19"/>
              </w:rPr>
              <w:t>1 Dec 1983</w:t>
            </w:r>
          </w:p>
        </w:tc>
        <w:tc>
          <w:tcPr>
            <w:tcW w:w="2575" w:type="dxa"/>
            <w:gridSpan w:val="2"/>
          </w:tcPr>
          <w:p>
            <w:pPr>
              <w:pStyle w:val="nTable"/>
              <w:spacing w:after="40"/>
              <w:rPr>
                <w:sz w:val="19"/>
              </w:rPr>
            </w:pPr>
            <w:r>
              <w:rPr>
                <w:sz w:val="19"/>
              </w:rPr>
              <w:t>1 Dec 1983</w:t>
            </w:r>
          </w:p>
        </w:tc>
      </w:tr>
      <w:tr>
        <w:trPr>
          <w:cantSplit/>
        </w:trPr>
        <w:tc>
          <w:tcPr>
            <w:tcW w:w="2257" w:type="dxa"/>
          </w:tcPr>
          <w:p>
            <w:pPr>
              <w:pStyle w:val="nTable"/>
              <w:spacing w:after="40"/>
              <w:rPr>
                <w:sz w:val="19"/>
              </w:rPr>
            </w:pPr>
            <w:r>
              <w:rPr>
                <w:i/>
                <w:sz w:val="19"/>
              </w:rPr>
              <w:t>Acts Amendment (Prevention of Excessive Prices) Act (No. 2) 1983</w:t>
            </w:r>
            <w:r>
              <w:rPr>
                <w:sz w:val="19"/>
              </w:rPr>
              <w:t xml:space="preserve"> Pt. II</w:t>
            </w:r>
          </w:p>
        </w:tc>
        <w:tc>
          <w:tcPr>
            <w:tcW w:w="1129" w:type="dxa"/>
          </w:tcPr>
          <w:p>
            <w:pPr>
              <w:pStyle w:val="nTable"/>
              <w:spacing w:after="40"/>
              <w:rPr>
                <w:sz w:val="19"/>
              </w:rPr>
            </w:pPr>
            <w:r>
              <w:rPr>
                <w:sz w:val="19"/>
              </w:rPr>
              <w:t>72 of 1983</w:t>
            </w:r>
          </w:p>
        </w:tc>
        <w:tc>
          <w:tcPr>
            <w:tcW w:w="1126" w:type="dxa"/>
          </w:tcPr>
          <w:p>
            <w:pPr>
              <w:pStyle w:val="nTable"/>
              <w:spacing w:after="40"/>
              <w:rPr>
                <w:sz w:val="19"/>
              </w:rPr>
            </w:pPr>
            <w:r>
              <w:rPr>
                <w:sz w:val="19"/>
              </w:rPr>
              <w:t>22 Dec 1983</w:t>
            </w:r>
          </w:p>
        </w:tc>
        <w:tc>
          <w:tcPr>
            <w:tcW w:w="2575" w:type="dxa"/>
            <w:gridSpan w:val="2"/>
          </w:tcPr>
          <w:p>
            <w:pPr>
              <w:pStyle w:val="nTable"/>
              <w:spacing w:after="40"/>
              <w:rPr>
                <w:sz w:val="19"/>
              </w:rPr>
            </w:pPr>
            <w:r>
              <w:rPr>
                <w:sz w:val="19"/>
              </w:rPr>
              <w:t>30 Dec 1983 (see s. 2)</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57" w:type="dxa"/>
          </w:tcPr>
          <w:p>
            <w:pPr>
              <w:pStyle w:val="nTable"/>
              <w:spacing w:after="40"/>
              <w:rPr>
                <w:sz w:val="19"/>
              </w:rPr>
            </w:pPr>
            <w:r>
              <w:rPr>
                <w:i/>
                <w:sz w:val="19"/>
              </w:rPr>
              <w:t>Acts Amendment (Consumer Affairs) Act 1985</w:t>
            </w:r>
            <w:r>
              <w:rPr>
                <w:sz w:val="19"/>
              </w:rPr>
              <w:t xml:space="preserve"> Pt. II</w:t>
            </w:r>
          </w:p>
        </w:tc>
        <w:tc>
          <w:tcPr>
            <w:tcW w:w="1129" w:type="dxa"/>
          </w:tcPr>
          <w:p>
            <w:pPr>
              <w:pStyle w:val="nTable"/>
              <w:keepLines/>
              <w:spacing w:after="40"/>
              <w:rPr>
                <w:sz w:val="19"/>
              </w:rPr>
            </w:pPr>
            <w:r>
              <w:rPr>
                <w:sz w:val="19"/>
              </w:rPr>
              <w:t>1 of 1985</w:t>
            </w:r>
          </w:p>
        </w:tc>
        <w:tc>
          <w:tcPr>
            <w:tcW w:w="1126" w:type="dxa"/>
          </w:tcPr>
          <w:p>
            <w:pPr>
              <w:pStyle w:val="nTable"/>
              <w:keepLines/>
              <w:spacing w:after="40"/>
              <w:rPr>
                <w:sz w:val="19"/>
              </w:rPr>
            </w:pPr>
            <w:r>
              <w:rPr>
                <w:sz w:val="19"/>
              </w:rPr>
              <w:t>8 Mar 1985</w:t>
            </w:r>
          </w:p>
        </w:tc>
        <w:tc>
          <w:tcPr>
            <w:tcW w:w="2575"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57" w:type="dxa"/>
          </w:tcPr>
          <w:p>
            <w:pPr>
              <w:pStyle w:val="nTable"/>
              <w:spacing w:after="4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57" w:type="dxa"/>
          </w:tcPr>
          <w:p>
            <w:pPr>
              <w:pStyle w:val="nTable"/>
              <w:spacing w:after="40"/>
              <w:rPr>
                <w:sz w:val="19"/>
              </w:rPr>
            </w:pPr>
            <w:r>
              <w:rPr>
                <w:i/>
                <w:sz w:val="19"/>
              </w:rPr>
              <w:t>Chattel Securities Act 1987</w:t>
            </w:r>
            <w:r>
              <w:rPr>
                <w:sz w:val="19"/>
              </w:rPr>
              <w:t xml:space="preserve"> s. 32</w:t>
            </w:r>
          </w:p>
        </w:tc>
        <w:tc>
          <w:tcPr>
            <w:tcW w:w="1129" w:type="dxa"/>
          </w:tcPr>
          <w:p>
            <w:pPr>
              <w:pStyle w:val="nTable"/>
              <w:spacing w:after="40"/>
              <w:rPr>
                <w:sz w:val="19"/>
              </w:rPr>
            </w:pPr>
            <w:r>
              <w:rPr>
                <w:sz w:val="19"/>
              </w:rPr>
              <w:t>101 of 1987</w:t>
            </w:r>
          </w:p>
        </w:tc>
        <w:tc>
          <w:tcPr>
            <w:tcW w:w="1126" w:type="dxa"/>
          </w:tcPr>
          <w:p>
            <w:pPr>
              <w:pStyle w:val="nTable"/>
              <w:spacing w:after="40"/>
              <w:rPr>
                <w:sz w:val="19"/>
              </w:rPr>
            </w:pPr>
            <w:r>
              <w:rPr>
                <w:sz w:val="19"/>
              </w:rPr>
              <w:t>18 Dec 1987</w:t>
            </w:r>
          </w:p>
        </w:tc>
        <w:tc>
          <w:tcPr>
            <w:tcW w:w="2575"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57" w:type="dxa"/>
          </w:tcPr>
          <w:p>
            <w:pPr>
              <w:pStyle w:val="nTable"/>
              <w:spacing w:after="40"/>
              <w:rPr>
                <w:sz w:val="19"/>
              </w:rPr>
            </w:pPr>
            <w:r>
              <w:rPr>
                <w:i/>
                <w:sz w:val="19"/>
              </w:rPr>
              <w:t>Acts Amendment and Repeal (Fair Trading) Act 1988</w:t>
            </w:r>
            <w:r>
              <w:rPr>
                <w:sz w:val="19"/>
              </w:rPr>
              <w:t xml:space="preserve"> Pt. 2</w:t>
            </w:r>
          </w:p>
        </w:tc>
        <w:tc>
          <w:tcPr>
            <w:tcW w:w="1129" w:type="dxa"/>
          </w:tcPr>
          <w:p>
            <w:pPr>
              <w:pStyle w:val="nTable"/>
              <w:spacing w:after="40"/>
              <w:rPr>
                <w:sz w:val="19"/>
              </w:rPr>
            </w:pPr>
            <w:r>
              <w:rPr>
                <w:sz w:val="19"/>
              </w:rPr>
              <w:t>17 of 1988</w:t>
            </w:r>
          </w:p>
        </w:tc>
        <w:tc>
          <w:tcPr>
            <w:tcW w:w="1126" w:type="dxa"/>
          </w:tcPr>
          <w:p>
            <w:pPr>
              <w:pStyle w:val="nTable"/>
              <w:spacing w:after="40"/>
              <w:rPr>
                <w:sz w:val="19"/>
              </w:rPr>
            </w:pPr>
            <w:r>
              <w:rPr>
                <w:sz w:val="19"/>
              </w:rPr>
              <w:t>6 Sep 1988</w:t>
            </w:r>
          </w:p>
        </w:tc>
        <w:tc>
          <w:tcPr>
            <w:tcW w:w="2575"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57"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29" w:type="dxa"/>
          </w:tcPr>
          <w:p>
            <w:pPr>
              <w:pStyle w:val="nTable"/>
              <w:spacing w:after="40"/>
              <w:rPr>
                <w:sz w:val="19"/>
              </w:rPr>
            </w:pPr>
            <w:r>
              <w:rPr>
                <w:sz w:val="19"/>
              </w:rPr>
              <w:t>48 of 1992</w:t>
            </w:r>
          </w:p>
        </w:tc>
        <w:tc>
          <w:tcPr>
            <w:tcW w:w="1126" w:type="dxa"/>
          </w:tcPr>
          <w:p>
            <w:pPr>
              <w:pStyle w:val="nTable"/>
              <w:spacing w:after="40"/>
              <w:rPr>
                <w:sz w:val="19"/>
              </w:rPr>
            </w:pPr>
            <w:r>
              <w:rPr>
                <w:sz w:val="19"/>
              </w:rPr>
              <w:t>10 Dec 1992</w:t>
            </w:r>
          </w:p>
        </w:tc>
        <w:tc>
          <w:tcPr>
            <w:tcW w:w="2575"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57" w:type="dxa"/>
          </w:tcPr>
          <w:p>
            <w:pPr>
              <w:pStyle w:val="nTable"/>
              <w:spacing w:after="40"/>
              <w:rPr>
                <w:sz w:val="19"/>
              </w:rPr>
            </w:pPr>
            <w:r>
              <w:rPr>
                <w:i/>
                <w:sz w:val="19"/>
              </w:rPr>
              <w:t>Financial Administration Legislation Amendment Act 1993</w:t>
            </w:r>
            <w:r>
              <w:rPr>
                <w:sz w:val="19"/>
              </w:rPr>
              <w:t xml:space="preserve"> s. 11</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57" w:type="dxa"/>
          </w:tcPr>
          <w:p>
            <w:pPr>
              <w:pStyle w:val="nTable"/>
              <w:spacing w:after="40"/>
              <w:rPr>
                <w:sz w:val="19"/>
              </w:rPr>
            </w:pPr>
            <w:r>
              <w:rPr>
                <w:i/>
                <w:sz w:val="19"/>
              </w:rPr>
              <w:t>Acts Amendment (Public Sector Management) Act 1994</w:t>
            </w:r>
            <w:r>
              <w:rPr>
                <w:sz w:val="19"/>
              </w:rPr>
              <w:t xml:space="preserve"> s. 3(2)</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7" w:type="dxa"/>
          </w:tcPr>
          <w:p>
            <w:pPr>
              <w:pStyle w:val="nTable"/>
              <w:spacing w:after="40"/>
              <w:rPr>
                <w:sz w:val="19"/>
              </w:rPr>
            </w:pPr>
            <w:r>
              <w:rPr>
                <w:i/>
                <w:sz w:val="19"/>
              </w:rPr>
              <w:t>Mines Safety and Inspection Act 1994</w:t>
            </w:r>
            <w:r>
              <w:rPr>
                <w:sz w:val="19"/>
              </w:rPr>
              <w:t xml:space="preserve"> s. 109</w:t>
            </w:r>
          </w:p>
        </w:tc>
        <w:tc>
          <w:tcPr>
            <w:tcW w:w="1129" w:type="dxa"/>
          </w:tcPr>
          <w:p>
            <w:pPr>
              <w:pStyle w:val="nTable"/>
              <w:spacing w:after="40"/>
              <w:rPr>
                <w:sz w:val="19"/>
              </w:rPr>
            </w:pPr>
            <w:r>
              <w:rPr>
                <w:sz w:val="19"/>
              </w:rPr>
              <w:t>62 of 1994</w:t>
            </w:r>
          </w:p>
        </w:tc>
        <w:tc>
          <w:tcPr>
            <w:tcW w:w="1126" w:type="dxa"/>
          </w:tcPr>
          <w:p>
            <w:pPr>
              <w:pStyle w:val="nTable"/>
              <w:spacing w:after="40"/>
              <w:rPr>
                <w:sz w:val="19"/>
              </w:rPr>
            </w:pPr>
            <w:r>
              <w:rPr>
                <w:sz w:val="19"/>
              </w:rPr>
              <w:t>7 Nov 1994</w:t>
            </w:r>
          </w:p>
        </w:tc>
        <w:tc>
          <w:tcPr>
            <w:tcW w:w="257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7" w:type="dxa"/>
          </w:tcPr>
          <w:p>
            <w:pPr>
              <w:pStyle w:val="nTable"/>
              <w:spacing w:after="40"/>
              <w:rPr>
                <w:sz w:val="19"/>
              </w:rPr>
            </w:pPr>
            <w:r>
              <w:rPr>
                <w:i/>
                <w:sz w:val="19"/>
              </w:rPr>
              <w:t>Local Government (Consequential Amendments) Act 1996</w:t>
            </w:r>
            <w:r>
              <w:rPr>
                <w:sz w:val="19"/>
              </w:rPr>
              <w:t xml:space="preserve"> s. 4</w:t>
            </w:r>
          </w:p>
        </w:tc>
        <w:tc>
          <w:tcPr>
            <w:tcW w:w="1129" w:type="dxa"/>
          </w:tcPr>
          <w:p>
            <w:pPr>
              <w:pStyle w:val="nTable"/>
              <w:keepNext/>
              <w:keepLines/>
              <w:spacing w:after="40"/>
              <w:rPr>
                <w:sz w:val="19"/>
              </w:rPr>
            </w:pPr>
            <w:r>
              <w:rPr>
                <w:sz w:val="19"/>
              </w:rPr>
              <w:t>14 of 1996</w:t>
            </w:r>
          </w:p>
        </w:tc>
        <w:tc>
          <w:tcPr>
            <w:tcW w:w="1126" w:type="dxa"/>
          </w:tcPr>
          <w:p>
            <w:pPr>
              <w:pStyle w:val="nTable"/>
              <w:spacing w:after="40"/>
              <w:rPr>
                <w:sz w:val="19"/>
              </w:rPr>
            </w:pPr>
            <w:r>
              <w:rPr>
                <w:sz w:val="19"/>
              </w:rPr>
              <w:t>28 Jun 1996</w:t>
            </w:r>
          </w:p>
        </w:tc>
        <w:tc>
          <w:tcPr>
            <w:tcW w:w="2575" w:type="dxa"/>
            <w:gridSpan w:val="2"/>
          </w:tcPr>
          <w:p>
            <w:pPr>
              <w:pStyle w:val="nTable"/>
              <w:spacing w:after="40"/>
              <w:rPr>
                <w:sz w:val="19"/>
              </w:rPr>
            </w:pPr>
            <w:r>
              <w:rPr>
                <w:sz w:val="19"/>
              </w:rPr>
              <w:t>1 Jul 1996 (see s. 2)</w:t>
            </w:r>
          </w:p>
        </w:tc>
      </w:tr>
      <w:tr>
        <w:trPr>
          <w:cantSplit/>
        </w:trPr>
        <w:tc>
          <w:tcPr>
            <w:tcW w:w="2257" w:type="dxa"/>
          </w:tcPr>
          <w:p>
            <w:pPr>
              <w:pStyle w:val="nTable"/>
              <w:spacing w:after="40"/>
              <w:rPr>
                <w:sz w:val="19"/>
              </w:rPr>
            </w:pPr>
            <w:r>
              <w:rPr>
                <w:i/>
                <w:sz w:val="19"/>
              </w:rPr>
              <w:t>Financial Legislation Amendment Act 1996</w:t>
            </w:r>
            <w:r>
              <w:rPr>
                <w:sz w:val="19"/>
              </w:rPr>
              <w:t xml:space="preserve"> s. 64</w:t>
            </w:r>
          </w:p>
        </w:tc>
        <w:tc>
          <w:tcPr>
            <w:tcW w:w="1129" w:type="dxa"/>
          </w:tcPr>
          <w:p>
            <w:pPr>
              <w:pStyle w:val="nTable"/>
              <w:keepNext/>
              <w:keepLines/>
              <w:spacing w:after="40"/>
              <w:rPr>
                <w:sz w:val="19"/>
              </w:rPr>
            </w:pPr>
            <w:r>
              <w:rPr>
                <w:sz w:val="19"/>
              </w:rPr>
              <w:t>49 of 1996</w:t>
            </w:r>
          </w:p>
        </w:tc>
        <w:tc>
          <w:tcPr>
            <w:tcW w:w="112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57"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57" w:type="dxa"/>
          </w:tcPr>
          <w:p>
            <w:pPr>
              <w:pStyle w:val="nTable"/>
              <w:spacing w:after="40"/>
              <w:rPr>
                <w:i/>
                <w:sz w:val="19"/>
              </w:rPr>
            </w:pPr>
            <w:r>
              <w:rPr>
                <w:i/>
                <w:sz w:val="19"/>
              </w:rPr>
              <w:t>Statutes (Repeals and Minor Amendments) Act 2000</w:t>
            </w:r>
            <w:r>
              <w:rPr>
                <w:sz w:val="19"/>
              </w:rPr>
              <w:t xml:space="preserve"> s. 3(7)</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5" w:type="dxa"/>
            <w:gridSpan w:val="2"/>
          </w:tcPr>
          <w:p>
            <w:pPr>
              <w:pStyle w:val="nTable"/>
              <w:spacing w:after="40"/>
              <w:rPr>
                <w:sz w:val="19"/>
              </w:rPr>
            </w:pPr>
            <w:r>
              <w:rPr>
                <w:sz w:val="19"/>
              </w:rPr>
              <w:t>4 Jul 2000 (see s. 2)</w:t>
            </w:r>
          </w:p>
        </w:tc>
      </w:tr>
      <w:tr>
        <w:trPr>
          <w:cantSplit/>
        </w:trPr>
        <w:tc>
          <w:tcPr>
            <w:tcW w:w="2257" w:type="dxa"/>
          </w:tcPr>
          <w:p>
            <w:pPr>
              <w:pStyle w:val="nTable"/>
              <w:spacing w:after="40"/>
              <w:rPr>
                <w:sz w:val="19"/>
              </w:rPr>
            </w:pPr>
            <w:r>
              <w:rPr>
                <w:i/>
                <w:sz w:val="19"/>
              </w:rPr>
              <w:t xml:space="preserve">Acts Amendment and Repeal (Courts and Legal Practice) Act 2003 </w:t>
            </w:r>
            <w:r>
              <w:rPr>
                <w:sz w:val="19"/>
              </w:rPr>
              <w:t>s. 24</w:t>
            </w:r>
          </w:p>
        </w:tc>
        <w:tc>
          <w:tcPr>
            <w:tcW w:w="1129" w:type="dxa"/>
          </w:tcPr>
          <w:p>
            <w:pPr>
              <w:pStyle w:val="nTable"/>
              <w:spacing w:after="40"/>
              <w:rPr>
                <w:sz w:val="19"/>
              </w:rPr>
            </w:pPr>
            <w:r>
              <w:rPr>
                <w:sz w:val="19"/>
              </w:rPr>
              <w:t>65 of 2003</w:t>
            </w:r>
          </w:p>
        </w:tc>
        <w:tc>
          <w:tcPr>
            <w:tcW w:w="1126" w:type="dxa"/>
          </w:tcPr>
          <w:p>
            <w:pPr>
              <w:pStyle w:val="nTable"/>
              <w:spacing w:after="40"/>
              <w:rPr>
                <w:sz w:val="19"/>
              </w:rPr>
            </w:pPr>
            <w:r>
              <w:rPr>
                <w:sz w:val="19"/>
              </w:rPr>
              <w:t>4 Dec 2003</w:t>
            </w:r>
          </w:p>
        </w:tc>
        <w:tc>
          <w:tcPr>
            <w:tcW w:w="2575"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57" w:type="dxa"/>
          </w:tcPr>
          <w:p>
            <w:pPr>
              <w:pStyle w:val="nTable"/>
              <w:spacing w:after="40"/>
              <w:rPr>
                <w:i/>
                <w:sz w:val="19"/>
              </w:rPr>
            </w:pPr>
            <w:r>
              <w:rPr>
                <w:i/>
                <w:sz w:val="19"/>
              </w:rPr>
              <w:t xml:space="preserve">Acts Amendment and Repeal (Competition Policy) Act 2003 </w:t>
            </w:r>
            <w:r>
              <w:rPr>
                <w:sz w:val="19"/>
              </w:rPr>
              <w:t>s. 3(2)</w:t>
            </w:r>
          </w:p>
        </w:tc>
        <w:tc>
          <w:tcPr>
            <w:tcW w:w="1129" w:type="dxa"/>
          </w:tcPr>
          <w:p>
            <w:pPr>
              <w:pStyle w:val="nTable"/>
              <w:spacing w:after="40"/>
              <w:rPr>
                <w:sz w:val="19"/>
              </w:rPr>
            </w:pPr>
            <w:r>
              <w:rPr>
                <w:sz w:val="19"/>
              </w:rPr>
              <w:t>70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57"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z w:val="19"/>
              </w:rPr>
            </w:pPr>
            <w:r>
              <w:rPr>
                <w:spacing w:val="-2"/>
                <w:sz w:val="19"/>
              </w:rPr>
              <w:t>15 Dec 2003 (see s. 2)</w:t>
            </w:r>
          </w:p>
        </w:tc>
      </w:tr>
      <w:tr>
        <w:trPr>
          <w:cantSplit/>
        </w:trPr>
        <w:tc>
          <w:tcPr>
            <w:tcW w:w="2257" w:type="dxa"/>
          </w:tcPr>
          <w:p>
            <w:pPr>
              <w:pStyle w:val="nTable"/>
              <w:spacing w:after="40"/>
              <w:rPr>
                <w:i/>
                <w:sz w:val="19"/>
              </w:rPr>
            </w:pPr>
            <w:r>
              <w:rPr>
                <w:bCs/>
                <w:i/>
                <w:iCs/>
                <w:sz w:val="19"/>
              </w:rPr>
              <w:t>Dangerous Goods Safety Act 2004</w:t>
            </w:r>
            <w:r>
              <w:rPr>
                <w:bCs/>
                <w:sz w:val="19"/>
              </w:rPr>
              <w:t xml:space="preserve"> s. 70</w:t>
            </w:r>
          </w:p>
        </w:tc>
        <w:tc>
          <w:tcPr>
            <w:tcW w:w="1129" w:type="dxa"/>
          </w:tcPr>
          <w:p>
            <w:pPr>
              <w:pStyle w:val="nTable"/>
              <w:spacing w:after="40"/>
              <w:rPr>
                <w:sz w:val="19"/>
              </w:rPr>
            </w:pPr>
            <w:r>
              <w:rPr>
                <w:bCs/>
                <w:sz w:val="19"/>
              </w:rPr>
              <w:t>7 of 2004</w:t>
            </w:r>
          </w:p>
        </w:tc>
        <w:tc>
          <w:tcPr>
            <w:tcW w:w="1126" w:type="dxa"/>
          </w:tcPr>
          <w:p>
            <w:pPr>
              <w:pStyle w:val="nTable"/>
              <w:spacing w:after="40"/>
              <w:rPr>
                <w:sz w:val="19"/>
              </w:rPr>
            </w:pPr>
            <w:r>
              <w:rPr>
                <w:bCs/>
                <w:sz w:val="19"/>
              </w:rPr>
              <w:t>10 Jun 2004</w:t>
            </w:r>
          </w:p>
        </w:tc>
        <w:tc>
          <w:tcPr>
            <w:tcW w:w="2575" w:type="dxa"/>
            <w:gridSpan w:val="2"/>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5"/>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57"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29" w:type="dxa"/>
          </w:tcPr>
          <w:p>
            <w:pPr>
              <w:pStyle w:val="nTable"/>
              <w:spacing w:after="40"/>
              <w:rPr>
                <w:bCs/>
                <w:sz w:val="19"/>
              </w:rPr>
            </w:pPr>
            <w:r>
              <w:rPr>
                <w:snapToGrid w:val="0"/>
                <w:sz w:val="19"/>
                <w:lang w:val="en-US"/>
              </w:rPr>
              <w:t>42 of 2004</w:t>
            </w:r>
          </w:p>
        </w:tc>
        <w:tc>
          <w:tcPr>
            <w:tcW w:w="1126" w:type="dxa"/>
          </w:tcPr>
          <w:p>
            <w:pPr>
              <w:pStyle w:val="nTable"/>
              <w:spacing w:after="40"/>
              <w:rPr>
                <w:bCs/>
                <w:sz w:val="19"/>
              </w:rPr>
            </w:pPr>
            <w:r>
              <w:rPr>
                <w:sz w:val="19"/>
              </w:rPr>
              <w:t>9 Nov 2004</w:t>
            </w:r>
          </w:p>
        </w:tc>
        <w:tc>
          <w:tcPr>
            <w:tcW w:w="2575"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57"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29" w:type="dxa"/>
          </w:tcPr>
          <w:p>
            <w:pPr>
              <w:pStyle w:val="nTable"/>
              <w:spacing w:after="40"/>
              <w:rPr>
                <w:sz w:val="19"/>
              </w:rPr>
            </w:pPr>
            <w:r>
              <w:rPr>
                <w:bCs/>
                <w:sz w:val="19"/>
              </w:rPr>
              <w:t>55 of 2004</w:t>
            </w:r>
          </w:p>
        </w:tc>
        <w:tc>
          <w:tcPr>
            <w:tcW w:w="1126" w:type="dxa"/>
          </w:tcPr>
          <w:p>
            <w:pPr>
              <w:pStyle w:val="nTable"/>
              <w:spacing w:after="40"/>
              <w:rPr>
                <w:sz w:val="19"/>
              </w:rPr>
            </w:pPr>
            <w:r>
              <w:rPr>
                <w:bCs/>
                <w:sz w:val="19"/>
              </w:rPr>
              <w:t>24 Nov 2004</w:t>
            </w:r>
          </w:p>
        </w:tc>
        <w:tc>
          <w:tcPr>
            <w:tcW w:w="2575"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57"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29" w:type="dxa"/>
          </w:tcPr>
          <w:p>
            <w:pPr>
              <w:pStyle w:val="nTable"/>
              <w:spacing w:after="40"/>
              <w:rPr>
                <w:bCs/>
                <w:sz w:val="19"/>
              </w:rPr>
            </w:pPr>
            <w:r>
              <w:rPr>
                <w:bCs/>
                <w:sz w:val="19"/>
              </w:rPr>
              <w:t>76 of 2004</w:t>
            </w:r>
          </w:p>
        </w:tc>
        <w:tc>
          <w:tcPr>
            <w:tcW w:w="1126" w:type="dxa"/>
          </w:tcPr>
          <w:p>
            <w:pPr>
              <w:pStyle w:val="nTable"/>
              <w:spacing w:after="40"/>
              <w:rPr>
                <w:bCs/>
                <w:sz w:val="19"/>
              </w:rPr>
            </w:pPr>
            <w:r>
              <w:rPr>
                <w:bCs/>
                <w:sz w:val="19"/>
              </w:rPr>
              <w:t>8 Dec 2004</w:t>
            </w:r>
          </w:p>
        </w:tc>
        <w:tc>
          <w:tcPr>
            <w:tcW w:w="2575" w:type="dxa"/>
            <w:gridSpan w:val="2"/>
          </w:tcPr>
          <w:p>
            <w:pPr>
              <w:pStyle w:val="nTable"/>
              <w:spacing w:after="40"/>
              <w:rPr>
                <w:sz w:val="19"/>
              </w:rPr>
            </w:pPr>
            <w:r>
              <w:rPr>
                <w:sz w:val="19"/>
              </w:rPr>
              <w:t>5 Jan 2005</w:t>
            </w:r>
          </w:p>
        </w:tc>
      </w:tr>
      <w:tr>
        <w:trPr>
          <w:cantSplit/>
        </w:trPr>
        <w:tc>
          <w:tcPr>
            <w:tcW w:w="2257"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29" w:type="dxa"/>
          </w:tcPr>
          <w:p>
            <w:pPr>
              <w:pStyle w:val="nTable"/>
              <w:spacing w:after="40"/>
              <w:rPr>
                <w:bCs/>
                <w:sz w:val="19"/>
              </w:rPr>
            </w:pPr>
            <w:r>
              <w:rPr>
                <w:snapToGrid w:val="0"/>
                <w:sz w:val="19"/>
                <w:lang w:val="en-US"/>
              </w:rPr>
              <w:t>84 of 2004</w:t>
            </w:r>
          </w:p>
        </w:tc>
        <w:tc>
          <w:tcPr>
            <w:tcW w:w="1126" w:type="dxa"/>
          </w:tcPr>
          <w:p>
            <w:pPr>
              <w:pStyle w:val="nTable"/>
              <w:spacing w:after="40"/>
              <w:rPr>
                <w:bCs/>
                <w:sz w:val="19"/>
              </w:rPr>
            </w:pPr>
            <w:r>
              <w:rPr>
                <w:sz w:val="19"/>
              </w:rPr>
              <w:t>16 Dec 2004</w:t>
            </w:r>
          </w:p>
        </w:tc>
        <w:tc>
          <w:tcPr>
            <w:tcW w:w="2575"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57"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29"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75" w:type="dxa"/>
            <w:gridSpan w:val="2"/>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57"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29" w:type="dxa"/>
          </w:tcPr>
          <w:p>
            <w:pPr>
              <w:pStyle w:val="nTable"/>
              <w:spacing w:after="40"/>
              <w:rPr>
                <w:snapToGrid w:val="0"/>
                <w:sz w:val="19"/>
                <w:lang w:val="en-US"/>
              </w:rPr>
            </w:pPr>
            <w:r>
              <w:rPr>
                <w:sz w:val="19"/>
              </w:rPr>
              <w:t>12 of 2006</w:t>
            </w:r>
          </w:p>
        </w:tc>
        <w:tc>
          <w:tcPr>
            <w:tcW w:w="1126" w:type="dxa"/>
          </w:tcPr>
          <w:p>
            <w:pPr>
              <w:pStyle w:val="nTable"/>
              <w:spacing w:after="40"/>
              <w:rPr>
                <w:sz w:val="19"/>
              </w:rPr>
            </w:pPr>
            <w:r>
              <w:rPr>
                <w:sz w:val="19"/>
              </w:rPr>
              <w:t>11 May 2006</w:t>
            </w:r>
          </w:p>
        </w:tc>
        <w:tc>
          <w:tcPr>
            <w:tcW w:w="2575" w:type="dxa"/>
            <w:gridSpan w:val="2"/>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5"/>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57"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29" w:type="dxa"/>
          </w:tcPr>
          <w:p>
            <w:pPr>
              <w:pStyle w:val="nTable"/>
              <w:spacing w:after="40"/>
              <w:rPr>
                <w:snapToGrid w:val="0"/>
                <w:sz w:val="19"/>
                <w:lang w:val="en-US"/>
              </w:rPr>
            </w:pPr>
            <w:r>
              <w:rPr>
                <w:snapToGrid w:val="0"/>
                <w:sz w:val="19"/>
                <w:lang w:val="en-US"/>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57"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29" w:type="dxa"/>
          </w:tcPr>
          <w:p>
            <w:pPr>
              <w:pStyle w:val="nTable"/>
              <w:spacing w:after="40"/>
              <w:rPr>
                <w:snapToGrid w:val="0"/>
                <w:sz w:val="19"/>
                <w:lang w:val="en-US"/>
              </w:rPr>
            </w:pPr>
            <w:r>
              <w:rPr>
                <w:snapToGrid w:val="0"/>
                <w:sz w:val="19"/>
                <w:lang w:val="en-US"/>
              </w:rPr>
              <w:t>69 of 2006</w:t>
            </w:r>
          </w:p>
        </w:tc>
        <w:tc>
          <w:tcPr>
            <w:tcW w:w="1126" w:type="dxa"/>
          </w:tcPr>
          <w:p>
            <w:pPr>
              <w:pStyle w:val="nTable"/>
              <w:spacing w:after="40"/>
              <w:rPr>
                <w:sz w:val="19"/>
              </w:rPr>
            </w:pPr>
            <w:r>
              <w:rPr>
                <w:sz w:val="19"/>
              </w:rPr>
              <w:t>13 Dec 2006</w:t>
            </w:r>
          </w:p>
        </w:tc>
        <w:tc>
          <w:tcPr>
            <w:tcW w:w="2575"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57"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57"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29" w:type="dxa"/>
          </w:tcPr>
          <w:p>
            <w:pPr>
              <w:pStyle w:val="nTable"/>
              <w:keepNext/>
              <w:keepLines/>
              <w:spacing w:after="40"/>
              <w:rPr>
                <w:snapToGrid w:val="0"/>
                <w:sz w:val="19"/>
                <w:lang w:val="en-US"/>
              </w:rPr>
            </w:pPr>
            <w:r>
              <w:rPr>
                <w:snapToGrid w:val="0"/>
                <w:sz w:val="19"/>
                <w:lang w:val="en-US"/>
              </w:rPr>
              <w:t>21 of 2008</w:t>
            </w:r>
          </w:p>
        </w:tc>
        <w:tc>
          <w:tcPr>
            <w:tcW w:w="1126" w:type="dxa"/>
          </w:tcPr>
          <w:p>
            <w:pPr>
              <w:pStyle w:val="nTable"/>
              <w:spacing w:after="40"/>
              <w:rPr>
                <w:snapToGrid w:val="0"/>
                <w:sz w:val="19"/>
                <w:lang w:val="en-US"/>
              </w:rPr>
            </w:pPr>
            <w:r>
              <w:rPr>
                <w:snapToGrid w:val="0"/>
                <w:sz w:val="19"/>
                <w:lang w:val="en-US"/>
              </w:rPr>
              <w:t>27 May 2008</w:t>
            </w:r>
          </w:p>
        </w:tc>
        <w:tc>
          <w:tcPr>
            <w:tcW w:w="2575"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5"/>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r>
        <w:trPr>
          <w:gridAfter w:val="1"/>
          <w:wAfter w:w="18" w:type="dxa"/>
          <w:cantSplit/>
          <w:ins w:id="221" w:author="svcMRProcess" w:date="2018-08-22T09:05:00Z"/>
        </w:trPr>
        <w:tc>
          <w:tcPr>
            <w:tcW w:w="2257" w:type="dxa"/>
            <w:tcBorders>
              <w:bottom w:val="single" w:sz="4" w:space="0" w:color="auto"/>
            </w:tcBorders>
          </w:tcPr>
          <w:p>
            <w:pPr>
              <w:pStyle w:val="nTable"/>
              <w:spacing w:after="40"/>
              <w:ind w:right="113"/>
              <w:rPr>
                <w:ins w:id="222" w:author="svcMRProcess" w:date="2018-08-22T09:05:00Z"/>
                <w:iCs/>
                <w:snapToGrid w:val="0"/>
                <w:sz w:val="19"/>
                <w:lang w:val="en-US"/>
              </w:rPr>
            </w:pPr>
            <w:ins w:id="223" w:author="svcMRProcess" w:date="2018-08-22T09:05:00Z">
              <w:r>
                <w:rPr>
                  <w:i/>
                  <w:snapToGrid w:val="0"/>
                  <w:sz w:val="19"/>
                  <w:lang w:val="en-US"/>
                </w:rPr>
                <w:t>Standardisation of Formatting Act 2010</w:t>
              </w:r>
              <w:r>
                <w:rPr>
                  <w:iCs/>
                  <w:snapToGrid w:val="0"/>
                  <w:sz w:val="19"/>
                  <w:lang w:val="en-US"/>
                </w:rPr>
                <w:t xml:space="preserve"> s. 4</w:t>
              </w:r>
            </w:ins>
          </w:p>
        </w:tc>
        <w:tc>
          <w:tcPr>
            <w:tcW w:w="1129" w:type="dxa"/>
            <w:tcBorders>
              <w:bottom w:val="single" w:sz="4" w:space="0" w:color="auto"/>
            </w:tcBorders>
          </w:tcPr>
          <w:p>
            <w:pPr>
              <w:pStyle w:val="nTable"/>
              <w:spacing w:after="40"/>
              <w:rPr>
                <w:ins w:id="224" w:author="svcMRProcess" w:date="2018-08-22T09:05:00Z"/>
                <w:snapToGrid w:val="0"/>
                <w:sz w:val="19"/>
                <w:lang w:val="en-US"/>
              </w:rPr>
            </w:pPr>
            <w:ins w:id="225" w:author="svcMRProcess" w:date="2018-08-22T09:05:00Z">
              <w:r>
                <w:rPr>
                  <w:snapToGrid w:val="0"/>
                  <w:sz w:val="19"/>
                  <w:lang w:val="en-US"/>
                </w:rPr>
                <w:t>19 of 2010</w:t>
              </w:r>
            </w:ins>
          </w:p>
        </w:tc>
        <w:tc>
          <w:tcPr>
            <w:tcW w:w="1126" w:type="dxa"/>
            <w:tcBorders>
              <w:bottom w:val="single" w:sz="4" w:space="0" w:color="auto"/>
            </w:tcBorders>
          </w:tcPr>
          <w:p>
            <w:pPr>
              <w:pStyle w:val="nTable"/>
              <w:spacing w:after="40"/>
              <w:rPr>
                <w:ins w:id="226" w:author="svcMRProcess" w:date="2018-08-22T09:05:00Z"/>
                <w:snapToGrid w:val="0"/>
                <w:sz w:val="19"/>
                <w:lang w:val="en-US"/>
              </w:rPr>
            </w:pPr>
            <w:ins w:id="227" w:author="svcMRProcess" w:date="2018-08-22T09:05:00Z">
              <w:r>
                <w:rPr>
                  <w:snapToGrid w:val="0"/>
                  <w:sz w:val="19"/>
                  <w:lang w:val="en-US"/>
                </w:rPr>
                <w:t>28 Jun 2010</w:t>
              </w:r>
            </w:ins>
          </w:p>
        </w:tc>
        <w:tc>
          <w:tcPr>
            <w:tcW w:w="2557" w:type="dxa"/>
            <w:tcBorders>
              <w:bottom w:val="single" w:sz="4" w:space="0" w:color="auto"/>
            </w:tcBorders>
          </w:tcPr>
          <w:p>
            <w:pPr>
              <w:pStyle w:val="nTable"/>
              <w:spacing w:after="40"/>
              <w:rPr>
                <w:ins w:id="228" w:author="svcMRProcess" w:date="2018-08-22T09:05:00Z"/>
                <w:snapToGrid w:val="0"/>
                <w:sz w:val="19"/>
                <w:lang w:val="en-US"/>
              </w:rPr>
            </w:pPr>
            <w:ins w:id="229" w:author="svcMRProcess" w:date="2018-08-22T09:05: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spacing w:before="360"/>
        <w:ind w:left="482" w:hanging="482"/>
      </w:pPr>
      <w:r>
        <w:rPr>
          <w:vertAlign w:val="superscript"/>
        </w:rPr>
        <w:t>1a</w:t>
      </w:r>
      <w:r>
        <w:tab/>
        <w:t>On the date as at which thi</w:t>
      </w:r>
      <w:bookmarkStart w:id="230" w:name="_Hlt507390729"/>
      <w:bookmarkEnd w:id="23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1" w:name="_Toc272050071"/>
      <w:bookmarkStart w:id="232" w:name="_Toc223842405"/>
      <w:r>
        <w:t>Provisions that have</w:t>
      </w:r>
      <w:bookmarkStart w:id="233" w:name="UpToHere"/>
      <w:bookmarkEnd w:id="233"/>
      <w:r>
        <w:t xml:space="preserve"> not come into operation</w:t>
      </w:r>
      <w:bookmarkEnd w:id="231"/>
      <w:bookmarkEnd w:id="23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6"/>
      </w:tblGrid>
      <w:tr>
        <w:trPr>
          <w:cantSplit/>
          <w:tblHeader/>
        </w:trPr>
        <w:tc>
          <w:tcPr>
            <w:tcW w:w="2278" w:type="dxa"/>
            <w:tcBorders>
              <w:top w:val="single" w:sz="8" w:space="0" w:color="auto"/>
              <w:bottom w:val="single" w:sz="8" w:space="0" w:color="auto"/>
            </w:tcBorders>
          </w:tcPr>
          <w:p>
            <w:pPr>
              <w:pStyle w:val="nTable"/>
              <w:keepNext/>
              <w:spacing w:after="40"/>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6"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12</w:t>
            </w:r>
          </w:p>
        </w:tc>
        <w:tc>
          <w:tcPr>
            <w:tcW w:w="1139" w:type="dxa"/>
            <w:tcBorders>
              <w:top w:val="single" w:sz="8" w:space="0" w:color="auto"/>
              <w:bottom w:val="single" w:sz="4" w:space="0" w:color="auto"/>
            </w:tcBorders>
          </w:tcPr>
          <w:p>
            <w:pPr>
              <w:pStyle w:val="nTable"/>
              <w:keepNext/>
              <w:keepLines/>
              <w:spacing w:after="40"/>
              <w:rPr>
                <w:sz w:val="19"/>
              </w:rPr>
            </w:pPr>
            <w:r>
              <w:rPr>
                <w:snapToGrid w:val="0"/>
                <w:sz w:val="19"/>
                <w:lang w:val="en-US"/>
              </w:rPr>
              <w:t>24 of 2007</w:t>
            </w:r>
          </w:p>
        </w:tc>
        <w:tc>
          <w:tcPr>
            <w:tcW w:w="1136"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76" w:type="dxa"/>
            <w:tcBorders>
              <w:top w:val="single" w:sz="8" w:space="0" w:color="auto"/>
              <w:bottom w:val="single" w:sz="4" w:space="0" w:color="auto"/>
            </w:tcBorders>
          </w:tcPr>
          <w:p>
            <w:pPr>
              <w:pStyle w:val="nTable"/>
              <w:spacing w:after="40"/>
              <w:rPr>
                <w:sz w:val="19"/>
              </w:rPr>
            </w:pPr>
            <w:r>
              <w:rPr>
                <w:snapToGrid w:val="0"/>
                <w:sz w:val="19"/>
                <w:lang w:val="en-US"/>
              </w:rPr>
              <w:t>To be proclaimed (see s. 2(1))</w:t>
            </w:r>
          </w:p>
        </w:tc>
      </w:tr>
      <w:tr>
        <w:trPr>
          <w:cantSplit/>
          <w:del w:id="234" w:author="svcMRProcess" w:date="2018-08-22T09:05:00Z"/>
        </w:trPr>
        <w:tc>
          <w:tcPr>
            <w:tcW w:w="2278" w:type="dxa"/>
            <w:tcBorders>
              <w:bottom w:val="single" w:sz="4" w:space="0" w:color="auto"/>
            </w:tcBorders>
          </w:tcPr>
          <w:p>
            <w:pPr>
              <w:pStyle w:val="nTable"/>
              <w:spacing w:after="40"/>
              <w:ind w:right="113"/>
              <w:rPr>
                <w:del w:id="235" w:author="svcMRProcess" w:date="2018-08-22T09:05:00Z"/>
                <w:iCs/>
                <w:snapToGrid w:val="0"/>
                <w:sz w:val="19"/>
                <w:vertAlign w:val="superscript"/>
                <w:lang w:val="en-US"/>
              </w:rPr>
            </w:pPr>
            <w:del w:id="236" w:author="svcMRProcess" w:date="2018-08-22T09:05: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13</w:delText>
              </w:r>
            </w:del>
          </w:p>
        </w:tc>
        <w:tc>
          <w:tcPr>
            <w:tcW w:w="1139" w:type="dxa"/>
            <w:tcBorders>
              <w:bottom w:val="single" w:sz="4" w:space="0" w:color="auto"/>
            </w:tcBorders>
          </w:tcPr>
          <w:p>
            <w:pPr>
              <w:pStyle w:val="nTable"/>
              <w:spacing w:after="40"/>
              <w:rPr>
                <w:del w:id="237" w:author="svcMRProcess" w:date="2018-08-22T09:05:00Z"/>
                <w:snapToGrid w:val="0"/>
                <w:sz w:val="19"/>
                <w:lang w:val="en-US"/>
              </w:rPr>
            </w:pPr>
            <w:del w:id="238" w:author="svcMRProcess" w:date="2018-08-22T09:05:00Z">
              <w:r>
                <w:rPr>
                  <w:snapToGrid w:val="0"/>
                  <w:sz w:val="19"/>
                  <w:lang w:val="en-US"/>
                </w:rPr>
                <w:delText>19 of 2010</w:delText>
              </w:r>
            </w:del>
          </w:p>
        </w:tc>
        <w:tc>
          <w:tcPr>
            <w:tcW w:w="1136" w:type="dxa"/>
            <w:tcBorders>
              <w:bottom w:val="single" w:sz="4" w:space="0" w:color="auto"/>
            </w:tcBorders>
          </w:tcPr>
          <w:p>
            <w:pPr>
              <w:pStyle w:val="nTable"/>
              <w:spacing w:after="40"/>
              <w:rPr>
                <w:del w:id="239" w:author="svcMRProcess" w:date="2018-08-22T09:05:00Z"/>
                <w:snapToGrid w:val="0"/>
                <w:sz w:val="19"/>
                <w:lang w:val="en-US"/>
              </w:rPr>
            </w:pPr>
            <w:del w:id="240" w:author="svcMRProcess" w:date="2018-08-22T09:05:00Z">
              <w:r>
                <w:rPr>
                  <w:snapToGrid w:val="0"/>
                  <w:sz w:val="19"/>
                  <w:lang w:val="en-US"/>
                </w:rPr>
                <w:delText>28 Jun 2010</w:delText>
              </w:r>
            </w:del>
          </w:p>
        </w:tc>
        <w:tc>
          <w:tcPr>
            <w:tcW w:w="2576" w:type="dxa"/>
            <w:tcBorders>
              <w:bottom w:val="single" w:sz="4" w:space="0" w:color="auto"/>
            </w:tcBorders>
          </w:tcPr>
          <w:p>
            <w:pPr>
              <w:pStyle w:val="nTable"/>
              <w:spacing w:after="40"/>
              <w:rPr>
                <w:del w:id="241" w:author="svcMRProcess" w:date="2018-08-22T09:05:00Z"/>
                <w:snapToGrid w:val="0"/>
                <w:sz w:val="19"/>
                <w:lang w:val="en-US"/>
              </w:rPr>
            </w:pPr>
            <w:del w:id="242" w:author="svcMRProcess" w:date="2018-08-22T09:05:00Z">
              <w:r>
                <w:rPr>
                  <w:snapToGrid w:val="0"/>
                  <w:sz w:val="19"/>
                  <w:lang w:val="en-US"/>
                </w:rPr>
                <w:delText>To be proclaimed (see s. 2(b))</w:delText>
              </w:r>
            </w:del>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MiscClose"/>
      </w:pPr>
      <w:r>
        <w:t>”.</w:t>
      </w:r>
    </w:p>
    <w:p>
      <w:pPr>
        <w:pStyle w:val="nSubsection"/>
        <w:rPr>
          <w:del w:id="243" w:author="svcMRProcess" w:date="2018-08-22T09:05:00Z"/>
          <w:snapToGrid w:val="0"/>
        </w:rPr>
      </w:pPr>
      <w:del w:id="244" w:author="svcMRProcess" w:date="2018-08-22T09:05:00Z">
        <w:r>
          <w:rPr>
            <w:snapToGrid w:val="0"/>
            <w:vertAlign w:val="superscript"/>
          </w:rPr>
          <w:delText>13</w:delText>
        </w:r>
        <w:r>
          <w:rPr>
            <w:snapToGrid w:val="0"/>
          </w:rPr>
          <w:tab/>
          <w:delText>On</w:delText>
        </w:r>
        <w:r>
          <w:delText xml:space="preserve">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245" w:author="svcMRProcess" w:date="2018-08-22T09:05:00Z"/>
        </w:rPr>
      </w:pPr>
    </w:p>
    <w:p>
      <w:pPr>
        <w:pStyle w:val="nzHeading5"/>
        <w:rPr>
          <w:del w:id="246" w:author="svcMRProcess" w:date="2018-08-22T09:05:00Z"/>
          <w:rFonts w:eastAsia="MS Mincho"/>
        </w:rPr>
      </w:pPr>
      <w:bookmarkStart w:id="247" w:name="_Toc233107675"/>
      <w:bookmarkStart w:id="248" w:name="_Toc255473698"/>
      <w:bookmarkStart w:id="249" w:name="_Toc265583753"/>
      <w:del w:id="250" w:author="svcMRProcess" w:date="2018-08-22T09:05:00Z">
        <w:r>
          <w:rPr>
            <w:rStyle w:val="CharSectno"/>
            <w:rFonts w:eastAsia="MS Mincho"/>
          </w:rPr>
          <w:delText>4</w:delText>
        </w:r>
        <w:r>
          <w:rPr>
            <w:rFonts w:eastAsia="MS Mincho"/>
          </w:rPr>
          <w:delText>.</w:delText>
        </w:r>
        <w:r>
          <w:rPr>
            <w:rFonts w:eastAsia="MS Mincho"/>
          </w:rPr>
          <w:tab/>
          <w:delText>Schedule headings reformatted</w:delText>
        </w:r>
        <w:bookmarkEnd w:id="247"/>
        <w:bookmarkEnd w:id="248"/>
        <w:bookmarkEnd w:id="249"/>
      </w:del>
    </w:p>
    <w:p>
      <w:pPr>
        <w:pStyle w:val="nzSubsection"/>
        <w:rPr>
          <w:del w:id="251" w:author="svcMRProcess" w:date="2018-08-22T09:05:00Z"/>
          <w:rFonts w:eastAsia="MS Mincho"/>
        </w:rPr>
      </w:pPr>
      <w:del w:id="252" w:author="svcMRProcess" w:date="2018-08-22T09:05:00Z">
        <w:r>
          <w:rPr>
            <w:rFonts w:eastAsia="MS Mincho"/>
          </w:rPr>
          <w:tab/>
          <w:delText>(1)</w:delText>
        </w:r>
        <w:r>
          <w:rPr>
            <w:rFonts w:eastAsia="MS Mincho"/>
          </w:rPr>
          <w:tab/>
          <w:delText>This section amends the Acts listed in the Table.</w:delText>
        </w:r>
      </w:del>
    </w:p>
    <w:p>
      <w:pPr>
        <w:pStyle w:val="nzSubsection"/>
        <w:rPr>
          <w:del w:id="253" w:author="svcMRProcess" w:date="2018-08-22T09:05:00Z"/>
        </w:rPr>
      </w:pPr>
      <w:del w:id="254" w:author="svcMRProcess" w:date="2018-08-22T09:05:00Z">
        <w:r>
          <w:rPr>
            <w:rFonts w:eastAsia="MS Mincho"/>
          </w:rPr>
          <w:tab/>
          <w:delText>(2)</w:delText>
        </w:r>
        <w:r>
          <w:rPr>
            <w:rFonts w:eastAsia="MS Mincho"/>
          </w:rPr>
          <w:tab/>
          <w:delText>In each Schedule listed in the Table:</w:delText>
        </w:r>
      </w:del>
    </w:p>
    <w:p>
      <w:pPr>
        <w:pStyle w:val="nzIndenta"/>
        <w:rPr>
          <w:del w:id="255" w:author="svcMRProcess" w:date="2018-08-22T09:05:00Z"/>
        </w:rPr>
      </w:pPr>
      <w:del w:id="256" w:author="svcMRProcess" w:date="2018-08-22T09:05:00Z">
        <w:r>
          <w:tab/>
          <w:delText>(a)</w:delText>
        </w:r>
        <w:r>
          <w:tab/>
          <w:delText>if there is a title set out in the Table for the Schedule — after the identifier for the Schedule insert that title;</w:delText>
        </w:r>
      </w:del>
    </w:p>
    <w:p>
      <w:pPr>
        <w:pStyle w:val="nzIndenta"/>
        <w:rPr>
          <w:del w:id="257" w:author="svcMRProcess" w:date="2018-08-22T09:05:00Z"/>
        </w:rPr>
      </w:pPr>
      <w:del w:id="258" w:author="svcMRProcess" w:date="2018-08-22T09:05:00Z">
        <w:r>
          <w:tab/>
          <w:delText>(b)</w:delText>
        </w:r>
        <w:r>
          <w:tab/>
          <w:delText>if there is a shoulder note set out in the Table for the Schedule — at the end of the heading to the Schedule insert that shoulder note;</w:delText>
        </w:r>
      </w:del>
    </w:p>
    <w:p>
      <w:pPr>
        <w:pStyle w:val="nzIndenta"/>
        <w:rPr>
          <w:del w:id="259" w:author="svcMRProcess" w:date="2018-08-22T09:05:00Z"/>
        </w:rPr>
      </w:pPr>
      <w:del w:id="260" w:author="svcMRProcess" w:date="2018-08-22T09:05: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61" w:author="svcMRProcess" w:date="2018-08-22T09: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62" w:author="svcMRProcess" w:date="2018-08-22T09:05:00Z"/>
                <w:rFonts w:eastAsia="MS Mincho"/>
                <w:b/>
                <w:bCs/>
                <w:sz w:val="18"/>
              </w:rPr>
            </w:pPr>
            <w:del w:id="263" w:author="svcMRProcess" w:date="2018-08-22T09:05: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64" w:author="svcMRProcess" w:date="2018-08-22T09:05:00Z"/>
                <w:b/>
                <w:bCs/>
                <w:sz w:val="18"/>
              </w:rPr>
            </w:pPr>
            <w:del w:id="265" w:author="svcMRProcess" w:date="2018-08-22T09:05: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66" w:author="svcMRProcess" w:date="2018-08-22T09:05:00Z"/>
                <w:b/>
                <w:bCs/>
                <w:sz w:val="18"/>
              </w:rPr>
            </w:pPr>
            <w:del w:id="267" w:author="svcMRProcess" w:date="2018-08-22T09:05: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68" w:author="svcMRProcess" w:date="2018-08-22T09:05:00Z"/>
                <w:b/>
                <w:bCs/>
                <w:sz w:val="18"/>
              </w:rPr>
            </w:pPr>
            <w:del w:id="269" w:author="svcMRProcess" w:date="2018-08-22T09:05:00Z">
              <w:r>
                <w:rPr>
                  <w:b/>
                  <w:bCs/>
                  <w:sz w:val="18"/>
                </w:rPr>
                <w:delText>Shoulder note</w:delText>
              </w:r>
            </w:del>
          </w:p>
        </w:tc>
      </w:tr>
      <w:tr>
        <w:trPr>
          <w:del w:id="270" w:author="svcMRProcess" w:date="2018-08-22T09:05: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271" w:author="svcMRProcess" w:date="2018-08-22T09:05:00Z"/>
                <w:i/>
                <w:iCs/>
                <w:sz w:val="18"/>
              </w:rPr>
            </w:pPr>
            <w:del w:id="272" w:author="svcMRProcess" w:date="2018-08-22T09:05:00Z">
              <w:r>
                <w:rPr>
                  <w:rFonts w:eastAsia="MS Mincho"/>
                  <w:i/>
                  <w:iCs/>
                  <w:sz w:val="18"/>
                </w:rPr>
                <w:delText>Consumer Affairs Act 1971</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73" w:author="svcMRProcess" w:date="2018-08-22T09:05:00Z"/>
                <w:sz w:val="18"/>
              </w:rPr>
            </w:pPr>
            <w:del w:id="274" w:author="svcMRProcess" w:date="2018-08-22T09:05: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75" w:author="svcMRProcess" w:date="2018-08-22T09:05: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76" w:author="svcMRProcess" w:date="2018-08-22T09:05:00Z"/>
                <w:sz w:val="18"/>
              </w:rPr>
            </w:pPr>
            <w:del w:id="277" w:author="svcMRProcess" w:date="2018-08-22T09:05:00Z">
              <w:r>
                <w:rPr>
                  <w:sz w:val="18"/>
                </w:rPr>
                <w:delText>[s. 23C]</w:delText>
              </w:r>
            </w:del>
          </w:p>
        </w:tc>
      </w:tr>
    </w:tbl>
    <w:p>
      <w:pPr>
        <w:pStyle w:val="BlankClose"/>
        <w:rPr>
          <w:del w:id="278" w:author="svcMRProcess" w:date="2018-08-22T09:05: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rPr>
              <w:noProof/>
            </w:rP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51"/>
    <w:docVar w:name="WAFER_20151210104751" w:val="RemoveTrackChanges"/>
    <w:docVar w:name="WAFER_20151210104751_GUID" w:val="7d526827-b6e0-4d31-a19c-577afe8e3c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11687</Words>
  <Characters>54814</Characters>
  <Application>Microsoft Office Word</Application>
  <DocSecurity>0</DocSecurity>
  <Lines>1566</Lines>
  <Paragraphs>831</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65670</CharactersWithSpaces>
  <SharedDoc>false</SharedDoc>
  <HLinks>
    <vt:vector size="12" baseType="variant">
      <vt:variant>
        <vt:i4>131085</vt:i4>
      </vt:variant>
      <vt:variant>
        <vt:i4>56325</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06-c0-01 - 06-d0-02</dc:title>
  <dc:subject/>
  <dc:creator/>
  <cp:keywords/>
  <dc:description/>
  <cp:lastModifiedBy>svcMRProcess</cp:lastModifiedBy>
  <cp:revision>2</cp:revision>
  <cp:lastPrinted>2009-03-03T03:04:00Z</cp:lastPrinted>
  <dcterms:created xsi:type="dcterms:W3CDTF">2018-08-22T01:05:00Z</dcterms:created>
  <dcterms:modified xsi:type="dcterms:W3CDTF">2018-08-22T01:05:00Z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176</vt:i4>
  </property>
  <property fmtid="{D5CDD505-2E9C-101B-9397-08002B2CF9AE}" pid="6" name="ReprintNo">
    <vt:lpwstr>6</vt:lpwstr>
  </property>
  <property fmtid="{D5CDD505-2E9C-101B-9397-08002B2CF9AE}" pid="7" name="FromSuffix">
    <vt:lpwstr>06-c0-01</vt:lpwstr>
  </property>
  <property fmtid="{D5CDD505-2E9C-101B-9397-08002B2CF9AE}" pid="8" name="FromAsAtDate">
    <vt:lpwstr>28 Jun 2010</vt:lpwstr>
  </property>
  <property fmtid="{D5CDD505-2E9C-101B-9397-08002B2CF9AE}" pid="9" name="ToSuffix">
    <vt:lpwstr>06-d0-02</vt:lpwstr>
  </property>
  <property fmtid="{D5CDD505-2E9C-101B-9397-08002B2CF9AE}" pid="10" name="ToAsAtDate">
    <vt:lpwstr>11 Sep 2010</vt:lpwstr>
  </property>
</Properties>
</file>