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Curtin University of Technology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Curtin University of Technology Act 1966 </w:t>
      </w:r>
    </w:p>
    <w:p>
      <w:pPr>
        <w:pStyle w:val="LongTitle"/>
        <w:spacing w:before="120"/>
        <w:rPr>
          <w:snapToGrid w:val="0"/>
        </w:rPr>
      </w:pPr>
      <w:r>
        <w:rPr>
          <w:snapToGrid w:val="0"/>
        </w:rPr>
        <w:t>A</w:t>
      </w:r>
      <w:bookmarkStart w:id="0" w:name="_GoBack"/>
      <w:bookmarkEnd w:id="0"/>
      <w:r>
        <w:rPr>
          <w:snapToGrid w:val="0"/>
        </w:rPr>
        <w:t>n Act to establish and incorporate the Curtin University of Technology and for incidental and other purposes.</w:t>
      </w:r>
    </w:p>
    <w:p>
      <w:pPr>
        <w:pStyle w:val="Footnotelongtitle"/>
        <w:ind w:left="890" w:hanging="890"/>
      </w:pPr>
      <w:r>
        <w:tab/>
        <w:t xml:space="preserve">[Long title amended by No. 37 of 1981 s. 3; No. 96 of 1986 s. 11.] </w:t>
      </w:r>
    </w:p>
    <w:p>
      <w:pPr>
        <w:pStyle w:val="Heading2"/>
        <w:rPr>
          <w:ins w:id="1" w:author="svcMRProcess" w:date="2018-08-23T16:37:00Z"/>
        </w:rPr>
      </w:pPr>
      <w:bookmarkStart w:id="2" w:name="_Toc378162958"/>
      <w:ins w:id="3" w:author="svcMRProcess" w:date="2018-08-23T16:37:00Z">
        <w:r>
          <w:rPr>
            <w:rStyle w:val="CharPartNo"/>
          </w:rPr>
          <w:t>Part IA</w:t>
        </w:r>
        <w:r>
          <w:rPr>
            <w:rStyle w:val="CharDivNo"/>
          </w:rPr>
          <w:t> </w:t>
        </w:r>
        <w:r>
          <w:t>—</w:t>
        </w:r>
        <w:r>
          <w:rPr>
            <w:rStyle w:val="CharDivText"/>
          </w:rPr>
          <w:t> </w:t>
        </w:r>
        <w:r>
          <w:rPr>
            <w:rStyle w:val="CharPartText"/>
          </w:rPr>
          <w:t>Preliminary</w:t>
        </w:r>
        <w:bookmarkEnd w:id="2"/>
      </w:ins>
    </w:p>
    <w:p>
      <w:pPr>
        <w:pStyle w:val="Footnoteheading"/>
        <w:rPr>
          <w:ins w:id="4" w:author="svcMRProcess" w:date="2018-08-23T16:37:00Z"/>
        </w:rPr>
      </w:pPr>
      <w:ins w:id="5" w:author="svcMRProcess" w:date="2018-08-23T16:37:00Z">
        <w:r>
          <w:tab/>
          <w:t>[Heading inserted by No. 19 of 2010 s. 43(2).]</w:t>
        </w:r>
      </w:ins>
    </w:p>
    <w:p>
      <w:pPr>
        <w:pStyle w:val="Heading5"/>
        <w:spacing w:before="240"/>
        <w:rPr>
          <w:snapToGrid w:val="0"/>
        </w:rPr>
      </w:pPr>
      <w:bookmarkStart w:id="6" w:name="_Toc378162959"/>
      <w:bookmarkStart w:id="7" w:name="_Toc435842532"/>
      <w:bookmarkStart w:id="8" w:name="_Toc517596737"/>
      <w:bookmarkStart w:id="9" w:name="_Toc517596861"/>
      <w:bookmarkStart w:id="10" w:name="_Toc517597249"/>
      <w:bookmarkStart w:id="11" w:name="_Toc268096404"/>
      <w:r>
        <w:rPr>
          <w:rStyle w:val="CharSectno"/>
        </w:rPr>
        <w:t>1</w:t>
      </w:r>
      <w:r>
        <w:rPr>
          <w:snapToGrid w:val="0"/>
        </w:rPr>
        <w:t>.</w:t>
      </w:r>
      <w:r>
        <w:rPr>
          <w:snapToGrid w:val="0"/>
        </w:rPr>
        <w:tab/>
        <w:t>Short title</w:t>
      </w:r>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of Technology Act 1966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96 of 1986 s. 11.] </w:t>
      </w:r>
    </w:p>
    <w:p>
      <w:pPr>
        <w:pStyle w:val="Heading5"/>
        <w:spacing w:before="240"/>
        <w:rPr>
          <w:snapToGrid w:val="0"/>
        </w:rPr>
      </w:pPr>
      <w:bookmarkStart w:id="12" w:name="_Toc378162960"/>
      <w:bookmarkStart w:id="13" w:name="_Toc435842533"/>
      <w:bookmarkStart w:id="14" w:name="_Toc517596738"/>
      <w:bookmarkStart w:id="15" w:name="_Toc517596862"/>
      <w:bookmarkStart w:id="16" w:name="_Toc517597250"/>
      <w:bookmarkStart w:id="17" w:name="_Toc268096405"/>
      <w:r>
        <w:rPr>
          <w:rStyle w:val="CharSectno"/>
        </w:rPr>
        <w:t>2</w:t>
      </w:r>
      <w:r>
        <w:rPr>
          <w:snapToGrid w:val="0"/>
        </w:rPr>
        <w:t>.</w:t>
      </w:r>
      <w:r>
        <w:rPr>
          <w:snapToGrid w:val="0"/>
        </w:rPr>
        <w:tab/>
        <w:t>Commencement</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ind w:left="890" w:hanging="890"/>
      </w:pPr>
      <w:r>
        <w:t>[</w:t>
      </w:r>
      <w:r>
        <w:rPr>
          <w:b/>
        </w:rPr>
        <w:t>3.</w:t>
      </w:r>
      <w:r>
        <w:rPr>
          <w:b/>
        </w:rPr>
        <w:tab/>
      </w:r>
      <w:r>
        <w:t xml:space="preserve">Deleted by No. 37 of 1981 s. 4.] </w:t>
      </w:r>
    </w:p>
    <w:p>
      <w:pPr>
        <w:pStyle w:val="Heading5"/>
        <w:spacing w:before="240"/>
        <w:rPr>
          <w:snapToGrid w:val="0"/>
        </w:rPr>
      </w:pPr>
      <w:bookmarkStart w:id="18" w:name="_Toc378162961"/>
      <w:bookmarkStart w:id="19" w:name="_Toc435842534"/>
      <w:bookmarkStart w:id="20" w:name="_Toc517596739"/>
      <w:bookmarkStart w:id="21" w:name="_Toc517596863"/>
      <w:bookmarkStart w:id="22" w:name="_Toc517597251"/>
      <w:bookmarkStart w:id="23" w:name="_Toc268096406"/>
      <w:r>
        <w:rPr>
          <w:rStyle w:val="CharSectno"/>
        </w:rPr>
        <w:t>4</w:t>
      </w:r>
      <w:r>
        <w:rPr>
          <w:snapToGrid w:val="0"/>
        </w:rPr>
        <w:t>.</w:t>
      </w:r>
      <w:r>
        <w:rPr>
          <w:snapToGrid w:val="0"/>
        </w:rPr>
        <w:tab/>
        <w:t>Interpretation</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Board of a branch of the University;</w:t>
      </w:r>
    </w:p>
    <w:p>
      <w:pPr>
        <w:pStyle w:val="Defstart"/>
        <w:spacing w:before="160"/>
      </w:pPr>
      <w:r>
        <w:rPr>
          <w:b/>
        </w:rPr>
        <w:tab/>
      </w:r>
      <w:r>
        <w:rPr>
          <w:rStyle w:val="CharDefText"/>
        </w:rPr>
        <w:t>branch</w:t>
      </w:r>
      <w:r>
        <w:t xml:space="preserve"> means a branch of the University established by the Council in accordance with section 21A;</w:t>
      </w:r>
    </w:p>
    <w:p>
      <w:pPr>
        <w:pStyle w:val="Defstart"/>
        <w:spacing w:before="160"/>
      </w:pPr>
      <w:r>
        <w:rPr>
          <w:b/>
        </w:rPr>
        <w:tab/>
      </w:r>
      <w:r>
        <w:rPr>
          <w:rStyle w:val="CharDefText"/>
        </w:rPr>
        <w:t>casual vacancy</w:t>
      </w:r>
      <w:r>
        <w:t xml:space="preserve"> means a vacancy arising in the office of a member of the Council or a member of a Board otherwise than by reason of the effluxion of time;</w:t>
      </w:r>
    </w:p>
    <w:p>
      <w:pPr>
        <w:pStyle w:val="Defstart"/>
        <w:spacing w:before="160"/>
      </w:pPr>
      <w:r>
        <w:rPr>
          <w:b/>
        </w:rPr>
        <w:tab/>
      </w:r>
      <w:r>
        <w:rPr>
          <w:rStyle w:val="CharDefText"/>
        </w:rPr>
        <w:t>Chancellor</w:t>
      </w:r>
      <w:r>
        <w:t xml:space="preserve"> means the Chancellor of the University; </w:t>
      </w:r>
    </w:p>
    <w:p>
      <w:pPr>
        <w:pStyle w:val="Defstart"/>
        <w:spacing w:before="160"/>
      </w:pPr>
      <w:r>
        <w:rPr>
          <w:b/>
        </w:rPr>
        <w:tab/>
      </w:r>
      <w:r>
        <w:rPr>
          <w:rStyle w:val="CharDefText"/>
        </w:rPr>
        <w:t>Council</w:t>
      </w:r>
      <w:r>
        <w:t xml:space="preserve"> means the Council of the University;</w:t>
      </w:r>
    </w:p>
    <w:p>
      <w:pPr>
        <w:pStyle w:val="Defstart"/>
        <w:spacing w:before="160"/>
      </w:pPr>
      <w:r>
        <w:rPr>
          <w:b/>
        </w:rPr>
        <w:tab/>
      </w:r>
      <w:r>
        <w:rPr>
          <w:rStyle w:val="CharDefText"/>
        </w:rPr>
        <w:t>enrolled student</w:t>
      </w:r>
      <w:r>
        <w:t xml:space="preserve"> means a student enrolled in the University;</w:t>
      </w:r>
    </w:p>
    <w:p>
      <w:pPr>
        <w:pStyle w:val="Defstart"/>
        <w:spacing w:before="160"/>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spacing w:before="160"/>
      </w:pPr>
      <w:r>
        <w:rPr>
          <w:b/>
        </w:rPr>
        <w:tab/>
      </w:r>
      <w:r>
        <w:rPr>
          <w:rStyle w:val="CharDefText"/>
        </w:rPr>
        <w:t>Kalgoorlie Campus</w:t>
      </w:r>
      <w:r>
        <w:t xml:space="preserve"> means the educational facility established under section 21I;</w:t>
      </w:r>
    </w:p>
    <w:p>
      <w:pPr>
        <w:pStyle w:val="Defstart"/>
        <w:spacing w:before="160"/>
      </w:pPr>
      <w:r>
        <w:rPr>
          <w:b/>
        </w:rPr>
        <w:tab/>
      </w:r>
      <w:r>
        <w:rPr>
          <w:rStyle w:val="CharDefText"/>
        </w:rPr>
        <w:t>member</w:t>
      </w:r>
      <w:r>
        <w:t xml:space="preserve"> means a member of the Council;</w:t>
      </w:r>
    </w:p>
    <w:p>
      <w:pPr>
        <w:pStyle w:val="Defstart"/>
        <w:spacing w:before="160"/>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spacing w:before="160"/>
      </w:pPr>
      <w:r>
        <w:rPr>
          <w:b/>
        </w:rPr>
        <w:tab/>
      </w:r>
      <w:r>
        <w:rPr>
          <w:rStyle w:val="CharDefText"/>
        </w:rPr>
        <w:t>Statute</w:t>
      </w:r>
      <w:r>
        <w:t xml:space="preserve"> means a Statute of the University in force in pursuance of this Act;</w:t>
      </w:r>
    </w:p>
    <w:p>
      <w:pPr>
        <w:pStyle w:val="Defstart"/>
        <w:spacing w:before="160"/>
      </w:pPr>
      <w:r>
        <w:rPr>
          <w:b/>
        </w:rPr>
        <w:tab/>
      </w:r>
      <w:r>
        <w:rPr>
          <w:rStyle w:val="CharDefText"/>
        </w:rPr>
        <w:t>Student Guild</w:t>
      </w:r>
      <w:r>
        <w:t xml:space="preserve"> means the Student Guild incorporated under section 44;</w:t>
      </w:r>
    </w:p>
    <w:p>
      <w:pPr>
        <w:pStyle w:val="Defstart"/>
        <w:spacing w:before="160"/>
      </w:pPr>
      <w:r>
        <w:rPr>
          <w:b/>
        </w:rPr>
        <w:tab/>
      </w:r>
      <w:r>
        <w:rPr>
          <w:rStyle w:val="CharDefText"/>
        </w:rPr>
        <w:t>University</w:t>
      </w:r>
      <w:r>
        <w:t xml:space="preserve"> means the Curtin University of Technology established under this Act.</w:t>
      </w:r>
    </w:p>
    <w:p>
      <w:pPr>
        <w:pStyle w:val="Subsection"/>
        <w:spacing w:before="200"/>
        <w:rPr>
          <w:snapToGrid w:val="0"/>
        </w:rPr>
      </w:pPr>
      <w:r>
        <w:rPr>
          <w:snapToGrid w:val="0"/>
        </w:rPr>
        <w:tab/>
        <w:t>(2)</w:t>
      </w:r>
      <w:r>
        <w:rPr>
          <w:snapToGrid w:val="0"/>
        </w:rPr>
        <w:tab/>
        <w:t>If a question arises as to whether a person is a member of the academic staff or of the full</w:t>
      </w:r>
      <w:r>
        <w:rPr>
          <w:snapToGrid w:val="0"/>
        </w:rPr>
        <w:noBreakHyphen/>
        <w:t>time salaried or general staff (other than academic staff) of the University or a branch, or as to what persons or classes of persons constitute the academic staff or the full</w:t>
      </w:r>
      <w:r>
        <w:rPr>
          <w:snapToGrid w:val="0"/>
        </w:rPr>
        <w:noBreakHyphen/>
        <w:t>time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[Section 4 amended by No. 49 of 1971 s. 2; No. 31 of 1974 s. 2; No. 37 of 1981 s. 5; No. 59 of 1982 s. 3; No. 51 of 1983 s. 14 (as amended by No. 96 of 1986 s. 13); No. 77 of 1985 s. 4; No. 96 of 1986 s. 4 and 11; No. </w:t>
      </w:r>
      <w:bookmarkStart w:id="24" w:name="_Toc97106349"/>
      <w:bookmarkStart w:id="25" w:name="_Toc103064859"/>
      <w:bookmarkStart w:id="26" w:name="_Toc108844394"/>
      <w:bookmarkStart w:id="27" w:name="_Toc108846861"/>
      <w:bookmarkStart w:id="28" w:name="_Toc111529286"/>
      <w:bookmarkStart w:id="29" w:name="_Toc112575692"/>
      <w:bookmarkStart w:id="30" w:name="_Toc112575781"/>
      <w:bookmarkStart w:id="31" w:name="_Toc112575870"/>
      <w:bookmarkStart w:id="32" w:name="_Toc112575959"/>
      <w:bookmarkStart w:id="33" w:name="_Toc112576048"/>
      <w:bookmarkStart w:id="34" w:name="_Toc112731454"/>
      <w:bookmarkStart w:id="35" w:name="_Toc113697999"/>
      <w:r>
        <w:t xml:space="preserve">7 of 1988 s. 15; No. 35 of 1996 s. 4.] </w:t>
      </w:r>
    </w:p>
    <w:p>
      <w:pPr>
        <w:pStyle w:val="Heading2"/>
      </w:pPr>
      <w:bookmarkStart w:id="36" w:name="_Toc378162962"/>
      <w:bookmarkStart w:id="37" w:name="_Toc72638684"/>
      <w:bookmarkStart w:id="38" w:name="_Toc72638787"/>
      <w:bookmarkStart w:id="39" w:name="_Toc89521406"/>
      <w:bookmarkStart w:id="40" w:name="_Toc96495785"/>
      <w:bookmarkStart w:id="41" w:name="_Toc102368316"/>
      <w:bookmarkStart w:id="42" w:name="_Toc102721228"/>
      <w:bookmarkStart w:id="43" w:name="_Toc104363643"/>
      <w:bookmarkStart w:id="44" w:name="_Toc114299566"/>
      <w:bookmarkStart w:id="45" w:name="_Toc114299776"/>
      <w:bookmarkStart w:id="46" w:name="_Toc114300026"/>
      <w:bookmarkStart w:id="47" w:name="_Toc114301166"/>
      <w:bookmarkStart w:id="48" w:name="_Toc116901400"/>
      <w:bookmarkStart w:id="49" w:name="_Toc116960730"/>
      <w:bookmarkStart w:id="50" w:name="_Toc116983458"/>
      <w:bookmarkStart w:id="51" w:name="_Toc118693694"/>
      <w:bookmarkStart w:id="52" w:name="_Toc118704822"/>
      <w:bookmarkStart w:id="53" w:name="_Toc118783798"/>
      <w:bookmarkStart w:id="54" w:name="_Toc157846105"/>
      <w:bookmarkStart w:id="55" w:name="_Toc241052927"/>
      <w:bookmarkStart w:id="56" w:name="_Toc268096407"/>
      <w:r>
        <w:rPr>
          <w:rStyle w:val="CharPartNo"/>
        </w:rPr>
        <w:t>Part I </w:t>
      </w:r>
      <w:r>
        <w:t>— </w:t>
      </w:r>
      <w:r>
        <w:rPr>
          <w:rStyle w:val="CharPartText"/>
        </w:rPr>
        <w:t>The Curtin University of Technology</w:t>
      </w:r>
      <w:bookmarkEnd w:id="36"/>
      <w:bookmarkEnd w:id="24"/>
      <w:bookmarkEnd w:id="25"/>
      <w:bookmarkEnd w:id="26"/>
      <w:bookmarkEnd w:id="27"/>
      <w:bookmarkEnd w:id="28"/>
      <w:bookmarkEnd w:id="29"/>
      <w:bookmarkEnd w:id="30"/>
      <w:bookmarkEnd w:id="31"/>
      <w:bookmarkEnd w:id="32"/>
      <w:bookmarkEnd w:id="33"/>
      <w:bookmarkEnd w:id="34"/>
      <w:bookmarkEnd w:id="35"/>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Footnotesection"/>
        <w:rPr>
          <w:b/>
          <w:i w:val="0"/>
        </w:rPr>
      </w:pPr>
      <w:bookmarkStart w:id="57" w:name="_Toc114299567"/>
      <w:bookmarkStart w:id="58" w:name="_Toc114299777"/>
      <w:bookmarkStart w:id="59" w:name="_Toc114300027"/>
      <w:bookmarkStart w:id="60" w:name="_Toc97106350"/>
      <w:bookmarkStart w:id="61" w:name="_Toc103064860"/>
      <w:bookmarkStart w:id="62" w:name="_Toc108844395"/>
      <w:bookmarkStart w:id="63" w:name="_Toc108846862"/>
      <w:bookmarkStart w:id="64" w:name="_Toc111529287"/>
      <w:bookmarkStart w:id="65" w:name="_Toc112575693"/>
      <w:bookmarkStart w:id="66" w:name="_Toc112575782"/>
      <w:bookmarkStart w:id="67" w:name="_Toc112575871"/>
      <w:bookmarkStart w:id="68" w:name="_Toc112575960"/>
      <w:bookmarkStart w:id="69" w:name="_Toc112576049"/>
      <w:bookmarkStart w:id="70" w:name="_Toc112731455"/>
      <w:bookmarkStart w:id="71" w:name="_Toc113698000"/>
      <w:r>
        <w:tab/>
        <w:t>[Heading amended by No. 96 of 1986 s. 11.]</w:t>
      </w:r>
      <w:bookmarkEnd w:id="57"/>
      <w:bookmarkEnd w:id="58"/>
      <w:bookmarkEnd w:id="59"/>
    </w:p>
    <w:p>
      <w:pPr>
        <w:pStyle w:val="Heading3"/>
        <w:keepNext w:val="0"/>
        <w:rPr>
          <w:snapToGrid w:val="0"/>
        </w:rPr>
      </w:pPr>
      <w:bookmarkStart w:id="72" w:name="_Toc378162963"/>
      <w:bookmarkStart w:id="73" w:name="_Toc114299568"/>
      <w:bookmarkStart w:id="74" w:name="_Toc114299778"/>
      <w:bookmarkStart w:id="75" w:name="_Toc114300028"/>
      <w:bookmarkStart w:id="76" w:name="_Toc114301167"/>
      <w:bookmarkStart w:id="77" w:name="_Toc116901401"/>
      <w:bookmarkStart w:id="78" w:name="_Toc116960731"/>
      <w:bookmarkStart w:id="79" w:name="_Toc116983459"/>
      <w:bookmarkStart w:id="80" w:name="_Toc118693695"/>
      <w:bookmarkStart w:id="81" w:name="_Toc118704823"/>
      <w:bookmarkStart w:id="82" w:name="_Toc118783799"/>
      <w:bookmarkStart w:id="83" w:name="_Toc157846106"/>
      <w:bookmarkStart w:id="84" w:name="_Toc241052928"/>
      <w:bookmarkStart w:id="85" w:name="_Toc268096408"/>
      <w:r>
        <w:rPr>
          <w:rStyle w:val="CharDivNo"/>
        </w:rPr>
        <w:t>Division 1</w:t>
      </w:r>
      <w:r>
        <w:rPr>
          <w:snapToGrid w:val="0"/>
        </w:rPr>
        <w:t> — </w:t>
      </w:r>
      <w:r>
        <w:rPr>
          <w:rStyle w:val="CharDivText"/>
        </w:rPr>
        <w:t>The University</w:t>
      </w:r>
      <w:bookmarkEnd w:id="72"/>
      <w:bookmarkEnd w:id="60"/>
      <w:bookmarkEnd w:id="61"/>
      <w:bookmarkEnd w:id="62"/>
      <w:bookmarkEnd w:id="63"/>
      <w:bookmarkEnd w:id="64"/>
      <w:bookmarkEnd w:id="65"/>
      <w:bookmarkEnd w:id="66"/>
      <w:bookmarkEnd w:id="67"/>
      <w:bookmarkEnd w:id="68"/>
      <w:bookmarkEnd w:id="69"/>
      <w:bookmarkEnd w:id="70"/>
      <w:bookmarkEnd w:id="71"/>
      <w:bookmarkEnd w:id="73"/>
      <w:bookmarkEnd w:id="74"/>
      <w:bookmarkEnd w:id="75"/>
      <w:bookmarkEnd w:id="76"/>
      <w:bookmarkEnd w:id="77"/>
      <w:bookmarkEnd w:id="78"/>
      <w:bookmarkEnd w:id="79"/>
      <w:bookmarkEnd w:id="80"/>
      <w:bookmarkEnd w:id="81"/>
      <w:bookmarkEnd w:id="82"/>
      <w:bookmarkEnd w:id="83"/>
      <w:bookmarkEnd w:id="84"/>
      <w:bookmarkEnd w:id="85"/>
      <w:r>
        <w:rPr>
          <w:rStyle w:val="CharDivText"/>
        </w:rPr>
        <w:t xml:space="preserve"> </w:t>
      </w:r>
    </w:p>
    <w:p>
      <w:pPr>
        <w:pStyle w:val="Footnoteheading"/>
        <w:rPr>
          <w:snapToGrid w:val="0"/>
        </w:rPr>
      </w:pPr>
      <w:r>
        <w:rPr>
          <w:snapToGrid w:val="0"/>
        </w:rPr>
        <w:tab/>
        <w:t xml:space="preserve">[Heading amended by No. 96 of 1986 s. 11.] </w:t>
      </w:r>
    </w:p>
    <w:p>
      <w:pPr>
        <w:pStyle w:val="Heading5"/>
        <w:rPr>
          <w:snapToGrid w:val="0"/>
        </w:rPr>
      </w:pPr>
      <w:bookmarkStart w:id="86" w:name="_Toc378162964"/>
      <w:bookmarkStart w:id="87" w:name="_Toc435842535"/>
      <w:bookmarkStart w:id="88" w:name="_Toc517596740"/>
      <w:bookmarkStart w:id="89" w:name="_Toc517596864"/>
      <w:bookmarkStart w:id="90" w:name="_Toc517597252"/>
      <w:bookmarkStart w:id="91" w:name="_Toc268096409"/>
      <w:r>
        <w:rPr>
          <w:rStyle w:val="CharSectno"/>
        </w:rPr>
        <w:t>5</w:t>
      </w:r>
      <w:r>
        <w:rPr>
          <w:snapToGrid w:val="0"/>
        </w:rPr>
        <w:t>.</w:t>
      </w:r>
      <w:r>
        <w:rPr>
          <w:snapToGrid w:val="0"/>
        </w:rPr>
        <w:tab/>
        <w:t>Establishment of the Curtin University of Technology</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Institute of Technology Amendment Act 1986</w:t>
      </w:r>
      <w:r>
        <w:rPr>
          <w:snapToGrid w:val="0"/>
        </w:rPr>
        <w:t xml:space="preserve"> comes into operation</w:t>
      </w:r>
      <w:r>
        <w:rPr>
          <w:snapToGrid w:val="0"/>
          <w:vertAlign w:val="superscript"/>
        </w:rPr>
        <w:t> 1</w:t>
      </w:r>
      <w:r>
        <w:rPr>
          <w:snapToGrid w:val="0"/>
        </w:rPr>
        <w:t xml:space="preserve"> (in this section called </w:t>
      </w:r>
      <w:r>
        <w:rPr>
          <w:rStyle w:val="CharDefText"/>
        </w:rPr>
        <w:t>the proclaimed date</w:t>
      </w:r>
      <w:r>
        <w:rPr>
          <w:snapToGrid w:val="0"/>
        </w:rPr>
        <w:t>) the body corporate, consisting of the Council, the members of the academic and other staff, and the enrolled students, that was hitherto established under this Act by the name of the “Western Australian Institute of Technology” is preserved and continues in existence as a body corporate under and subject to the provisions of this Act to be called the “Curtin University of Technology”, but so that the corporate identity of the body corporate and its rights and obligations are not thereby affected.</w:t>
      </w:r>
    </w:p>
    <w:p>
      <w:pPr>
        <w:pStyle w:val="Subsection"/>
        <w:rPr>
          <w:snapToGrid w:val="0"/>
        </w:rPr>
      </w:pPr>
      <w:r>
        <w:rPr>
          <w:snapToGrid w:val="0"/>
        </w:rPr>
        <w:tab/>
        <w:t>(1a)</w:t>
      </w:r>
      <w:r>
        <w:rPr>
          <w:snapToGrid w:val="0"/>
        </w:rPr>
        <w:tab/>
        <w:t>A reference to the Western Australian Institute of Technology, whether by use of that name or a similar or abbreviated form of that name — </w:t>
      </w:r>
    </w:p>
    <w:p>
      <w:pPr>
        <w:pStyle w:val="Indenta"/>
        <w:rPr>
          <w:snapToGrid w:val="0"/>
        </w:rPr>
      </w:pPr>
      <w:r>
        <w:rPr>
          <w:snapToGrid w:val="0"/>
        </w:rPr>
        <w:tab/>
        <w:t>(a)</w:t>
      </w:r>
      <w:r>
        <w:rPr>
          <w:snapToGrid w:val="0"/>
        </w:rPr>
        <w:tab/>
        <w:t>in a written law passed or made before the proclaimed date;</w:t>
      </w:r>
    </w:p>
    <w:p>
      <w:pPr>
        <w:pStyle w:val="Indenta"/>
        <w:rPr>
          <w:snapToGrid w:val="0"/>
        </w:rPr>
      </w:pPr>
      <w:r>
        <w:rPr>
          <w:snapToGrid w:val="0"/>
        </w:rPr>
        <w:tab/>
        <w:t>(b)</w:t>
      </w:r>
      <w:r>
        <w:rPr>
          <w:snapToGrid w:val="0"/>
        </w:rPr>
        <w:tab/>
        <w:t>in any document or other instrument made, executed, entered into or done before the proclaimed date; or</w:t>
      </w:r>
    </w:p>
    <w:p>
      <w:pPr>
        <w:pStyle w:val="Indenta"/>
        <w:rPr>
          <w:snapToGrid w:val="0"/>
        </w:rPr>
      </w:pPr>
      <w:r>
        <w:rPr>
          <w:snapToGrid w:val="0"/>
        </w:rPr>
        <w:tab/>
        <w:t>(c)</w:t>
      </w:r>
      <w:r>
        <w:rPr>
          <w:snapToGrid w:val="0"/>
        </w:rPr>
        <w:tab/>
        <w:t>made before the proclaimed date in any other manner,</w:t>
      </w:r>
    </w:p>
    <w:p>
      <w:pPr>
        <w:pStyle w:val="Subsection"/>
        <w:rPr>
          <w:snapToGrid w:val="0"/>
        </w:rPr>
      </w:pPr>
      <w:r>
        <w:rPr>
          <w:snapToGrid w:val="0"/>
        </w:rPr>
        <w:tab/>
      </w:r>
      <w:r>
        <w:rPr>
          <w:snapToGrid w:val="0"/>
        </w:rPr>
        <w:tab/>
        <w:t>shall, unless the context is such that it would be incorrect or inappropriate so to do, be read and construed as a reference to the Curtin University of Technology.</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University;</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w:t>
      </w:r>
    </w:p>
    <w:p>
      <w:pPr>
        <w:pStyle w:val="Indenta"/>
        <w:rPr>
          <w:snapToGrid w:val="0"/>
        </w:rPr>
      </w:pPr>
      <w:r>
        <w:rPr>
          <w:snapToGrid w:val="0"/>
        </w:rPr>
        <w:tab/>
        <w:t>(ea)</w:t>
      </w:r>
      <w:r>
        <w:rPr>
          <w:snapToGrid w:val="0"/>
        </w:rPr>
        <w:tab/>
        <w:t>may grant leases of land vested in the University under section 20 or 31 for a term not exceeding 99 years subject, where the term exceeds 21 years, to the approval of the Governor;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 xml:space="preserve">[Section 5 amended by No. 37 of 1981 s. 6; No. 96 of 1986 s. 5 and 11; No. 35 of 1996 s. 31.] </w:t>
      </w:r>
    </w:p>
    <w:p>
      <w:pPr>
        <w:pStyle w:val="Heading5"/>
        <w:rPr>
          <w:snapToGrid w:val="0"/>
        </w:rPr>
      </w:pPr>
      <w:bookmarkStart w:id="92" w:name="_Toc378162965"/>
      <w:bookmarkStart w:id="93" w:name="_Toc435842536"/>
      <w:bookmarkStart w:id="94" w:name="_Toc517596741"/>
      <w:bookmarkStart w:id="95" w:name="_Toc517596865"/>
      <w:bookmarkStart w:id="96" w:name="_Toc517597253"/>
      <w:bookmarkStart w:id="97" w:name="_Toc268096410"/>
      <w:r>
        <w:rPr>
          <w:rStyle w:val="CharSectno"/>
        </w:rPr>
        <w:t>6</w:t>
      </w:r>
      <w:r>
        <w:rPr>
          <w:snapToGrid w:val="0"/>
        </w:rPr>
        <w:t>.</w:t>
      </w:r>
      <w:r>
        <w:rPr>
          <w:snapToGrid w:val="0"/>
        </w:rPr>
        <w:tab/>
        <w:t>Common seal of the University</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96 of 1986 s. 11.] </w:t>
      </w:r>
    </w:p>
    <w:p>
      <w:pPr>
        <w:pStyle w:val="Heading5"/>
        <w:rPr>
          <w:snapToGrid w:val="0"/>
        </w:rPr>
      </w:pPr>
      <w:bookmarkStart w:id="98" w:name="_Toc378162966"/>
      <w:bookmarkStart w:id="99" w:name="_Toc435842537"/>
      <w:bookmarkStart w:id="100" w:name="_Toc517596742"/>
      <w:bookmarkStart w:id="101" w:name="_Toc517596866"/>
      <w:bookmarkStart w:id="102" w:name="_Toc517597254"/>
      <w:bookmarkStart w:id="103" w:name="_Toc268096411"/>
      <w:r>
        <w:rPr>
          <w:rStyle w:val="CharSectno"/>
        </w:rPr>
        <w:t>7</w:t>
      </w:r>
      <w:r>
        <w:rPr>
          <w:snapToGrid w:val="0"/>
        </w:rPr>
        <w:t>.</w:t>
      </w:r>
      <w:r>
        <w:rPr>
          <w:snapToGrid w:val="0"/>
        </w:rPr>
        <w:tab/>
        <w:t>Functions of the University</w:t>
      </w:r>
      <w:bookmarkEnd w:id="98"/>
      <w:bookmarkEnd w:id="99"/>
      <w:bookmarkEnd w:id="100"/>
      <w:bookmarkEnd w:id="101"/>
      <w:bookmarkEnd w:id="102"/>
      <w:bookmarkEnd w:id="103"/>
      <w:r>
        <w:rPr>
          <w:snapToGrid w:val="0"/>
        </w:rPr>
        <w:t xml:space="preserve"> </w:t>
      </w:r>
    </w:p>
    <w:p>
      <w:pPr>
        <w:pStyle w:val="Subsection"/>
        <w:keepNext/>
        <w:rPr>
          <w:snapToGrid w:val="0"/>
        </w:rPr>
      </w:pPr>
      <w:r>
        <w:rPr>
          <w:snapToGrid w:val="0"/>
        </w:rPr>
        <w:tab/>
        <w:t>(1)</w:t>
      </w:r>
      <w:r>
        <w:rPr>
          <w:snapToGrid w:val="0"/>
        </w:rPr>
        <w:tab/>
        <w:t>The functions of the University shall include the following — </w:t>
      </w:r>
    </w:p>
    <w:p>
      <w:pPr>
        <w:pStyle w:val="Indenta"/>
        <w:rPr>
          <w:snapToGrid w:val="0"/>
        </w:rPr>
      </w:pPr>
      <w:r>
        <w:rPr>
          <w:snapToGrid w:val="0"/>
        </w:rPr>
        <w:tab/>
        <w:t>(a)</w:t>
      </w:r>
      <w:r>
        <w:rPr>
          <w:snapToGrid w:val="0"/>
        </w:rPr>
        <w:tab/>
        <w:t>to provide courses of study appropriate to a university, and other tertiary courses, and to aid the advancement, development and practical application of knowledge;</w:t>
      </w:r>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w:t>
      </w:r>
    </w:p>
    <w:p>
      <w:pPr>
        <w:pStyle w:val="Indenta"/>
        <w:rPr>
          <w:snapToGrid w:val="0"/>
        </w:rPr>
      </w:pPr>
      <w:r>
        <w:rPr>
          <w:snapToGrid w:val="0"/>
        </w:rPr>
        <w:tab/>
        <w:t>(c)</w:t>
      </w:r>
      <w:r>
        <w:rPr>
          <w:snapToGrid w:val="0"/>
        </w:rPr>
        <w:tab/>
        <w:t>to provide such other courses as may be approved by the Council;</w:t>
      </w:r>
    </w:p>
    <w:p>
      <w:pPr>
        <w:pStyle w:val="Indenta"/>
        <w:rPr>
          <w:snapToGrid w:val="0"/>
        </w:rPr>
      </w:pPr>
      <w:r>
        <w:rPr>
          <w:snapToGrid w:val="0"/>
        </w:rPr>
        <w:tab/>
        <w:t>(d)</w:t>
      </w:r>
      <w:r>
        <w:rPr>
          <w:snapToGrid w:val="0"/>
        </w:rPr>
        <w:tab/>
        <w:t>to encourage and undertake research and to aid directly or indirectly the application of science and technology to industry;</w:t>
      </w:r>
    </w:p>
    <w:p>
      <w:pPr>
        <w:pStyle w:val="Indenta"/>
        <w:rPr>
          <w:snapToGrid w:val="0"/>
        </w:rPr>
      </w:pPr>
      <w:r>
        <w:rPr>
          <w:snapToGrid w:val="0"/>
        </w:rPr>
        <w:tab/>
        <w:t>(e)</w:t>
      </w:r>
      <w:r>
        <w:rPr>
          <w:snapToGrid w:val="0"/>
        </w:rPr>
        <w:tab/>
        <w:t>to foster the general welfare and development of its enrolled students;</w:t>
      </w:r>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 and</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 xml:space="preserve">[Section 7 inserted by No. 96 of 1986 s. 6; amended by No. 43 of 1998 s. 4.] </w:t>
      </w:r>
    </w:p>
    <w:p>
      <w:pPr>
        <w:pStyle w:val="Heading3"/>
      </w:pPr>
      <w:bookmarkStart w:id="104" w:name="_Toc378162967"/>
      <w:bookmarkStart w:id="105" w:name="_Toc97106354"/>
      <w:bookmarkStart w:id="106" w:name="_Toc103064864"/>
      <w:bookmarkStart w:id="107" w:name="_Toc108844399"/>
      <w:bookmarkStart w:id="108" w:name="_Toc108846866"/>
      <w:bookmarkStart w:id="109" w:name="_Toc111529291"/>
      <w:bookmarkStart w:id="110" w:name="_Toc112575697"/>
      <w:bookmarkStart w:id="111" w:name="_Toc112575786"/>
      <w:bookmarkStart w:id="112" w:name="_Toc112575875"/>
      <w:bookmarkStart w:id="113" w:name="_Toc112575964"/>
      <w:bookmarkStart w:id="114" w:name="_Toc112576053"/>
      <w:bookmarkStart w:id="115" w:name="_Toc112731459"/>
      <w:bookmarkStart w:id="116" w:name="_Toc113698004"/>
      <w:bookmarkStart w:id="117" w:name="_Toc114299572"/>
      <w:bookmarkStart w:id="118" w:name="_Toc114299782"/>
      <w:bookmarkStart w:id="119" w:name="_Toc114300032"/>
      <w:bookmarkStart w:id="120" w:name="_Toc114301171"/>
      <w:bookmarkStart w:id="121" w:name="_Toc116901405"/>
      <w:bookmarkStart w:id="122" w:name="_Toc116960735"/>
      <w:bookmarkStart w:id="123" w:name="_Toc116983463"/>
      <w:bookmarkStart w:id="124" w:name="_Toc118693699"/>
      <w:bookmarkStart w:id="125" w:name="_Toc118704827"/>
      <w:bookmarkStart w:id="126" w:name="_Toc118783803"/>
      <w:bookmarkStart w:id="127" w:name="_Toc157846110"/>
      <w:bookmarkStart w:id="128" w:name="_Toc241052932"/>
      <w:bookmarkStart w:id="129" w:name="_Toc268096412"/>
      <w:r>
        <w:rPr>
          <w:rStyle w:val="CharDivNo"/>
        </w:rPr>
        <w:t xml:space="preserve">Division 2 </w:t>
      </w:r>
      <w:r>
        <w:t> — </w:t>
      </w:r>
      <w:r>
        <w:rPr>
          <w:rStyle w:val="CharDivText"/>
        </w:rPr>
        <w:t>The Council</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378162968"/>
      <w:bookmarkStart w:id="131" w:name="_Toc435842538"/>
      <w:bookmarkStart w:id="132" w:name="_Toc517596743"/>
      <w:bookmarkStart w:id="133" w:name="_Toc517596867"/>
      <w:bookmarkStart w:id="134" w:name="_Toc517597255"/>
      <w:bookmarkStart w:id="135" w:name="_Toc268096413"/>
      <w:r>
        <w:rPr>
          <w:rStyle w:val="CharSectno"/>
        </w:rPr>
        <w:t>8</w:t>
      </w:r>
      <w:r>
        <w:rPr>
          <w:snapToGrid w:val="0"/>
        </w:rPr>
        <w:t>.</w:t>
      </w:r>
      <w:r>
        <w:rPr>
          <w:snapToGrid w:val="0"/>
        </w:rPr>
        <w:tab/>
        <w:t>The Council</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96 of 1986 s. 11.] </w:t>
      </w:r>
    </w:p>
    <w:p>
      <w:pPr>
        <w:pStyle w:val="Heading5"/>
        <w:rPr>
          <w:snapToGrid w:val="0"/>
        </w:rPr>
      </w:pPr>
      <w:bookmarkStart w:id="136" w:name="_Toc378162969"/>
      <w:bookmarkStart w:id="137" w:name="_Toc435842539"/>
      <w:bookmarkStart w:id="138" w:name="_Toc517596744"/>
      <w:bookmarkStart w:id="139" w:name="_Toc517596868"/>
      <w:bookmarkStart w:id="140" w:name="_Toc517597256"/>
      <w:bookmarkStart w:id="141" w:name="_Toc268096414"/>
      <w:r>
        <w:rPr>
          <w:rStyle w:val="CharSectno"/>
        </w:rPr>
        <w:t>9</w:t>
      </w:r>
      <w:r>
        <w:rPr>
          <w:snapToGrid w:val="0"/>
        </w:rPr>
        <w:t>.</w:t>
      </w:r>
      <w:r>
        <w:rPr>
          <w:snapToGrid w:val="0"/>
        </w:rPr>
        <w:tab/>
        <w:t>Constitution of the Council</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Council shall consist of — </w:t>
      </w:r>
    </w:p>
    <w:p>
      <w:pPr>
        <w:pStyle w:val="Indenta"/>
        <w:rPr>
          <w:snapToGrid w:val="0"/>
        </w:rPr>
      </w:pPr>
      <w:r>
        <w:rPr>
          <w:snapToGrid w:val="0"/>
        </w:rPr>
        <w:tab/>
        <w:t>(a)</w:t>
      </w:r>
      <w:r>
        <w:rPr>
          <w:snapToGrid w:val="0"/>
        </w:rPr>
        <w:tab/>
        <w:t>6 persons appointed by the Governor representative of the professions and industrial and commercial interests;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one person who is nominated by the Minister charged with the administration of the</w:t>
      </w:r>
      <w:r>
        <w:rPr>
          <w:i/>
          <w:snapToGrid w:val="0"/>
        </w:rPr>
        <w:t xml:space="preserve"> School Education Act 1999</w:t>
      </w:r>
      <w:r>
        <w:rPr>
          <w:snapToGrid w:val="0"/>
        </w:rPr>
        <w:t>;</w:t>
      </w:r>
    </w:p>
    <w:p>
      <w:pPr>
        <w:pStyle w:val="Ednotepara"/>
        <w:tabs>
          <w:tab w:val="clear" w:pos="1325"/>
          <w:tab w:val="clear" w:pos="1613"/>
          <w:tab w:val="left" w:pos="600"/>
          <w:tab w:val="right" w:pos="1200"/>
        </w:tabs>
        <w:rPr>
          <w:snapToGrid w:val="0"/>
        </w:rPr>
      </w:pPr>
      <w:r>
        <w:rPr>
          <w:snapToGrid w:val="0"/>
        </w:rPr>
        <w:tab/>
      </w:r>
      <w:r>
        <w:rPr>
          <w:snapToGrid w:val="0"/>
        </w:rPr>
        <w:tab/>
        <w:t>[(d), (e)</w:t>
      </w:r>
      <w:r>
        <w:rPr>
          <w:snapToGrid w:val="0"/>
        </w:rPr>
        <w:tab/>
        <w:t>deleted]</w:t>
      </w:r>
    </w:p>
    <w:p>
      <w:pPr>
        <w:pStyle w:val="Indenta"/>
        <w:rPr>
          <w:snapToGrid w:val="0"/>
        </w:rPr>
      </w:pPr>
      <w:r>
        <w:rPr>
          <w:snapToGrid w:val="0"/>
        </w:rPr>
        <w:tab/>
        <w:t>(f)</w:t>
      </w:r>
      <w:r>
        <w:rPr>
          <w:snapToGrid w:val="0"/>
        </w:rPr>
        <w:tab/>
        <w:t>the person for the time being appointed the chief executive officer of the University;</w:t>
      </w:r>
    </w:p>
    <w:p>
      <w:pPr>
        <w:pStyle w:val="Indenta"/>
        <w:rPr>
          <w:snapToGrid w:val="0"/>
        </w:rPr>
      </w:pPr>
      <w:r>
        <w:rPr>
          <w:snapToGrid w:val="0"/>
        </w:rPr>
        <w:tab/>
        <w:t>(g)</w:t>
      </w:r>
      <w:r>
        <w:rPr>
          <w:snapToGrid w:val="0"/>
        </w:rPr>
        <w:tab/>
        <w:t>2 persons who are members of the full</w:t>
      </w:r>
      <w:r>
        <w:rPr>
          <w:snapToGrid w:val="0"/>
        </w:rPr>
        <w:noBreakHyphen/>
        <w:t>time academic staff of the University elected by members of that staff;</w:t>
      </w:r>
    </w:p>
    <w:p>
      <w:pPr>
        <w:pStyle w:val="Indenta"/>
      </w:pPr>
      <w:r>
        <w:tab/>
        <w:t>(ga)</w:t>
      </w:r>
      <w:r>
        <w:tab/>
        <w:t>2 persons elected by and from the students in the manner prescribed by Statute;</w:t>
      </w:r>
    </w:p>
    <w:p>
      <w:pPr>
        <w:pStyle w:val="Indenta"/>
        <w:rPr>
          <w:snapToGrid w:val="0"/>
        </w:rPr>
      </w:pPr>
      <w:r>
        <w:rPr>
          <w:snapToGrid w:val="0"/>
        </w:rPr>
        <w:tab/>
        <w:t>(gb)</w:t>
      </w:r>
      <w:r>
        <w:rPr>
          <w:snapToGrid w:val="0"/>
        </w:rPr>
        <w:tab/>
        <w:t>one person who is a member of the full</w:t>
      </w:r>
      <w:r>
        <w:rPr>
          <w:snapToGrid w:val="0"/>
        </w:rPr>
        <w:noBreakHyphen/>
        <w:t>time salaried staff, other than the academic staff, of the University elected by members of that staff;</w:t>
      </w:r>
    </w:p>
    <w:p>
      <w:pPr>
        <w:pStyle w:val="Indenta"/>
        <w:rPr>
          <w:snapToGrid w:val="0"/>
        </w:rPr>
      </w:pPr>
      <w:r>
        <w:rPr>
          <w:snapToGrid w:val="0"/>
        </w:rPr>
        <w:tab/>
        <w:t>(gc)</w:t>
      </w:r>
      <w:r>
        <w:rPr>
          <w:snapToGrid w:val="0"/>
        </w:rPr>
        <w:tab/>
        <w:t>one person who is a member of the Alumni Association of the University elected by members of that Association;</w:t>
      </w:r>
    </w:p>
    <w:p>
      <w:pPr>
        <w:pStyle w:val="Indenta"/>
        <w:rPr>
          <w:snapToGrid w:val="0"/>
        </w:rPr>
      </w:pPr>
      <w:r>
        <w:rPr>
          <w:snapToGrid w:val="0"/>
        </w:rPr>
        <w:tab/>
        <w:t>(h)</w:t>
      </w:r>
      <w:r>
        <w:rPr>
          <w:snapToGrid w:val="0"/>
        </w:rPr>
        <w:tab/>
        <w:t>the person who not being a member of the Council at the time of his appointment as Chancellor, is appointed Chancellor pursuant to section 11;</w:t>
      </w:r>
    </w:p>
    <w:p>
      <w:pPr>
        <w:pStyle w:val="Indenta"/>
        <w:rPr>
          <w:snapToGrid w:val="0"/>
        </w:rPr>
      </w:pPr>
      <w:r>
        <w:rPr>
          <w:snapToGrid w:val="0"/>
        </w:rPr>
        <w:tab/>
        <w:t>(i)</w:t>
      </w:r>
      <w:r>
        <w:rPr>
          <w:snapToGrid w:val="0"/>
        </w:rPr>
        <w:tab/>
        <w:t>3 persons appointed from time to time by co</w:t>
      </w:r>
      <w:r>
        <w:rPr>
          <w:snapToGrid w:val="0"/>
        </w:rPr>
        <w:noBreakHyphen/>
        <w:t>option by the Council but a person whose sole or principal employment is that of a member of the staff of the University may not be so appointed;</w:t>
      </w:r>
    </w:p>
    <w:p>
      <w:pPr>
        <w:pStyle w:val="Ednotepara"/>
        <w:rPr>
          <w:snapToGrid w:val="0"/>
        </w:rPr>
      </w:pPr>
      <w:r>
        <w:rPr>
          <w:snapToGrid w:val="0"/>
        </w:rPr>
        <w:tab/>
        <w:t>[(ia)</w:t>
      </w:r>
      <w:r>
        <w:rPr>
          <w:snapToGrid w:val="0"/>
        </w:rPr>
        <w:tab/>
        <w:t>deleted]</w:t>
      </w:r>
    </w:p>
    <w:p>
      <w:pPr>
        <w:pStyle w:val="Indenta"/>
      </w:pPr>
      <w:r>
        <w:tab/>
        <w:t>(j)</w:t>
      </w:r>
      <w:r>
        <w:tab/>
        <w:t xml:space="preserve">up to 3 persons appointed by the Council from persons — </w:t>
      </w:r>
    </w:p>
    <w:p>
      <w:pPr>
        <w:pStyle w:val="Indenti"/>
      </w:pPr>
      <w:r>
        <w:tab/>
        <w:t>(i)</w:t>
      </w:r>
      <w:r>
        <w:tab/>
        <w:t>who are members of bodies that represent the interests of the University in places other than the University’s principal campus; and</w:t>
      </w:r>
    </w:p>
    <w:p>
      <w:pPr>
        <w:pStyle w:val="Indenti"/>
      </w:pPr>
      <w:r>
        <w:tab/>
        <w:t>(ii)</w:t>
      </w:r>
      <w:r>
        <w:tab/>
        <w:t>who are not staff or students of the University;</w:t>
      </w:r>
    </w:p>
    <w:p>
      <w:pPr>
        <w:pStyle w:val="Indenta"/>
      </w:pPr>
      <w:r>
        <w:tab/>
      </w:r>
      <w:r>
        <w:tab/>
        <w:t>and</w:t>
      </w:r>
    </w:p>
    <w:p>
      <w:pPr>
        <w:pStyle w:val="Indenta"/>
      </w:pPr>
      <w:r>
        <w:tab/>
        <w:t>(k)</w:t>
      </w:r>
      <w:r>
        <w:tab/>
        <w:t>one member of the Academic Board of the University established by Statute, elected by and from the Academic Board.</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rPr>
          <w:snapToGrid w:val="0"/>
        </w:rPr>
      </w:pPr>
      <w:r>
        <w:tab/>
        <w:t>(3)</w:t>
      </w:r>
      <w:r>
        <w:tab/>
        <w:t>The majority of members of the Council must be persons who are not members of the staff or students of the University.</w:t>
      </w:r>
    </w:p>
    <w:p>
      <w:pPr>
        <w:pStyle w:val="Footnotesection"/>
      </w:pPr>
      <w:r>
        <w:tab/>
        <w:t xml:space="preserve">[Section 9 amended by No. 57 of 1969 s. 2; No. 57 of 1970 s. 3; No. 49 of 1971 s. 3; No. 37 of 1981 s. 7; No. 59 of 1982 s. 4; No. 96 of 1986 s. 11; No. 7 of 1988 s. 16; No. 22 of 1996 s. 16(3); No. 35 of 1996 s. 5 and 32; No. 36 of 1999 s. 247; No. 8 of 2005 s. 4.] </w:t>
      </w:r>
    </w:p>
    <w:p>
      <w:pPr>
        <w:pStyle w:val="Heading5"/>
        <w:spacing w:before="120"/>
        <w:rPr>
          <w:snapToGrid w:val="0"/>
        </w:rPr>
      </w:pPr>
      <w:bookmarkStart w:id="142" w:name="_Toc378162970"/>
      <w:bookmarkStart w:id="143" w:name="_Toc435842540"/>
      <w:bookmarkStart w:id="144" w:name="_Toc517596745"/>
      <w:bookmarkStart w:id="145" w:name="_Toc517596869"/>
      <w:bookmarkStart w:id="146" w:name="_Toc517597257"/>
      <w:bookmarkStart w:id="147" w:name="_Toc268096415"/>
      <w:r>
        <w:rPr>
          <w:rStyle w:val="CharSectno"/>
        </w:rPr>
        <w:t>9A</w:t>
      </w:r>
      <w:r>
        <w:rPr>
          <w:snapToGrid w:val="0"/>
        </w:rPr>
        <w:t xml:space="preserve">. </w:t>
      </w:r>
      <w:r>
        <w:rPr>
          <w:snapToGrid w:val="0"/>
        </w:rPr>
        <w:tab/>
        <w:t>Term of office of members</w:t>
      </w:r>
      <w:bookmarkEnd w:id="142"/>
      <w:bookmarkEnd w:id="143"/>
      <w:bookmarkEnd w:id="144"/>
      <w:bookmarkEnd w:id="145"/>
      <w:bookmarkEnd w:id="146"/>
      <w:bookmarkEnd w:id="147"/>
      <w:r>
        <w:rPr>
          <w:snapToGrid w:val="0"/>
        </w:rPr>
        <w:t xml:space="preserve"> </w:t>
      </w:r>
    </w:p>
    <w:p>
      <w:pPr>
        <w:pStyle w:val="Subsection"/>
        <w:keepNext/>
        <w:keepLines/>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member appointed under section 9(1)(a) or (i) holds office for a period of 3 years, commencing on the day of his appointment, unless a shorter term of office is specified pursuant to subsection (5);</w:t>
      </w:r>
    </w:p>
    <w:p>
      <w:pPr>
        <w:pStyle w:val="Indenta"/>
        <w:rPr>
          <w:snapToGrid w:val="0"/>
        </w:rPr>
      </w:pPr>
      <w:r>
        <w:rPr>
          <w:snapToGrid w:val="0"/>
        </w:rPr>
        <w:tab/>
        <w:t>(b)</w:t>
      </w:r>
      <w:r>
        <w:rPr>
          <w:snapToGrid w:val="0"/>
        </w:rPr>
        <w:tab/>
        <w:t>a member elected under section 9(1)(g), (gb), or (gc) holds office for a period of 3 years, commencing on the day on which his election takes effect, unless a shorter term of office is specified pursuant to subsection (6);</w:t>
      </w:r>
    </w:p>
    <w:p>
      <w:pPr>
        <w:pStyle w:val="Indenta"/>
        <w:rPr>
          <w:snapToGrid w:val="0"/>
        </w:rPr>
      </w:pPr>
      <w:r>
        <w:rPr>
          <w:snapToGrid w:val="0"/>
        </w:rPr>
        <w:tab/>
        <w:t>(c)</w:t>
      </w:r>
      <w:r>
        <w:rPr>
          <w:snapToGrid w:val="0"/>
        </w:rPr>
        <w:tab/>
        <w:t>a member elected under section 9(1)(ga) holds office for a period of one year commencing on the day on which his election takes effect.</w:t>
      </w:r>
    </w:p>
    <w:p>
      <w:pPr>
        <w:pStyle w:val="Subsection"/>
        <w:rPr>
          <w:snapToGrid w:val="0"/>
        </w:rPr>
      </w:pPr>
      <w:r>
        <w:rPr>
          <w:snapToGrid w:val="0"/>
        </w:rPr>
        <w:tab/>
        <w:t>(2)</w:t>
      </w:r>
      <w:r>
        <w:rPr>
          <w:snapToGrid w:val="0"/>
        </w:rPr>
        <w:tab/>
        <w:t xml:space="preserve">A member who holds office under section 9(1)(j) ceases to hold office if the </w:t>
      </w:r>
      <w:r>
        <w:t>member was appointed from the members of a body which has ceased to exist.</w:t>
      </w:r>
    </w:p>
    <w:p>
      <w:pPr>
        <w:pStyle w:val="Subsection"/>
        <w:rPr>
          <w:snapToGrid w:val="0"/>
        </w:rPr>
      </w:pPr>
      <w:r>
        <w:rPr>
          <w:snapToGrid w:val="0"/>
        </w:rPr>
        <w:tab/>
        <w:t>(3)</w:t>
      </w:r>
      <w:r>
        <w:rPr>
          <w:snapToGrid w:val="0"/>
        </w:rPr>
        <w:tab/>
        <w:t>A member elected under paragraph (ga) may be re</w:t>
      </w:r>
      <w:r>
        <w:rPr>
          <w:snapToGrid w:val="0"/>
        </w:rPr>
        <w:noBreakHyphen/>
        <w:t>elected once, but only once, on the expiry of his term of office, if he continues to be qualified under section 9.</w:t>
      </w:r>
    </w:p>
    <w:p>
      <w:pPr>
        <w:pStyle w:val="Subsection"/>
        <w:rPr>
          <w:snapToGrid w:val="0"/>
        </w:rPr>
      </w:pPr>
      <w:r>
        <w:rPr>
          <w:snapToGrid w:val="0"/>
        </w:rPr>
        <w:tab/>
        <w:t>(4)</w:t>
      </w:r>
      <w:r>
        <w:rPr>
          <w:snapToGrid w:val="0"/>
        </w:rPr>
        <w:tab/>
        <w:t>Except as provided in subsection (3), an appointed (which includes co</w:t>
      </w:r>
      <w:r>
        <w:rPr>
          <w:snapToGrid w:val="0"/>
        </w:rPr>
        <w:noBreakHyphen/>
        <w:t>opted) or elected member, on the expiry of his term of office, may be again appointed or elected, if he continues to be qualified under section 9; but on the expiry of a third successive term of office (of whatever duration) he is not eligible to hold office as a member until 12 months have elapsed after such expiry.</w:t>
      </w:r>
    </w:p>
    <w:p>
      <w:pPr>
        <w:pStyle w:val="Subsection"/>
        <w:rPr>
          <w:snapToGrid w:val="0"/>
        </w:rPr>
      </w:pPr>
      <w:r>
        <w:rPr>
          <w:snapToGrid w:val="0"/>
        </w:rPr>
        <w:tab/>
        <w:t>(5)</w:t>
      </w:r>
      <w:r>
        <w:rPr>
          <w:snapToGrid w:val="0"/>
        </w:rPr>
        <w:tab/>
        <w:t>Notwithstanding subsection (1)(a), the Governor or the Council may, when appointing a person as a member, specify a term of office of less than 3 years where an appointment for such shorter term is desirable to ensure that — </w:t>
      </w:r>
    </w:p>
    <w:p>
      <w:pPr>
        <w:pStyle w:val="Indenta"/>
        <w:rPr>
          <w:snapToGrid w:val="0"/>
        </w:rPr>
      </w:pPr>
      <w:r>
        <w:rPr>
          <w:snapToGrid w:val="0"/>
        </w:rPr>
        <w:tab/>
        <w:t>(a)</w:t>
      </w:r>
      <w:r>
        <w:rPr>
          <w:snapToGrid w:val="0"/>
        </w:rPr>
        <w:tab/>
        <w:t>the terms of office of members expire at intervals which will produce reasonable continuity of membership; or</w:t>
      </w:r>
    </w:p>
    <w:p>
      <w:pPr>
        <w:pStyle w:val="Indenta"/>
        <w:rPr>
          <w:snapToGrid w:val="0"/>
        </w:rPr>
      </w:pPr>
      <w:r>
        <w:rPr>
          <w:snapToGrid w:val="0"/>
        </w:rPr>
        <w:tab/>
        <w:t>(b)</w:t>
      </w:r>
      <w:r>
        <w:rPr>
          <w:snapToGrid w:val="0"/>
        </w:rPr>
        <w:tab/>
        <w:t>the terms of office expire on dates which afford the convenience of uniformity.</w:t>
      </w:r>
    </w:p>
    <w:p>
      <w:pPr>
        <w:pStyle w:val="Subsection"/>
        <w:keepNext/>
        <w:rPr>
          <w:snapToGrid w:val="0"/>
        </w:rPr>
      </w:pPr>
      <w:r>
        <w:rPr>
          <w:snapToGrid w:val="0"/>
        </w:rPr>
        <w:tab/>
        <w:t>(6)</w:t>
      </w:r>
      <w:r>
        <w:rPr>
          <w:snapToGrid w:val="0"/>
        </w:rPr>
        <w:tab/>
        <w:t>Notwithstanding subsection (1)(b) the Council may, before an election is held for the purposes of section 9(1)(g), (gb), or (gc) by notice given in writing to the returning officer for the election specify a term of office of less than 3 years for any member proposed to be elected under paragraph (g), (gb), or (gc), where election for such shorter term is desirable for any reason mentioned in subsection (5)(a) and (b).</w:t>
      </w:r>
    </w:p>
    <w:p>
      <w:pPr>
        <w:pStyle w:val="Footnotesection"/>
        <w:keepLines w:val="0"/>
      </w:pPr>
      <w:r>
        <w:tab/>
        <w:t>[Section 9A inserted by No. 37 of 1981 s. 8; amended by No. 59 of 1982 s. 5; No. 8 of 2005 s. 6.]</w:t>
      </w:r>
    </w:p>
    <w:p>
      <w:pPr>
        <w:pStyle w:val="Heading5"/>
      </w:pPr>
      <w:bookmarkStart w:id="148" w:name="_Toc378162971"/>
      <w:bookmarkStart w:id="149" w:name="_Toc268096416"/>
      <w:bookmarkStart w:id="150" w:name="_Toc435842541"/>
      <w:bookmarkStart w:id="151" w:name="_Toc517596746"/>
      <w:bookmarkStart w:id="152" w:name="_Toc517596870"/>
      <w:bookmarkStart w:id="153" w:name="_Toc517597258"/>
      <w:r>
        <w:rPr>
          <w:rStyle w:val="CharSectno"/>
        </w:rPr>
        <w:t>9B</w:t>
      </w:r>
      <w:r>
        <w:t>.</w:t>
      </w:r>
      <w:r>
        <w:tab/>
        <w:t>Members’ duties</w:t>
      </w:r>
      <w:bookmarkEnd w:id="148"/>
      <w:bookmarkEnd w:id="149"/>
    </w:p>
    <w:p>
      <w:pPr>
        <w:pStyle w:val="Subsection"/>
      </w:pPr>
      <w:r>
        <w:tab/>
      </w:r>
      <w:r>
        <w:tab/>
        <w:t>Schedule 1A Division 1 has effect.</w:t>
      </w:r>
    </w:p>
    <w:p>
      <w:pPr>
        <w:pStyle w:val="Footnotesection"/>
        <w:keepLines w:val="0"/>
      </w:pPr>
      <w:r>
        <w:tab/>
        <w:t>[Section 9B inserted by No. 8 of 2005 s. 7.]</w:t>
      </w:r>
    </w:p>
    <w:p>
      <w:pPr>
        <w:pStyle w:val="Heading5"/>
        <w:rPr>
          <w:snapToGrid w:val="0"/>
        </w:rPr>
      </w:pPr>
      <w:bookmarkStart w:id="154" w:name="_Toc378162972"/>
      <w:bookmarkStart w:id="155" w:name="_Toc268096417"/>
      <w:r>
        <w:rPr>
          <w:rStyle w:val="CharSectno"/>
        </w:rPr>
        <w:t>10</w:t>
      </w:r>
      <w:r>
        <w:rPr>
          <w:snapToGrid w:val="0"/>
        </w:rPr>
        <w:t>.</w:t>
      </w:r>
      <w:r>
        <w:rPr>
          <w:snapToGrid w:val="0"/>
        </w:rPr>
        <w:tab/>
        <w:t>Vacation of office</w:t>
      </w:r>
      <w:bookmarkEnd w:id="154"/>
      <w:bookmarkEnd w:id="150"/>
      <w:bookmarkEnd w:id="151"/>
      <w:bookmarkEnd w:id="152"/>
      <w:bookmarkEnd w:id="153"/>
      <w:bookmarkEnd w:id="155"/>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addressed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pPr>
      <w:r>
        <w:tab/>
        <w:t>(ea)</w:t>
      </w:r>
      <w:r>
        <w:tab/>
        <w:t xml:space="preserve">is removed from office by the Council under section 10AA; </w:t>
      </w:r>
      <w:r>
        <w:rPr>
          <w:snapToGrid w:val="0"/>
        </w:rPr>
        <w:t>or</w:t>
      </w:r>
    </w:p>
    <w:p>
      <w:pPr>
        <w:pStyle w:val="Indenta"/>
      </w:pPr>
      <w:r>
        <w:tab/>
        <w:t>(eb)</w:t>
      </w:r>
      <w:r>
        <w:tab/>
        <w:t xml:space="preserve">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is absent without leave of the Council from 3 consecutive meetings of the Council; or</w:t>
      </w:r>
    </w:p>
    <w:p>
      <w:pPr>
        <w:pStyle w:val="Indenta"/>
        <w:rPr>
          <w:snapToGrid w:val="0"/>
        </w:rPr>
      </w:pPr>
      <w:r>
        <w:rPr>
          <w:snapToGrid w:val="0"/>
        </w:rPr>
        <w:tab/>
        <w:t>(g)</w:t>
      </w:r>
      <w:r>
        <w:rPr>
          <w:snapToGrid w:val="0"/>
        </w:rPr>
        <w:tab/>
        <w:t>ceases to hold the requisite qualification under section 9 for being a member, and in particular — </w:t>
      </w:r>
    </w:p>
    <w:p>
      <w:pPr>
        <w:pStyle w:val="Indenti"/>
        <w:rPr>
          <w:snapToGrid w:val="0"/>
        </w:rPr>
      </w:pPr>
      <w:r>
        <w:rPr>
          <w:snapToGrid w:val="0"/>
        </w:rPr>
        <w:tab/>
        <w:t>(i)</w:t>
      </w:r>
      <w:r>
        <w:rPr>
          <w:snapToGrid w:val="0"/>
        </w:rPr>
        <w:tab/>
        <w:t>in the case of a person elected under paragraph (g) thereof, he ceases to be a member of the full</w:t>
      </w:r>
      <w:r>
        <w:rPr>
          <w:snapToGrid w:val="0"/>
        </w:rPr>
        <w:noBreakHyphen/>
        <w:t>time academic staff; or</w:t>
      </w:r>
    </w:p>
    <w:p>
      <w:pPr>
        <w:pStyle w:val="Indenti"/>
        <w:rPr>
          <w:snapToGrid w:val="0"/>
        </w:rPr>
      </w:pPr>
      <w:r>
        <w:rPr>
          <w:snapToGrid w:val="0"/>
        </w:rPr>
        <w:tab/>
        <w:t>(ii)</w:t>
      </w:r>
      <w:r>
        <w:rPr>
          <w:snapToGrid w:val="0"/>
        </w:rPr>
        <w:tab/>
        <w:t>in the case of a person elected under paragraph (ga) thereof, he ceases to be a member of the Student Guild or a voting member of the council of the Student Guild, as the case may be; or</w:t>
      </w:r>
    </w:p>
    <w:p>
      <w:pPr>
        <w:pStyle w:val="Indenti"/>
        <w:rPr>
          <w:snapToGrid w:val="0"/>
        </w:rPr>
      </w:pPr>
      <w:r>
        <w:rPr>
          <w:snapToGrid w:val="0"/>
        </w:rPr>
        <w:tab/>
        <w:t>(iii)</w:t>
      </w:r>
      <w:r>
        <w:rPr>
          <w:snapToGrid w:val="0"/>
        </w:rPr>
        <w:tab/>
        <w:t>in the case of a person elected under paragraph (gb) thereof, he ceases to be a member of the full</w:t>
      </w:r>
      <w:r>
        <w:rPr>
          <w:snapToGrid w:val="0"/>
        </w:rPr>
        <w:noBreakHyphen/>
        <w:t>time salaried staff, other than the academic staff; or</w:t>
      </w:r>
    </w:p>
    <w:p>
      <w:pPr>
        <w:pStyle w:val="Indenti"/>
        <w:rPr>
          <w:snapToGrid w:val="0"/>
        </w:rPr>
      </w:pPr>
      <w:r>
        <w:rPr>
          <w:snapToGrid w:val="0"/>
        </w:rPr>
        <w:tab/>
        <w:t>(iv)</w:t>
      </w:r>
      <w:r>
        <w:rPr>
          <w:snapToGrid w:val="0"/>
        </w:rPr>
        <w:tab/>
        <w:t>in the case of a person elected under paragraph (gc) thereof, he ceases to be a member of the Alumni Association of the University,</w:t>
      </w:r>
    </w:p>
    <w:p>
      <w:pPr>
        <w:pStyle w:val="Subsection"/>
        <w:rPr>
          <w:snapToGrid w:val="0"/>
        </w:rPr>
      </w:pPr>
      <w:r>
        <w:rPr>
          <w:snapToGrid w:val="0"/>
        </w:rPr>
        <w:tab/>
      </w:r>
      <w:r>
        <w:rPr>
          <w:snapToGrid w:val="0"/>
        </w:rPr>
        <w:tab/>
        <w:t>his office shall become vacant and shall be filled as a casual vacancy in accordance with section 10A.</w:t>
      </w:r>
    </w:p>
    <w:p>
      <w:pPr>
        <w:pStyle w:val="Footnotesection"/>
      </w:pPr>
      <w:r>
        <w:tab/>
        <w:t xml:space="preserve">[Section 10 amended by No. 49 of 1971 s. 4; No. 37 of 1981 s. 9; No. 96 of 1986 s. 11; No. 24 of 1990 s. 123; No. 8 of 2005 s. 8; No. 18 of 2009 s. 28(2).] </w:t>
      </w:r>
    </w:p>
    <w:p>
      <w:pPr>
        <w:pStyle w:val="Heading5"/>
      </w:pPr>
      <w:bookmarkStart w:id="156" w:name="_Toc378162973"/>
      <w:bookmarkStart w:id="157" w:name="_Toc268096418"/>
      <w:bookmarkStart w:id="158" w:name="_Toc435842542"/>
      <w:bookmarkStart w:id="159" w:name="_Toc517596747"/>
      <w:bookmarkStart w:id="160" w:name="_Toc517596871"/>
      <w:bookmarkStart w:id="161" w:name="_Toc517597259"/>
      <w:r>
        <w:rPr>
          <w:rStyle w:val="CharSectno"/>
        </w:rPr>
        <w:t>10AA</w:t>
      </w:r>
      <w:r>
        <w:t>.</w:t>
      </w:r>
      <w:r>
        <w:tab/>
        <w:t>Removal of members for breach of certain duties and suspension pending removal</w:t>
      </w:r>
      <w:bookmarkEnd w:id="156"/>
      <w:bookmarkEnd w:id="157"/>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 </w:t>
      </w:r>
      <w:r>
        <w:rPr>
          <w:vertAlign w:val="superscript"/>
        </w:rPr>
        <w:t>1</w:t>
      </w:r>
      <w:r>
        <w:rPr>
          <w:i/>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10AA inserted by No.</w:t>
      </w:r>
      <w:r>
        <w:rPr>
          <w:sz w:val="28"/>
        </w:rPr>
        <w:t> </w:t>
      </w:r>
      <w:r>
        <w:t>8 of 2005 s. 9.]</w:t>
      </w:r>
    </w:p>
    <w:p>
      <w:pPr>
        <w:pStyle w:val="Heading5"/>
        <w:rPr>
          <w:snapToGrid w:val="0"/>
        </w:rPr>
      </w:pPr>
      <w:bookmarkStart w:id="162" w:name="_Toc378162974"/>
      <w:bookmarkStart w:id="163" w:name="_Toc268096419"/>
      <w:r>
        <w:rPr>
          <w:rStyle w:val="CharSectno"/>
        </w:rPr>
        <w:t>10A</w:t>
      </w:r>
      <w:r>
        <w:rPr>
          <w:snapToGrid w:val="0"/>
        </w:rPr>
        <w:t xml:space="preserve">. </w:t>
      </w:r>
      <w:r>
        <w:rPr>
          <w:snapToGrid w:val="0"/>
        </w:rPr>
        <w:tab/>
        <w:t>Casual vacancies</w:t>
      </w:r>
      <w:bookmarkEnd w:id="162"/>
      <w:bookmarkEnd w:id="158"/>
      <w:bookmarkEnd w:id="159"/>
      <w:bookmarkEnd w:id="160"/>
      <w:bookmarkEnd w:id="161"/>
      <w:bookmarkEnd w:id="163"/>
      <w:r>
        <w:rPr>
          <w:snapToGrid w:val="0"/>
        </w:rPr>
        <w:t xml:space="preserve"> </w:t>
      </w:r>
    </w:p>
    <w:p>
      <w:pPr>
        <w:pStyle w:val="Subsection"/>
        <w:rPr>
          <w:snapToGrid w:val="0"/>
        </w:rPr>
      </w:pPr>
      <w:r>
        <w:rPr>
          <w:snapToGrid w:val="0"/>
        </w:rPr>
        <w:tab/>
        <w:t>(1)</w:t>
      </w:r>
      <w:r>
        <w:rPr>
          <w:snapToGrid w:val="0"/>
        </w:rPr>
        <w:tab/>
        <w:t>Where a casual vacancy occurs in the office of a member, the vacancy shall, subject to this section, be filled in the same manner as it would be if it had occurred by effluxion of time, except that — </w:t>
      </w:r>
    </w:p>
    <w:p>
      <w:pPr>
        <w:pStyle w:val="Indenta"/>
        <w:rPr>
          <w:snapToGrid w:val="0"/>
        </w:rPr>
      </w:pPr>
      <w:r>
        <w:rPr>
          <w:snapToGrid w:val="0"/>
        </w:rPr>
        <w:tab/>
        <w:t>(a)</w:t>
      </w:r>
      <w:r>
        <w:rPr>
          <w:snapToGrid w:val="0"/>
        </w:rPr>
        <w:tab/>
        <w:t>if the vacancy is in the office of an elected member and it has not, within 3 months after it occurs, been filled by election, it may be filled by an appointment by the Governor of a person who has the same qualification under section 9 as that of the former member; and</w:t>
      </w:r>
    </w:p>
    <w:p>
      <w:pPr>
        <w:pStyle w:val="Indenta"/>
        <w:rPr>
          <w:snapToGrid w:val="0"/>
        </w:rPr>
      </w:pPr>
      <w:r>
        <w:rPr>
          <w:snapToGrid w:val="0"/>
        </w:rPr>
        <w:tab/>
        <w:t>(b)</w:t>
      </w:r>
      <w:r>
        <w:rPr>
          <w:snapToGrid w:val="0"/>
        </w:rPr>
        <w:tab/>
        <w:t>the person who fills the vacancy shall, subject to this Act, hold office for the residue of the former member’s term of office.</w:t>
      </w:r>
    </w:p>
    <w:p>
      <w:pPr>
        <w:pStyle w:val="Subsection"/>
        <w:rPr>
          <w:snapToGrid w:val="0"/>
        </w:rPr>
      </w:pPr>
      <w:r>
        <w:rPr>
          <w:snapToGrid w:val="0"/>
        </w:rPr>
        <w:tab/>
        <w:t>(2)</w:t>
      </w:r>
      <w:r>
        <w:rPr>
          <w:snapToGrid w:val="0"/>
        </w:rPr>
        <w:tab/>
        <w:t>Notwithstanding subsection (1), if a casual vacancy occurs in the office of an elected member within 6 months before the expiry of his term of office by effluxion of time, that vacancy shall not be filled for the residue of the term of the office unless the Council resolves that exceptional circumstances require that the vacancy be filled.</w:t>
      </w:r>
    </w:p>
    <w:p>
      <w:pPr>
        <w:pStyle w:val="Footnotesection"/>
      </w:pPr>
      <w:r>
        <w:tab/>
        <w:t xml:space="preserve">[Section 10A inserted by No. 37 of 1981 s. 10.] </w:t>
      </w:r>
    </w:p>
    <w:p>
      <w:pPr>
        <w:pStyle w:val="Heading5"/>
        <w:rPr>
          <w:snapToGrid w:val="0"/>
        </w:rPr>
      </w:pPr>
      <w:bookmarkStart w:id="164" w:name="_Toc378162975"/>
      <w:bookmarkStart w:id="165" w:name="_Toc435842543"/>
      <w:bookmarkStart w:id="166" w:name="_Toc517596748"/>
      <w:bookmarkStart w:id="167" w:name="_Toc517596872"/>
      <w:bookmarkStart w:id="168" w:name="_Toc517597260"/>
      <w:bookmarkStart w:id="169" w:name="_Toc268096420"/>
      <w:r>
        <w:rPr>
          <w:rStyle w:val="CharSectno"/>
        </w:rPr>
        <w:t>11</w:t>
      </w:r>
      <w:r>
        <w:rPr>
          <w:snapToGrid w:val="0"/>
        </w:rPr>
        <w:t>.</w:t>
      </w:r>
      <w:r>
        <w:rPr>
          <w:snapToGrid w:val="0"/>
        </w:rPr>
        <w:tab/>
        <w:t>Meetings of Council</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Chancellor shall preside at all meetings of the Council at which he is present.</w:t>
      </w:r>
    </w:p>
    <w:p>
      <w:pPr>
        <w:pStyle w:val="Subsection"/>
        <w:keepNext/>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 xml:space="preserve">[Section 11 amended by No. 96 of 1986 s. 11.] </w:t>
      </w:r>
    </w:p>
    <w:p>
      <w:pPr>
        <w:pStyle w:val="Heading5"/>
      </w:pPr>
      <w:bookmarkStart w:id="170" w:name="_Toc378162976"/>
      <w:bookmarkStart w:id="171" w:name="_Toc268096421"/>
      <w:bookmarkStart w:id="172" w:name="_Toc435842545"/>
      <w:bookmarkStart w:id="173" w:name="_Toc517596750"/>
      <w:bookmarkStart w:id="174" w:name="_Toc517596874"/>
      <w:bookmarkStart w:id="175" w:name="_Toc517597262"/>
      <w:r>
        <w:rPr>
          <w:rStyle w:val="CharSectno"/>
        </w:rPr>
        <w:t>12</w:t>
      </w:r>
      <w:r>
        <w:t>.</w:t>
      </w:r>
      <w:r>
        <w:tab/>
        <w:t>Disclosure of interests</w:t>
      </w:r>
      <w:bookmarkEnd w:id="170"/>
      <w:bookmarkEnd w:id="171"/>
    </w:p>
    <w:p>
      <w:pPr>
        <w:pStyle w:val="Subsection"/>
      </w:pPr>
      <w:r>
        <w:tab/>
      </w:r>
      <w:r>
        <w:tab/>
        <w:t>Schedule 1A Division 2 has effect.</w:t>
      </w:r>
    </w:p>
    <w:p>
      <w:pPr>
        <w:pStyle w:val="Footnotesection"/>
        <w:ind w:left="890" w:hanging="890"/>
      </w:pPr>
      <w:r>
        <w:tab/>
        <w:t>[Section 12 inserted by No.</w:t>
      </w:r>
      <w:r>
        <w:rPr>
          <w:sz w:val="28"/>
        </w:rPr>
        <w:t> </w:t>
      </w:r>
      <w:r>
        <w:t xml:space="preserve">8 of 2005 s. 10.] </w:t>
      </w:r>
    </w:p>
    <w:p>
      <w:pPr>
        <w:pStyle w:val="Heading5"/>
        <w:rPr>
          <w:snapToGrid w:val="0"/>
        </w:rPr>
      </w:pPr>
      <w:bookmarkStart w:id="176" w:name="_Toc378162977"/>
      <w:bookmarkStart w:id="177" w:name="_Toc268096422"/>
      <w:r>
        <w:rPr>
          <w:rStyle w:val="CharSectno"/>
        </w:rPr>
        <w:t>13</w:t>
      </w:r>
      <w:r>
        <w:rPr>
          <w:snapToGrid w:val="0"/>
        </w:rPr>
        <w:t>.</w:t>
      </w:r>
      <w:r>
        <w:rPr>
          <w:snapToGrid w:val="0"/>
        </w:rPr>
        <w:tab/>
        <w:t>Quorum</w:t>
      </w:r>
      <w:bookmarkEnd w:id="176"/>
      <w:bookmarkEnd w:id="172"/>
      <w:bookmarkEnd w:id="173"/>
      <w:bookmarkEnd w:id="174"/>
      <w:bookmarkEnd w:id="175"/>
      <w:bookmarkEnd w:id="177"/>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by No. 59 of 1982 s. 6.] </w:t>
      </w:r>
    </w:p>
    <w:p>
      <w:pPr>
        <w:pStyle w:val="Heading5"/>
        <w:rPr>
          <w:snapToGrid w:val="0"/>
        </w:rPr>
      </w:pPr>
      <w:bookmarkStart w:id="178" w:name="_Toc378162978"/>
      <w:bookmarkStart w:id="179" w:name="_Toc435842546"/>
      <w:bookmarkStart w:id="180" w:name="_Toc517596751"/>
      <w:bookmarkStart w:id="181" w:name="_Toc517596875"/>
      <w:bookmarkStart w:id="182" w:name="_Toc517597263"/>
      <w:bookmarkStart w:id="183" w:name="_Toc268096423"/>
      <w:r>
        <w:rPr>
          <w:rStyle w:val="CharSectno"/>
        </w:rPr>
        <w:t>14</w:t>
      </w:r>
      <w:r>
        <w:rPr>
          <w:snapToGrid w:val="0"/>
        </w:rPr>
        <w:t>.</w:t>
      </w:r>
      <w:r>
        <w:rPr>
          <w:snapToGrid w:val="0"/>
        </w:rPr>
        <w:tab/>
        <w:t>Chief executive officer</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14 amended by No. 31 of 1974 s. 3; No. 96 of 1986 s. 7 and 11.] </w:t>
      </w:r>
    </w:p>
    <w:p>
      <w:pPr>
        <w:pStyle w:val="Heading5"/>
        <w:rPr>
          <w:snapToGrid w:val="0"/>
        </w:rPr>
      </w:pPr>
      <w:bookmarkStart w:id="184" w:name="_Toc378162979"/>
      <w:bookmarkStart w:id="185" w:name="_Toc435842547"/>
      <w:bookmarkStart w:id="186" w:name="_Toc517596752"/>
      <w:bookmarkStart w:id="187" w:name="_Toc517596876"/>
      <w:bookmarkStart w:id="188" w:name="_Toc517597264"/>
      <w:bookmarkStart w:id="189" w:name="_Toc268096424"/>
      <w:r>
        <w:rPr>
          <w:rStyle w:val="CharSectno"/>
        </w:rPr>
        <w:t>15</w:t>
      </w:r>
      <w:r>
        <w:rPr>
          <w:snapToGrid w:val="0"/>
        </w:rPr>
        <w:t>.</w:t>
      </w:r>
      <w:r>
        <w:rPr>
          <w:snapToGrid w:val="0"/>
        </w:rPr>
        <w:tab/>
        <w:t>Delegation by Council</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 </w:t>
      </w:r>
    </w:p>
    <w:p>
      <w:pPr>
        <w:pStyle w:val="Indenti"/>
        <w:rPr>
          <w:snapToGrid w:val="0"/>
        </w:rPr>
      </w:pPr>
      <w:r>
        <w:rPr>
          <w:snapToGrid w:val="0"/>
        </w:rPr>
        <w:tab/>
        <w:t>(i)</w:t>
      </w:r>
      <w:r>
        <w:rPr>
          <w:snapToGrid w:val="0"/>
        </w:rPr>
        <w:tab/>
        <w:t>any member;</w:t>
      </w:r>
    </w:p>
    <w:p>
      <w:pPr>
        <w:pStyle w:val="Indenti"/>
        <w:rPr>
          <w:snapToGrid w:val="0"/>
        </w:rPr>
      </w:pPr>
      <w:r>
        <w:rPr>
          <w:snapToGrid w:val="0"/>
        </w:rPr>
        <w:tab/>
        <w:t>(ii)</w:t>
      </w:r>
      <w:r>
        <w:rPr>
          <w:snapToGrid w:val="0"/>
        </w:rPr>
        <w:tab/>
        <w:t>a committee consisting of members appointed by the Council;</w:t>
      </w:r>
    </w:p>
    <w:p>
      <w:pPr>
        <w:pStyle w:val="Indenti"/>
        <w:rPr>
          <w:snapToGrid w:val="0"/>
        </w:rPr>
      </w:pPr>
      <w:r>
        <w:rPr>
          <w:snapToGrid w:val="0"/>
        </w:rPr>
        <w:tab/>
        <w:t>(iii)</w:t>
      </w:r>
      <w:r>
        <w:rPr>
          <w:snapToGrid w:val="0"/>
        </w:rPr>
        <w:tab/>
        <w:t>any officer or officers of the University; or</w:t>
      </w:r>
    </w:p>
    <w:p>
      <w:pPr>
        <w:pStyle w:val="Indenti"/>
        <w:rPr>
          <w:snapToGrid w:val="0"/>
        </w:rPr>
      </w:pPr>
      <w:r>
        <w:rPr>
          <w:snapToGrid w:val="0"/>
        </w:rPr>
        <w:tab/>
        <w:t>(iv)</w:t>
      </w:r>
      <w:r>
        <w:rPr>
          <w:snapToGrid w:val="0"/>
        </w:rPr>
        <w:tab/>
        <w:t>a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any matter or class of matters affecting the Kalgoorlie Campus, or in relation to any activity or function of the Kalgoorlie Campus, by resolution delegate all or any of its powers, authorities, duties and functions under this Act, except this power of delegation and its powers in relation to the making of Statutes or by</w:t>
      </w:r>
      <w:r>
        <w:rPr>
          <w:snapToGrid w:val="0"/>
        </w:rPr>
        <w:noBreakHyphen/>
        <w:t xml:space="preserve">laws, to the Kalgoorlie Campus Council. </w:t>
      </w:r>
    </w:p>
    <w:p>
      <w:pPr>
        <w:pStyle w:val="Subsection"/>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pPr>
      <w:r>
        <w:tab/>
        <w:t xml:space="preserve">[Section 15 amended by No. 59 of 1982 s. 78; No. 96 of 1986 s. 11; No. 35 of 1996 s. 6.] </w:t>
      </w:r>
    </w:p>
    <w:p>
      <w:pPr>
        <w:pStyle w:val="Heading5"/>
        <w:rPr>
          <w:snapToGrid w:val="0"/>
        </w:rPr>
      </w:pPr>
      <w:bookmarkStart w:id="190" w:name="_Toc378162980"/>
      <w:bookmarkStart w:id="191" w:name="_Toc435842548"/>
      <w:bookmarkStart w:id="192" w:name="_Toc517596753"/>
      <w:bookmarkStart w:id="193" w:name="_Toc517596877"/>
      <w:bookmarkStart w:id="194" w:name="_Toc517597265"/>
      <w:bookmarkStart w:id="195" w:name="_Toc268096425"/>
      <w:r>
        <w:rPr>
          <w:rStyle w:val="CharSectno"/>
        </w:rPr>
        <w:t>16</w:t>
      </w:r>
      <w:r>
        <w:rPr>
          <w:snapToGrid w:val="0"/>
        </w:rPr>
        <w:t>.</w:t>
      </w:r>
      <w:r>
        <w:rPr>
          <w:snapToGrid w:val="0"/>
        </w:rPr>
        <w:tab/>
        <w:t>Power of management of Council</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by No. 96 of 1986 s. 11.] </w:t>
      </w:r>
    </w:p>
    <w:p>
      <w:pPr>
        <w:pStyle w:val="Heading5"/>
        <w:rPr>
          <w:snapToGrid w:val="0"/>
        </w:rPr>
      </w:pPr>
      <w:bookmarkStart w:id="196" w:name="_Toc378162981"/>
      <w:bookmarkStart w:id="197" w:name="_Toc435842549"/>
      <w:bookmarkStart w:id="198" w:name="_Toc517596754"/>
      <w:bookmarkStart w:id="199" w:name="_Toc517596878"/>
      <w:bookmarkStart w:id="200" w:name="_Toc517597266"/>
      <w:bookmarkStart w:id="201" w:name="_Toc268096426"/>
      <w:r>
        <w:rPr>
          <w:rStyle w:val="CharSectno"/>
        </w:rPr>
        <w:t>17</w:t>
      </w:r>
      <w:r>
        <w:rPr>
          <w:snapToGrid w:val="0"/>
        </w:rPr>
        <w:t>.</w:t>
      </w:r>
      <w:r>
        <w:rPr>
          <w:snapToGrid w:val="0"/>
        </w:rPr>
        <w:tab/>
        <w:t>Power of Council to appoint and dismiss staff</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 xml:space="preserve">Subject to this Act and any award or agreement in force under the </w:t>
      </w:r>
      <w:r>
        <w:rPr>
          <w:i/>
          <w:snapToGrid w:val="0"/>
        </w:rPr>
        <w:t>Industrial Arbitration Act 1912</w:t>
      </w:r>
      <w:r>
        <w:rPr>
          <w:snapToGrid w:val="0"/>
        </w:rPr>
        <w:t xml:space="preserve"> </w:t>
      </w:r>
      <w:r>
        <w:rPr>
          <w:snapToGrid w:val="0"/>
          <w:vertAlign w:val="superscript"/>
        </w:rPr>
        <w:t>2</w:t>
      </w:r>
      <w:r>
        <w:rPr>
          <w:snapToGrid w:val="0"/>
        </w:rPr>
        <w:t>, 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 xml:space="preserve">[Section 17 amended by No. 31 of 1974 s. 4; No. 96 of 1986 s. 11.] </w:t>
      </w:r>
    </w:p>
    <w:p>
      <w:pPr>
        <w:pStyle w:val="Heading5"/>
        <w:rPr>
          <w:snapToGrid w:val="0"/>
        </w:rPr>
      </w:pPr>
      <w:bookmarkStart w:id="202" w:name="_Toc378162982"/>
      <w:bookmarkStart w:id="203" w:name="_Toc435842550"/>
      <w:bookmarkStart w:id="204" w:name="_Toc517596755"/>
      <w:bookmarkStart w:id="205" w:name="_Toc517596879"/>
      <w:bookmarkStart w:id="206" w:name="_Toc517597267"/>
      <w:bookmarkStart w:id="207" w:name="_Toc268096427"/>
      <w:r>
        <w:rPr>
          <w:rStyle w:val="CharSectno"/>
        </w:rPr>
        <w:t>17A</w:t>
      </w:r>
      <w:r>
        <w:rPr>
          <w:snapToGrid w:val="0"/>
        </w:rPr>
        <w:t xml:space="preserve">. </w:t>
      </w:r>
      <w:r>
        <w:rPr>
          <w:snapToGrid w:val="0"/>
        </w:rPr>
        <w:tab/>
        <w:t>Power of University to provide housing</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University may provide housing accommodation for a member of the staff of the University, whether a member of the academic or non</w:t>
      </w:r>
      <w:r>
        <w:rPr>
          <w:snapToGrid w:val="0"/>
        </w:rPr>
        <w:noBreakHyphen/>
        <w:t>academic staff.</w:t>
      </w:r>
    </w:p>
    <w:p>
      <w:pPr>
        <w:pStyle w:val="Footnotesection"/>
      </w:pPr>
      <w:r>
        <w:tab/>
        <w:t xml:space="preserve">[Section 17A inserted by No. 57 of 1969 s. 3; amended by No. 96 of 1986 s. 11.] </w:t>
      </w:r>
    </w:p>
    <w:p>
      <w:pPr>
        <w:pStyle w:val="Heading5"/>
        <w:rPr>
          <w:snapToGrid w:val="0"/>
        </w:rPr>
      </w:pPr>
      <w:bookmarkStart w:id="208" w:name="_Toc378162983"/>
      <w:bookmarkStart w:id="209" w:name="_Toc435842551"/>
      <w:bookmarkStart w:id="210" w:name="_Toc517596756"/>
      <w:bookmarkStart w:id="211" w:name="_Toc517596880"/>
      <w:bookmarkStart w:id="212" w:name="_Toc517597268"/>
      <w:bookmarkStart w:id="213" w:name="_Toc268096428"/>
      <w:r>
        <w:rPr>
          <w:rStyle w:val="CharSectno"/>
        </w:rPr>
        <w:t>18</w:t>
      </w:r>
      <w:r>
        <w:rPr>
          <w:snapToGrid w:val="0"/>
        </w:rPr>
        <w:t>.</w:t>
      </w:r>
      <w:r>
        <w:rPr>
          <w:snapToGrid w:val="0"/>
        </w:rPr>
        <w:tab/>
        <w:t>Power to award degrees, diplomas, etc.</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by No. 57 of 1970 s. 4; No. 31 of 1974 s. 5; No. 96 of 1986 s. 11.] </w:t>
      </w:r>
    </w:p>
    <w:p>
      <w:pPr>
        <w:pStyle w:val="Ednotesection"/>
      </w:pPr>
      <w:r>
        <w:t>[</w:t>
      </w:r>
      <w:r>
        <w:rPr>
          <w:b/>
        </w:rPr>
        <w:t>19.</w:t>
      </w:r>
      <w:r>
        <w:rPr>
          <w:b/>
        </w:rPr>
        <w:tab/>
      </w:r>
      <w:r>
        <w:t xml:space="preserve">Deleted by No. 59 of 1982 s. 8.] </w:t>
      </w:r>
    </w:p>
    <w:p>
      <w:pPr>
        <w:pStyle w:val="Heading5"/>
        <w:rPr>
          <w:snapToGrid w:val="0"/>
        </w:rPr>
      </w:pPr>
      <w:bookmarkStart w:id="214" w:name="_Toc378162984"/>
      <w:bookmarkStart w:id="215" w:name="_Toc435842552"/>
      <w:bookmarkStart w:id="216" w:name="_Toc517596757"/>
      <w:bookmarkStart w:id="217" w:name="_Toc517596881"/>
      <w:bookmarkStart w:id="218" w:name="_Toc517597269"/>
      <w:bookmarkStart w:id="219" w:name="_Toc268096429"/>
      <w:r>
        <w:rPr>
          <w:rStyle w:val="CharSectno"/>
        </w:rPr>
        <w:t>20</w:t>
      </w:r>
      <w:r>
        <w:rPr>
          <w:snapToGrid w:val="0"/>
        </w:rPr>
        <w:t>.</w:t>
      </w:r>
      <w:r>
        <w:rPr>
          <w:snapToGrid w:val="0"/>
        </w:rPr>
        <w:tab/>
        <w:t>Vesting and control of certain land</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spacing w:before="200"/>
        <w:rPr>
          <w:snapToGrid w:val="0"/>
        </w:rPr>
      </w:pPr>
      <w:r>
        <w:rPr>
          <w:snapToGrid w:val="0"/>
        </w:rPr>
        <w:tab/>
        <w:t>(2)</w:t>
      </w:r>
      <w:r>
        <w:rPr>
          <w:snapToGrid w:val="0"/>
        </w:rPr>
        <w:tab/>
        <w:t>When the University land ceases to be used for the purposes of or incidental to the University, it shall revert to and revest in Her Majesty.</w:t>
      </w:r>
    </w:p>
    <w:p>
      <w:pPr>
        <w:pStyle w:val="Subsection"/>
        <w:spacing w:before="200"/>
        <w:rPr>
          <w:snapToGrid w:val="0"/>
        </w:rPr>
      </w:pPr>
      <w:r>
        <w:rPr>
          <w:snapToGrid w:val="0"/>
        </w:rPr>
        <w:tab/>
        <w:t>(3)</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20 amended by No. 37 of 1968 s. 2; No. 31 of 1974 s. 6; No. 96 of 1986 s. 8 and 11; No. 35 of 1996 s. 7.] </w:t>
      </w:r>
    </w:p>
    <w:p>
      <w:pPr>
        <w:pStyle w:val="Heading5"/>
        <w:rPr>
          <w:snapToGrid w:val="0"/>
        </w:rPr>
      </w:pPr>
      <w:bookmarkStart w:id="220" w:name="_Toc378162985"/>
      <w:bookmarkStart w:id="221" w:name="_Toc435842553"/>
      <w:bookmarkStart w:id="222" w:name="_Toc517596758"/>
      <w:bookmarkStart w:id="223" w:name="_Toc517596882"/>
      <w:bookmarkStart w:id="224" w:name="_Toc517597270"/>
      <w:bookmarkStart w:id="225" w:name="_Toc268096430"/>
      <w:r>
        <w:rPr>
          <w:rStyle w:val="CharSectno"/>
        </w:rPr>
        <w:t>20A</w:t>
      </w:r>
      <w:r>
        <w:rPr>
          <w:snapToGrid w:val="0"/>
        </w:rPr>
        <w:t xml:space="preserve">. </w:t>
      </w:r>
      <w:r>
        <w:rPr>
          <w:snapToGrid w:val="0"/>
        </w:rPr>
        <w:tab/>
        <w:t>By</w:t>
      </w:r>
      <w:r>
        <w:rPr>
          <w:snapToGrid w:val="0"/>
        </w:rPr>
        <w:noBreakHyphen/>
        <w:t>laws</w:t>
      </w:r>
      <w:bookmarkEnd w:id="220"/>
      <w:bookmarkEnd w:id="221"/>
      <w:bookmarkEnd w:id="222"/>
      <w:bookmarkEnd w:id="223"/>
      <w:bookmarkEnd w:id="224"/>
      <w:bookmarkEnd w:id="225"/>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r>
      <w:r>
        <w:rPr>
          <w:rStyle w:val="CharDefText"/>
        </w:rPr>
        <w:t>authorised person</w:t>
      </w:r>
      <w:r>
        <w:t xml:space="preserve"> means any member of the Police Force, the chief executive officer of the University, or any member of the staff of the University authorised by that chief executive officer in respect of the matters referred to in the provision wherein the expression is used; and</w:t>
      </w:r>
    </w:p>
    <w:p>
      <w:pPr>
        <w:pStyle w:val="Defstart"/>
      </w:pPr>
      <w:r>
        <w:rPr>
          <w:b/>
        </w:rPr>
        <w:tab/>
      </w:r>
      <w:r>
        <w:rPr>
          <w:rStyle w:val="CharDefText"/>
        </w:rPr>
        <w:t>University lands</w:t>
      </w:r>
      <w:r>
        <w:t xml:space="preserve"> means land described in Schedule 1 and any other land vested in or under the management and control of the University for the purposes of this Act and includes all buildings, structures and erections of whatsoever kind or nature and whether permanent or temporary, standing or being on any such lands.</w:t>
      </w:r>
    </w:p>
    <w:p>
      <w:pPr>
        <w:pStyle w:val="Subsection"/>
        <w:spacing w:before="20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Any by</w:t>
      </w:r>
      <w:r>
        <w:rPr>
          <w:snapToGrid w:val="0"/>
        </w:rPr>
        <w:noBreakHyphen/>
        <w:t>law may impose a penalty not exceeding $500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 xml:space="preserve">Western Australian Institute of Technology Act Amendment Act 1974 </w:t>
      </w:r>
      <w:r>
        <w:rPr>
          <w:iCs/>
          <w:snapToGrid w:val="0"/>
          <w:vertAlign w:val="superscript"/>
        </w:rPr>
        <w:t>1</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 xml:space="preserve">[Section 20A inserted by No. 31 of 1974 s. 7; amended by No. 96 of 1986 s. 11; No. 78 of 1995 s. 31; No. 35 of 1996 s. 8 and 33; No. 84 of 2004 s. 80.] </w:t>
      </w:r>
    </w:p>
    <w:p>
      <w:pPr>
        <w:pStyle w:val="Heading5"/>
        <w:rPr>
          <w:snapToGrid w:val="0"/>
        </w:rPr>
      </w:pPr>
      <w:bookmarkStart w:id="226" w:name="_Toc378162986"/>
      <w:bookmarkStart w:id="227" w:name="_Toc435842554"/>
      <w:bookmarkStart w:id="228" w:name="_Toc517596759"/>
      <w:bookmarkStart w:id="229" w:name="_Toc517596883"/>
      <w:bookmarkStart w:id="230" w:name="_Toc517597271"/>
      <w:bookmarkStart w:id="231" w:name="_Toc268096431"/>
      <w:r>
        <w:rPr>
          <w:rStyle w:val="CharSectno"/>
        </w:rPr>
        <w:t>21</w:t>
      </w:r>
      <w:r>
        <w:rPr>
          <w:snapToGrid w:val="0"/>
        </w:rPr>
        <w:t>.</w:t>
      </w:r>
      <w:r>
        <w:rPr>
          <w:snapToGrid w:val="0"/>
        </w:rPr>
        <w:tab/>
        <w:t>Powers of Council</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not below tertiary level as it thinks fit and may in accordance with this Act award appropriate degrees, diplomas and certificates or honorary awards;</w:t>
      </w:r>
    </w:p>
    <w:p>
      <w:pPr>
        <w:pStyle w:val="Indenta"/>
        <w:rPr>
          <w:snapToGrid w:val="0"/>
        </w:rPr>
      </w:pPr>
      <w:r>
        <w:rPr>
          <w:snapToGrid w:val="0"/>
        </w:rPr>
        <w:tab/>
        <w:t>(b)</w:t>
      </w:r>
      <w:r>
        <w:rPr>
          <w:snapToGrid w:val="0"/>
        </w:rPr>
        <w:tab/>
        <w:t>may from time to time appoint persons to the Staff of the University and other officers and engage employees for the University;</w:t>
      </w:r>
    </w:p>
    <w:p>
      <w:pPr>
        <w:pStyle w:val="Indenta"/>
        <w:rPr>
          <w:snapToGrid w:val="0"/>
        </w:rPr>
      </w:pPr>
      <w:r>
        <w:rPr>
          <w:snapToGrid w:val="0"/>
        </w:rPr>
        <w:tab/>
        <w:t>(c)</w:t>
      </w:r>
      <w:r>
        <w:rPr>
          <w:snapToGrid w:val="0"/>
        </w:rPr>
        <w:tab/>
        <w:t>has the entire control and management of the affairs, concerns and property of the University;</w:t>
      </w:r>
    </w:p>
    <w:p>
      <w:pPr>
        <w:pStyle w:val="Indenta"/>
        <w:rPr>
          <w:snapToGrid w:val="0"/>
        </w:rPr>
      </w:pPr>
      <w:r>
        <w:rPr>
          <w:snapToGrid w:val="0"/>
        </w:rPr>
        <w:tab/>
        <w:t>(d)</w:t>
      </w:r>
      <w:r>
        <w:rPr>
          <w:snapToGrid w:val="0"/>
        </w:rPr>
        <w:tab/>
        <w:t>may, with the approval of the Minister, provide any course that is below the level of tertiary education; and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 xml:space="preserve">[Section 21 amended by No. 57 of 1970 s. 5; No. 96 of 1986 s. 9 and 11; No. 48 of 1989 s. 13.] </w:t>
      </w:r>
    </w:p>
    <w:p>
      <w:pPr>
        <w:pStyle w:val="Heading5"/>
      </w:pPr>
      <w:bookmarkStart w:id="232" w:name="_Toc378162987"/>
      <w:bookmarkStart w:id="233" w:name="_Toc268096432"/>
      <w:bookmarkStart w:id="234" w:name="_Toc97106372"/>
      <w:bookmarkStart w:id="235" w:name="_Toc103064882"/>
      <w:bookmarkStart w:id="236" w:name="_Toc108844417"/>
      <w:bookmarkStart w:id="237" w:name="_Toc108846884"/>
      <w:bookmarkStart w:id="238" w:name="_Toc111529312"/>
      <w:r>
        <w:rPr>
          <w:rStyle w:val="CharSectno"/>
        </w:rPr>
        <w:t>21AA</w:t>
      </w:r>
      <w:r>
        <w:t>.</w:t>
      </w:r>
      <w:r>
        <w:tab/>
        <w:t>Relief of members from liability</w:t>
      </w:r>
      <w:bookmarkEnd w:id="232"/>
      <w:bookmarkEnd w:id="233"/>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by No.</w:t>
      </w:r>
      <w:r>
        <w:rPr>
          <w:sz w:val="28"/>
        </w:rPr>
        <w:t> </w:t>
      </w:r>
      <w:r>
        <w:t>8 of 2005 s. 11.]</w:t>
      </w:r>
    </w:p>
    <w:p>
      <w:pPr>
        <w:pStyle w:val="Heading3"/>
        <w:rPr>
          <w:snapToGrid w:val="0"/>
        </w:rPr>
      </w:pPr>
      <w:bookmarkStart w:id="239" w:name="_Toc378162988"/>
      <w:bookmarkStart w:id="240" w:name="_Toc112575718"/>
      <w:bookmarkStart w:id="241" w:name="_Toc112575807"/>
      <w:bookmarkStart w:id="242" w:name="_Toc112575896"/>
      <w:bookmarkStart w:id="243" w:name="_Toc112575985"/>
      <w:bookmarkStart w:id="244" w:name="_Toc112576074"/>
      <w:bookmarkStart w:id="245" w:name="_Toc112731480"/>
      <w:bookmarkStart w:id="246" w:name="_Toc113698025"/>
      <w:bookmarkStart w:id="247" w:name="_Toc114299593"/>
      <w:bookmarkStart w:id="248" w:name="_Toc114299803"/>
      <w:bookmarkStart w:id="249" w:name="_Toc114300053"/>
      <w:bookmarkStart w:id="250" w:name="_Toc114301192"/>
      <w:bookmarkStart w:id="251" w:name="_Toc116901426"/>
      <w:bookmarkStart w:id="252" w:name="_Toc116960756"/>
      <w:bookmarkStart w:id="253" w:name="_Toc116983484"/>
      <w:bookmarkStart w:id="254" w:name="_Toc118693720"/>
      <w:bookmarkStart w:id="255" w:name="_Toc118704848"/>
      <w:bookmarkStart w:id="256" w:name="_Toc118783824"/>
      <w:bookmarkStart w:id="257" w:name="_Toc157846131"/>
      <w:bookmarkStart w:id="258" w:name="_Toc241052953"/>
      <w:bookmarkStart w:id="259" w:name="_Toc268096433"/>
      <w:r>
        <w:rPr>
          <w:rStyle w:val="CharDivNo"/>
        </w:rPr>
        <w:t>Division 2A</w:t>
      </w:r>
      <w:r>
        <w:rPr>
          <w:snapToGrid w:val="0"/>
        </w:rPr>
        <w:t> — </w:t>
      </w:r>
      <w:r>
        <w:rPr>
          <w:rStyle w:val="CharDivText"/>
        </w:rPr>
        <w:t>Branches of the University</w:t>
      </w:r>
      <w:bookmarkEnd w:id="239"/>
      <w:bookmarkEnd w:id="234"/>
      <w:bookmarkEnd w:id="235"/>
      <w:bookmarkEnd w:id="236"/>
      <w:bookmarkEnd w:id="237"/>
      <w:bookmarkEnd w:id="238"/>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Footnoteheading"/>
        <w:keepNext/>
      </w:pPr>
      <w:r>
        <w:tab/>
        <w:t xml:space="preserve">[Heading inserted by No. 59 of 1982 s. 9; amended by No. 96 of 1986 s. 11.] </w:t>
      </w:r>
    </w:p>
    <w:p>
      <w:pPr>
        <w:pStyle w:val="Heading5"/>
        <w:rPr>
          <w:snapToGrid w:val="0"/>
        </w:rPr>
      </w:pPr>
      <w:bookmarkStart w:id="260" w:name="_Toc378162989"/>
      <w:bookmarkStart w:id="261" w:name="_Toc435842555"/>
      <w:bookmarkStart w:id="262" w:name="_Toc517596760"/>
      <w:bookmarkStart w:id="263" w:name="_Toc517596884"/>
      <w:bookmarkStart w:id="264" w:name="_Toc517597272"/>
      <w:bookmarkStart w:id="265" w:name="_Toc268096434"/>
      <w:r>
        <w:rPr>
          <w:rStyle w:val="CharSectno"/>
        </w:rPr>
        <w:t>21A</w:t>
      </w:r>
      <w:r>
        <w:rPr>
          <w:snapToGrid w:val="0"/>
        </w:rPr>
        <w:t xml:space="preserve">. </w:t>
      </w:r>
      <w:r>
        <w:rPr>
          <w:snapToGrid w:val="0"/>
        </w:rPr>
        <w:tab/>
        <w:t>Power to establish branches</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Subject to subsection (2), the Council may establish and maintain branches of the University at such places as the Council, with the approval of the Minister, thinks fit.</w:t>
      </w:r>
    </w:p>
    <w:p>
      <w:pPr>
        <w:pStyle w:val="Subsection"/>
        <w:rPr>
          <w:snapToGrid w:val="0"/>
        </w:rPr>
      </w:pPr>
      <w:r>
        <w:rPr>
          <w:snapToGrid w:val="0"/>
        </w:rPr>
        <w:tab/>
        <w:t>(2)</w:t>
      </w:r>
      <w:r>
        <w:rPr>
          <w:snapToGrid w:val="0"/>
        </w:rPr>
        <w:tab/>
        <w:t xml:space="preserve">A branch of the University shall be established for the purposes of this Act by the Council causing to be published in the </w:t>
      </w:r>
      <w:r>
        <w:rPr>
          <w:i/>
          <w:snapToGrid w:val="0"/>
        </w:rPr>
        <w:t>Gazette</w:t>
      </w:r>
      <w:r>
        <w:rPr>
          <w:snapToGrid w:val="0"/>
        </w:rPr>
        <w:t xml:space="preserve"> a notice of the establishment of the branch and such a notice shall specify — </w:t>
      </w:r>
    </w:p>
    <w:p>
      <w:pPr>
        <w:pStyle w:val="Indenta"/>
        <w:rPr>
          <w:snapToGrid w:val="0"/>
        </w:rPr>
      </w:pPr>
      <w:r>
        <w:rPr>
          <w:snapToGrid w:val="0"/>
        </w:rPr>
        <w:tab/>
        <w:t>(a)</w:t>
      </w:r>
      <w:r>
        <w:rPr>
          <w:snapToGrid w:val="0"/>
        </w:rPr>
        <w:tab/>
        <w:t>the name by which the branch shall be known; and</w:t>
      </w:r>
    </w:p>
    <w:p>
      <w:pPr>
        <w:pStyle w:val="Indenta"/>
        <w:rPr>
          <w:snapToGrid w:val="0"/>
        </w:rPr>
      </w:pPr>
      <w:r>
        <w:rPr>
          <w:snapToGrid w:val="0"/>
        </w:rPr>
        <w:tab/>
        <w:t>(b)</w:t>
      </w:r>
      <w:r>
        <w:rPr>
          <w:snapToGrid w:val="0"/>
        </w:rPr>
        <w:tab/>
        <w:t>the date on which the branch is to be established.</w:t>
      </w:r>
    </w:p>
    <w:p>
      <w:pPr>
        <w:pStyle w:val="Footnotesection"/>
      </w:pPr>
      <w:r>
        <w:tab/>
        <w:t xml:space="preserve">[Section 21A inserted by No. 59 of 1982 s. 9; amended by No. 96 of 1986 s. 11; No. 35 of 1996 s. 9; No. 43 of 1998 s. 5.] </w:t>
      </w:r>
    </w:p>
    <w:p>
      <w:pPr>
        <w:pStyle w:val="Heading5"/>
        <w:rPr>
          <w:snapToGrid w:val="0"/>
        </w:rPr>
      </w:pPr>
      <w:bookmarkStart w:id="266" w:name="_Toc378162990"/>
      <w:bookmarkStart w:id="267" w:name="_Toc435842556"/>
      <w:bookmarkStart w:id="268" w:name="_Toc517596761"/>
      <w:bookmarkStart w:id="269" w:name="_Toc517596885"/>
      <w:bookmarkStart w:id="270" w:name="_Toc517597273"/>
      <w:bookmarkStart w:id="271" w:name="_Toc268096435"/>
      <w:r>
        <w:rPr>
          <w:rStyle w:val="CharSectno"/>
        </w:rPr>
        <w:t>21B</w:t>
      </w:r>
      <w:r>
        <w:rPr>
          <w:snapToGrid w:val="0"/>
        </w:rPr>
        <w:t xml:space="preserve">. </w:t>
      </w:r>
      <w:r>
        <w:rPr>
          <w:snapToGrid w:val="0"/>
        </w:rPr>
        <w:tab/>
        <w:t>Management of branch</w:t>
      </w:r>
      <w:bookmarkEnd w:id="266"/>
      <w:bookmarkEnd w:id="267"/>
      <w:bookmarkEnd w:id="268"/>
      <w:bookmarkEnd w:id="269"/>
      <w:bookmarkEnd w:id="270"/>
      <w:bookmarkEnd w:id="271"/>
      <w:r>
        <w:rPr>
          <w:snapToGrid w:val="0"/>
        </w:rPr>
        <w:t xml:space="preserve"> </w:t>
      </w:r>
    </w:p>
    <w:p>
      <w:pPr>
        <w:pStyle w:val="Subsection"/>
        <w:spacing w:before="100"/>
        <w:rPr>
          <w:snapToGrid w:val="0"/>
        </w:rPr>
      </w:pPr>
      <w:r>
        <w:rPr>
          <w:snapToGrid w:val="0"/>
        </w:rPr>
        <w:tab/>
      </w:r>
      <w:r>
        <w:rPr>
          <w:snapToGrid w:val="0"/>
        </w:rPr>
        <w:tab/>
        <w:t>Subject to this Act, in respect of each branch there shall be a Board which shall be responsible to the Council for the control and management of the affairs, concerns, and property of the branch.</w:t>
      </w:r>
    </w:p>
    <w:p>
      <w:pPr>
        <w:pStyle w:val="Footnotesection"/>
      </w:pPr>
      <w:r>
        <w:tab/>
        <w:t xml:space="preserve">[Section 21B inserted by No. 59 of 1982 s. 9.] </w:t>
      </w:r>
    </w:p>
    <w:p>
      <w:pPr>
        <w:pStyle w:val="Heading5"/>
        <w:rPr>
          <w:snapToGrid w:val="0"/>
        </w:rPr>
      </w:pPr>
      <w:bookmarkStart w:id="272" w:name="_Toc378162991"/>
      <w:bookmarkStart w:id="273" w:name="_Toc435842557"/>
      <w:bookmarkStart w:id="274" w:name="_Toc517596762"/>
      <w:bookmarkStart w:id="275" w:name="_Toc517596886"/>
      <w:bookmarkStart w:id="276" w:name="_Toc517597274"/>
      <w:bookmarkStart w:id="277" w:name="_Toc268096436"/>
      <w:r>
        <w:rPr>
          <w:rStyle w:val="CharSectno"/>
        </w:rPr>
        <w:t>21C</w:t>
      </w:r>
      <w:r>
        <w:rPr>
          <w:snapToGrid w:val="0"/>
        </w:rPr>
        <w:t xml:space="preserve">. </w:t>
      </w:r>
      <w:r>
        <w:rPr>
          <w:snapToGrid w:val="0"/>
        </w:rPr>
        <w:tab/>
        <w:t>Constitution of Board</w:t>
      </w:r>
      <w:bookmarkEnd w:id="272"/>
      <w:bookmarkEnd w:id="273"/>
      <w:bookmarkEnd w:id="274"/>
      <w:bookmarkEnd w:id="275"/>
      <w:bookmarkEnd w:id="276"/>
      <w:bookmarkEnd w:id="277"/>
      <w:r>
        <w:rPr>
          <w:snapToGrid w:val="0"/>
        </w:rPr>
        <w:t xml:space="preserve"> </w:t>
      </w:r>
    </w:p>
    <w:p>
      <w:pPr>
        <w:pStyle w:val="Subsection"/>
        <w:spacing w:before="100"/>
        <w:rPr>
          <w:snapToGrid w:val="0"/>
        </w:rPr>
      </w:pPr>
      <w:r>
        <w:rPr>
          <w:snapToGrid w:val="0"/>
        </w:rPr>
        <w:tab/>
      </w:r>
      <w:r>
        <w:rPr>
          <w:snapToGrid w:val="0"/>
        </w:rPr>
        <w:tab/>
        <w:t>A Board shall consist of — </w:t>
      </w:r>
    </w:p>
    <w:p>
      <w:pPr>
        <w:pStyle w:val="Indenta"/>
        <w:rPr>
          <w:snapToGrid w:val="0"/>
        </w:rPr>
      </w:pPr>
      <w:r>
        <w:rPr>
          <w:snapToGrid w:val="0"/>
        </w:rPr>
        <w:tab/>
        <w:t>(a)</w:t>
      </w:r>
      <w:r>
        <w:rPr>
          <w:snapToGrid w:val="0"/>
        </w:rPr>
        <w:tab/>
        <w:t>a person appointed by the Minister to be chairman of the Board;</w:t>
      </w:r>
    </w:p>
    <w:p>
      <w:pPr>
        <w:pStyle w:val="Indenta"/>
        <w:rPr>
          <w:snapToGrid w:val="0"/>
        </w:rPr>
      </w:pPr>
      <w:r>
        <w:rPr>
          <w:snapToGrid w:val="0"/>
        </w:rPr>
        <w:tab/>
        <w:t>(b)</w:t>
      </w:r>
      <w:r>
        <w:rPr>
          <w:snapToGrid w:val="0"/>
        </w:rPr>
        <w:tab/>
        <w:t>7 persons appointed by the Minister representative of education, the professions, industrial, commercial, or other community interests;</w:t>
      </w:r>
    </w:p>
    <w:p>
      <w:pPr>
        <w:pStyle w:val="Indenta"/>
        <w:rPr>
          <w:snapToGrid w:val="0"/>
        </w:rPr>
      </w:pPr>
      <w:r>
        <w:rPr>
          <w:snapToGrid w:val="0"/>
        </w:rPr>
        <w:tab/>
        <w:t>(c)</w:t>
      </w:r>
      <w:r>
        <w:rPr>
          <w:snapToGrid w:val="0"/>
        </w:rPr>
        <w:tab/>
        <w:t>the person for the time being appointed to be the chief executive officer of the branch;</w:t>
      </w:r>
    </w:p>
    <w:p>
      <w:pPr>
        <w:pStyle w:val="Indenta"/>
        <w:rPr>
          <w:snapToGrid w:val="0"/>
        </w:rPr>
      </w:pPr>
      <w:r>
        <w:rPr>
          <w:snapToGrid w:val="0"/>
        </w:rPr>
        <w:tab/>
        <w:t>(d)</w:t>
      </w:r>
      <w:r>
        <w:rPr>
          <w:snapToGrid w:val="0"/>
        </w:rPr>
        <w:tab/>
        <w:t>2 persons appointed by the Council, but not more than one of those persons may be a member of the full</w:t>
      </w:r>
      <w:r>
        <w:rPr>
          <w:snapToGrid w:val="0"/>
        </w:rPr>
        <w:noBreakHyphen/>
        <w:t>time staff of the University;</w:t>
      </w:r>
    </w:p>
    <w:p>
      <w:pPr>
        <w:pStyle w:val="Indenta"/>
        <w:rPr>
          <w:snapToGrid w:val="0"/>
        </w:rPr>
      </w:pPr>
      <w:r>
        <w:rPr>
          <w:snapToGrid w:val="0"/>
        </w:rPr>
        <w:tab/>
        <w:t>(e)</w:t>
      </w:r>
      <w:r>
        <w:rPr>
          <w:snapToGrid w:val="0"/>
        </w:rPr>
        <w:tab/>
        <w:t>one person who is a member of the full</w:t>
      </w:r>
      <w:r>
        <w:rPr>
          <w:snapToGrid w:val="0"/>
        </w:rPr>
        <w:noBreakHyphen/>
        <w:t>time academic staff of the branch elected by members of that staff in such manner as is prescribed by Statute;</w:t>
      </w:r>
    </w:p>
    <w:p>
      <w:pPr>
        <w:pStyle w:val="Indenta"/>
        <w:rPr>
          <w:snapToGrid w:val="0"/>
        </w:rPr>
      </w:pPr>
      <w:r>
        <w:rPr>
          <w:snapToGrid w:val="0"/>
        </w:rPr>
        <w:tab/>
        <w:t>(f)</w:t>
      </w:r>
      <w:r>
        <w:rPr>
          <w:snapToGrid w:val="0"/>
        </w:rPr>
        <w:tab/>
        <w:t>one person who is a member of the full</w:t>
      </w:r>
      <w:r>
        <w:rPr>
          <w:snapToGrid w:val="0"/>
        </w:rPr>
        <w:noBreakHyphen/>
        <w:t>time salaried staff (other than the academic staff) of the branch elected by members of that salaried staff in such manner as is prescribed by Statute;</w:t>
      </w:r>
    </w:p>
    <w:p>
      <w:pPr>
        <w:pStyle w:val="Indenta"/>
        <w:rPr>
          <w:snapToGrid w:val="0"/>
        </w:rPr>
      </w:pPr>
      <w:r>
        <w:rPr>
          <w:snapToGrid w:val="0"/>
        </w:rPr>
        <w:tab/>
        <w:t>(g)</w:t>
      </w:r>
      <w:r>
        <w:rPr>
          <w:snapToGrid w:val="0"/>
        </w:rPr>
        <w:tab/>
        <w:t>one person who is for the time being an enrolled student of the branch and who is elected by enrolled students of the branch in such manner as is prescribed by Statute; and</w:t>
      </w:r>
    </w:p>
    <w:p>
      <w:pPr>
        <w:pStyle w:val="Indenta"/>
        <w:rPr>
          <w:snapToGrid w:val="0"/>
        </w:rPr>
      </w:pPr>
      <w:r>
        <w:rPr>
          <w:snapToGrid w:val="0"/>
        </w:rPr>
        <w:tab/>
        <w:t>(h)</w:t>
      </w:r>
      <w:r>
        <w:rPr>
          <w:snapToGrid w:val="0"/>
        </w:rPr>
        <w:tab/>
        <w:t>3 persons, representative of local industry, appointed from time to time by co</w:t>
      </w:r>
      <w:r>
        <w:rPr>
          <w:snapToGrid w:val="0"/>
        </w:rPr>
        <w:noBreakHyphen/>
        <w:t>option by the Board.</w:t>
      </w:r>
    </w:p>
    <w:p>
      <w:pPr>
        <w:pStyle w:val="Footnotesection"/>
        <w:keepLines w:val="0"/>
      </w:pPr>
      <w:r>
        <w:tab/>
        <w:t xml:space="preserve">[Section 21C inserted by No. 59 of 1982 s. 9; amended by No. 96 of 1986 s. 11; No. 35 of 1996 s. 34.] </w:t>
      </w:r>
    </w:p>
    <w:p>
      <w:pPr>
        <w:pStyle w:val="Heading5"/>
        <w:rPr>
          <w:snapToGrid w:val="0"/>
        </w:rPr>
      </w:pPr>
      <w:bookmarkStart w:id="278" w:name="_Toc378162992"/>
      <w:bookmarkStart w:id="279" w:name="_Toc435842558"/>
      <w:bookmarkStart w:id="280" w:name="_Toc517596763"/>
      <w:bookmarkStart w:id="281" w:name="_Toc517596887"/>
      <w:bookmarkStart w:id="282" w:name="_Toc517597275"/>
      <w:bookmarkStart w:id="283" w:name="_Toc268096437"/>
      <w:r>
        <w:rPr>
          <w:rStyle w:val="CharSectno"/>
        </w:rPr>
        <w:t>21D</w:t>
      </w:r>
      <w:r>
        <w:rPr>
          <w:snapToGrid w:val="0"/>
        </w:rPr>
        <w:t xml:space="preserve">. </w:t>
      </w:r>
      <w:r>
        <w:rPr>
          <w:snapToGrid w:val="0"/>
        </w:rPr>
        <w:tab/>
        <w:t>Term of office of Board members</w:t>
      </w:r>
      <w:bookmarkEnd w:id="278"/>
      <w:bookmarkEnd w:id="279"/>
      <w:bookmarkEnd w:id="280"/>
      <w:bookmarkEnd w:id="281"/>
      <w:bookmarkEnd w:id="282"/>
      <w:bookmarkEnd w:id="283"/>
      <w:r>
        <w:rPr>
          <w:snapToGrid w:val="0"/>
        </w:rPr>
        <w:t xml:space="preserve"> </w:t>
      </w:r>
    </w:p>
    <w:p>
      <w:pPr>
        <w:pStyle w:val="Subsection"/>
        <w:spacing w:before="100"/>
        <w:rPr>
          <w:snapToGrid w:val="0"/>
        </w:rPr>
      </w:pPr>
      <w:r>
        <w:rPr>
          <w:snapToGrid w:val="0"/>
        </w:rPr>
        <w:tab/>
        <w:t>(1)</w:t>
      </w:r>
      <w:r>
        <w:rPr>
          <w:snapToGrid w:val="0"/>
        </w:rPr>
        <w:tab/>
        <w:t>Subject to this Act — </w:t>
      </w:r>
    </w:p>
    <w:p>
      <w:pPr>
        <w:pStyle w:val="Indenta"/>
        <w:spacing w:before="60"/>
        <w:rPr>
          <w:snapToGrid w:val="0"/>
        </w:rPr>
      </w:pPr>
      <w:r>
        <w:rPr>
          <w:snapToGrid w:val="0"/>
        </w:rPr>
        <w:tab/>
        <w:t>(a)</w:t>
      </w:r>
      <w:r>
        <w:rPr>
          <w:snapToGrid w:val="0"/>
        </w:rPr>
        <w:tab/>
        <w:t>an appointed member of a Board holds office for such period not exceeding 3 years as is specified in the instrument of his appointment;</w:t>
      </w:r>
    </w:p>
    <w:p>
      <w:pPr>
        <w:pStyle w:val="Indenta"/>
        <w:spacing w:before="60"/>
        <w:rPr>
          <w:snapToGrid w:val="0"/>
        </w:rPr>
      </w:pPr>
      <w:r>
        <w:rPr>
          <w:snapToGrid w:val="0"/>
        </w:rPr>
        <w:tab/>
        <w:t>(b)</w:t>
      </w:r>
      <w:r>
        <w:rPr>
          <w:snapToGrid w:val="0"/>
        </w:rPr>
        <w:tab/>
        <w:t>a member of a Board elected under section 21C(e) or (f) holds office for a term of 3 years from the date on which his election takes effect;</w:t>
      </w:r>
    </w:p>
    <w:p>
      <w:pPr>
        <w:pStyle w:val="Indenta"/>
        <w:spacing w:before="60"/>
        <w:rPr>
          <w:snapToGrid w:val="0"/>
        </w:rPr>
      </w:pPr>
      <w:r>
        <w:rPr>
          <w:snapToGrid w:val="0"/>
        </w:rPr>
        <w:tab/>
        <w:t>(c)</w:t>
      </w:r>
      <w:r>
        <w:rPr>
          <w:snapToGrid w:val="0"/>
        </w:rPr>
        <w:tab/>
        <w:t>a member of a Board elected under section 21C(g) holds office for a term of one year from the date on which his election takes effect.</w:t>
      </w:r>
    </w:p>
    <w:p>
      <w:pPr>
        <w:pStyle w:val="Subsection"/>
        <w:spacing w:before="100"/>
        <w:rPr>
          <w:snapToGrid w:val="0"/>
        </w:rPr>
      </w:pPr>
      <w:r>
        <w:rPr>
          <w:snapToGrid w:val="0"/>
        </w:rPr>
        <w:tab/>
        <w:t>(2)</w:t>
      </w:r>
      <w:r>
        <w:rPr>
          <w:snapToGrid w:val="0"/>
        </w:rPr>
        <w:tab/>
        <w:t>Subject to subsection (3), all retiring members are, unless otherwise disqualified, eligible for reappointment or re</w:t>
      </w:r>
      <w:r>
        <w:rPr>
          <w:snapToGrid w:val="0"/>
        </w:rPr>
        <w:noBreakHyphen/>
        <w:t>election.</w:t>
      </w:r>
    </w:p>
    <w:p>
      <w:pPr>
        <w:pStyle w:val="Subsection"/>
        <w:spacing w:before="100"/>
        <w:rPr>
          <w:snapToGrid w:val="0"/>
        </w:rPr>
      </w:pPr>
      <w:r>
        <w:rPr>
          <w:snapToGrid w:val="0"/>
        </w:rPr>
        <w:tab/>
        <w:t>(3)</w:t>
      </w:r>
      <w:r>
        <w:rPr>
          <w:snapToGrid w:val="0"/>
        </w:rPr>
        <w:tab/>
        <w:t>The member referred to in section 21C(g) is not eligible for re</w:t>
      </w:r>
      <w:r>
        <w:rPr>
          <w:snapToGrid w:val="0"/>
        </w:rPr>
        <w:noBreakHyphen/>
        <w:t>election more than once.</w:t>
      </w:r>
    </w:p>
    <w:p>
      <w:pPr>
        <w:pStyle w:val="Subsection"/>
        <w:spacing w:before="100"/>
        <w:rPr>
          <w:snapToGrid w:val="0"/>
        </w:rPr>
      </w:pPr>
      <w:r>
        <w:rPr>
          <w:snapToGrid w:val="0"/>
        </w:rPr>
        <w:tab/>
        <w:t>(4)</w:t>
      </w:r>
      <w:r>
        <w:rPr>
          <w:snapToGrid w:val="0"/>
        </w:rPr>
        <w:tab/>
        <w:t>Where a vacancy occurs in the office of an elected member — </w:t>
      </w:r>
    </w:p>
    <w:p>
      <w:pPr>
        <w:pStyle w:val="Indenta"/>
        <w:spacing w:before="60"/>
        <w:rPr>
          <w:snapToGrid w:val="0"/>
        </w:rPr>
      </w:pPr>
      <w:r>
        <w:rPr>
          <w:snapToGrid w:val="0"/>
        </w:rPr>
        <w:tab/>
        <w:t>(a)</w:t>
      </w:r>
      <w:r>
        <w:rPr>
          <w:snapToGrid w:val="0"/>
        </w:rPr>
        <w:tab/>
        <w:t>if, at the expiration of 3 months from the occurrence of the vacancy, the office has not been filled by election the Minister may fill that office by appointing a person with the like prescribed qualification as that of the member whose office is vacant; and</w:t>
      </w:r>
    </w:p>
    <w:p>
      <w:pPr>
        <w:pStyle w:val="Indenta"/>
        <w:spacing w:before="60"/>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spacing w:before="100"/>
        <w:rPr>
          <w:snapToGrid w:val="0"/>
        </w:rPr>
      </w:pPr>
      <w:r>
        <w:rPr>
          <w:snapToGrid w:val="0"/>
        </w:rPr>
        <w:tab/>
        <w:t>(5)</w:t>
      </w:r>
      <w:r>
        <w:rPr>
          <w:snapToGrid w:val="0"/>
        </w:rPr>
        <w:tab/>
        <w:t>In this section — </w:t>
      </w:r>
    </w:p>
    <w:p>
      <w:pPr>
        <w:pStyle w:val="Defstart"/>
      </w:pPr>
      <w:r>
        <w:rPr>
          <w:b/>
        </w:rPr>
        <w:tab/>
      </w:r>
      <w:r>
        <w:rPr>
          <w:rStyle w:val="CharDefText"/>
        </w:rPr>
        <w:t>appointed member</w:t>
      </w:r>
      <w:r>
        <w:t xml:space="preserve"> means a member of a Board referred to in section 21C(a), (b), (d), or (h); and</w:t>
      </w:r>
    </w:p>
    <w:p>
      <w:pPr>
        <w:pStyle w:val="Defstart"/>
      </w:pPr>
      <w:r>
        <w:rPr>
          <w:b/>
        </w:rPr>
        <w:tab/>
      </w:r>
      <w:r>
        <w:rPr>
          <w:rStyle w:val="CharDefText"/>
        </w:rPr>
        <w:t>elected member</w:t>
      </w:r>
      <w:r>
        <w:t xml:space="preserve"> means a member of a Board referred to in section 21C(e), (f), or (g).</w:t>
      </w:r>
    </w:p>
    <w:p>
      <w:pPr>
        <w:pStyle w:val="Footnotesection"/>
        <w:keepLines w:val="0"/>
      </w:pPr>
      <w:r>
        <w:tab/>
        <w:t xml:space="preserve">[Section 21D inserted by No. 59 of 1982 s. 9; amended by No. 35 of 1996 s. 35.] </w:t>
      </w:r>
    </w:p>
    <w:p>
      <w:pPr>
        <w:pStyle w:val="Heading5"/>
        <w:rPr>
          <w:snapToGrid w:val="0"/>
        </w:rPr>
      </w:pPr>
      <w:bookmarkStart w:id="284" w:name="_Toc378162993"/>
      <w:bookmarkStart w:id="285" w:name="_Toc435842559"/>
      <w:bookmarkStart w:id="286" w:name="_Toc517596764"/>
      <w:bookmarkStart w:id="287" w:name="_Toc517596888"/>
      <w:bookmarkStart w:id="288" w:name="_Toc517597276"/>
      <w:bookmarkStart w:id="289" w:name="_Toc268096438"/>
      <w:r>
        <w:rPr>
          <w:rStyle w:val="CharSectno"/>
        </w:rPr>
        <w:t>21E</w:t>
      </w:r>
      <w:r>
        <w:rPr>
          <w:snapToGrid w:val="0"/>
        </w:rPr>
        <w:t xml:space="preserve">. </w:t>
      </w:r>
      <w:r>
        <w:rPr>
          <w:snapToGrid w:val="0"/>
        </w:rPr>
        <w:tab/>
        <w:t>Vacation of office of Board member</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The office of a member of a Board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becomes permanently incapable of performing his duties as a member of the Board;</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rPr>
          <w:snapToGrid w:val="0"/>
        </w:rPr>
      </w:pPr>
      <w:r>
        <w:rPr>
          <w:snapToGrid w:val="0"/>
        </w:rPr>
        <w:tab/>
        <w:t>(f)</w:t>
      </w:r>
      <w:r>
        <w:rPr>
          <w:snapToGrid w:val="0"/>
        </w:rPr>
        <w:tab/>
        <w:t>he is absent without leave of the Board from 3 consecutive meetings of the Board; or</w:t>
      </w:r>
    </w:p>
    <w:p>
      <w:pPr>
        <w:pStyle w:val="Indenta"/>
        <w:rPr>
          <w:snapToGrid w:val="0"/>
        </w:rPr>
      </w:pPr>
      <w:r>
        <w:rPr>
          <w:snapToGrid w:val="0"/>
        </w:rPr>
        <w:tab/>
        <w:t>(g)</w:t>
      </w:r>
      <w:r>
        <w:rPr>
          <w:snapToGrid w:val="0"/>
        </w:rPr>
        <w:tab/>
        <w:t>he ceases to hold any qualification required for his becoming or being a member of the Board.</w:t>
      </w:r>
    </w:p>
    <w:p>
      <w:pPr>
        <w:pStyle w:val="Footnotesection"/>
      </w:pPr>
      <w:r>
        <w:tab/>
        <w:t xml:space="preserve">[Section 21E inserted by No. 59 of 1982 s. 9; amended by No. 18 of 2009 s. 28(3).] </w:t>
      </w:r>
    </w:p>
    <w:p>
      <w:pPr>
        <w:pStyle w:val="Heading5"/>
        <w:rPr>
          <w:snapToGrid w:val="0"/>
        </w:rPr>
      </w:pPr>
      <w:bookmarkStart w:id="290" w:name="_Toc378162994"/>
      <w:bookmarkStart w:id="291" w:name="_Toc435842560"/>
      <w:bookmarkStart w:id="292" w:name="_Toc517596765"/>
      <w:bookmarkStart w:id="293" w:name="_Toc517596889"/>
      <w:bookmarkStart w:id="294" w:name="_Toc517597277"/>
      <w:bookmarkStart w:id="295" w:name="_Toc268096439"/>
      <w:r>
        <w:rPr>
          <w:rStyle w:val="CharSectno"/>
        </w:rPr>
        <w:t>21F</w:t>
      </w:r>
      <w:r>
        <w:rPr>
          <w:snapToGrid w:val="0"/>
        </w:rPr>
        <w:t xml:space="preserve">. </w:t>
      </w:r>
      <w:r>
        <w:rPr>
          <w:snapToGrid w:val="0"/>
        </w:rPr>
        <w:tab/>
        <w:t>Meetings of Board</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Subject to the Statutes, a Board shall hold such meetings as are necessary for the performance of its functions.</w:t>
      </w:r>
    </w:p>
    <w:p>
      <w:pPr>
        <w:pStyle w:val="Subsection"/>
        <w:rPr>
          <w:snapToGrid w:val="0"/>
        </w:rPr>
      </w:pPr>
      <w:r>
        <w:rPr>
          <w:snapToGrid w:val="0"/>
        </w:rPr>
        <w:tab/>
        <w:t>(2)</w:t>
      </w:r>
      <w:r>
        <w:rPr>
          <w:snapToGrid w:val="0"/>
        </w:rPr>
        <w:tab/>
        <w:t>Subject to the Statutes, the chairman of a Board may at any time convene a meeting of the Board and shall convene a meeting when requested in writing by the Minister to do so or when requested by any 4 members.</w:t>
      </w:r>
    </w:p>
    <w:p>
      <w:pPr>
        <w:pStyle w:val="Subsection"/>
        <w:rPr>
          <w:snapToGrid w:val="0"/>
        </w:rPr>
      </w:pPr>
      <w:r>
        <w:rPr>
          <w:snapToGrid w:val="0"/>
        </w:rPr>
        <w:tab/>
        <w:t>(3)</w:t>
      </w:r>
      <w:r>
        <w:rPr>
          <w:snapToGrid w:val="0"/>
        </w:rPr>
        <w:tab/>
        <w:t>Subject to this Act and the Statutes, a Board may regulate its own procedure in such manner as it thinks fit.</w:t>
      </w:r>
    </w:p>
    <w:p>
      <w:pPr>
        <w:pStyle w:val="Subsection"/>
        <w:rPr>
          <w:snapToGrid w:val="0"/>
        </w:rPr>
      </w:pPr>
      <w:r>
        <w:rPr>
          <w:snapToGrid w:val="0"/>
        </w:rPr>
        <w:tab/>
        <w:t>(4)</w:t>
      </w:r>
      <w:r>
        <w:rPr>
          <w:snapToGrid w:val="0"/>
        </w:rPr>
        <w:tab/>
        <w:t>The chairman of a Board shall preside at all meetings of the Board at which he is present.</w:t>
      </w:r>
    </w:p>
    <w:p>
      <w:pPr>
        <w:pStyle w:val="Subsection"/>
        <w:rPr>
          <w:snapToGrid w:val="0"/>
        </w:rPr>
      </w:pPr>
      <w:r>
        <w:rPr>
          <w:snapToGrid w:val="0"/>
        </w:rPr>
        <w:tab/>
        <w:t>(5)</w:t>
      </w:r>
      <w:r>
        <w:rPr>
          <w:snapToGrid w:val="0"/>
        </w:rPr>
        <w:tab/>
        <w:t>At any meeting of a Board at which the chairman of the Board is not present, the members present shall elect a member to preside at that meeting and while so presiding such a member has all the powers and duties of chairman of the Board.</w:t>
      </w:r>
    </w:p>
    <w:p>
      <w:pPr>
        <w:pStyle w:val="Subsection"/>
        <w:rPr>
          <w:snapToGrid w:val="0"/>
        </w:rPr>
      </w:pPr>
      <w:r>
        <w:rPr>
          <w:snapToGrid w:val="0"/>
        </w:rPr>
        <w:tab/>
        <w:t>(6)</w:t>
      </w:r>
      <w:r>
        <w:rPr>
          <w:snapToGrid w:val="0"/>
        </w:rPr>
        <w:tab/>
        <w:t>A member of a Board is not entitled to vote either in the Board or in any committee of the Board on any question in respect of which he has a direct pecuniary interest, and if a member of a Board so votes his vote shall be disregarded.</w:t>
      </w:r>
    </w:p>
    <w:p>
      <w:pPr>
        <w:pStyle w:val="Subsection"/>
        <w:spacing w:before="100"/>
        <w:rPr>
          <w:snapToGrid w:val="0"/>
        </w:rPr>
      </w:pPr>
      <w:r>
        <w:rPr>
          <w:snapToGrid w:val="0"/>
        </w:rPr>
        <w:tab/>
        <w:t>(7)</w:t>
      </w:r>
      <w:r>
        <w:rPr>
          <w:snapToGrid w:val="0"/>
        </w:rPr>
        <w:tab/>
        <w:t>At a meeting of a Board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 and</w:t>
      </w:r>
    </w:p>
    <w:p>
      <w:pPr>
        <w:pStyle w:val="Indenta"/>
        <w:rPr>
          <w:snapToGrid w:val="0"/>
        </w:rPr>
      </w:pPr>
      <w:r>
        <w:rPr>
          <w:snapToGrid w:val="0"/>
        </w:rPr>
        <w:tab/>
        <w:t>(b)</w:t>
      </w:r>
      <w:r>
        <w:rPr>
          <w:snapToGrid w:val="0"/>
        </w:rPr>
        <w:tab/>
        <w:t>a question arising at the meeting shall be determined by a majority of the valid votes of the members of the Board present.</w:t>
      </w:r>
    </w:p>
    <w:p>
      <w:pPr>
        <w:pStyle w:val="Subsection"/>
        <w:spacing w:before="100"/>
        <w:rPr>
          <w:snapToGrid w:val="0"/>
        </w:rPr>
      </w:pPr>
      <w:r>
        <w:rPr>
          <w:snapToGrid w:val="0"/>
        </w:rPr>
        <w:tab/>
        <w:t>(8)</w:t>
      </w:r>
      <w:r>
        <w:rPr>
          <w:snapToGrid w:val="0"/>
        </w:rPr>
        <w:tab/>
        <w:t>No act or thing done by a Board is invalidated, prejudiced or affected by reason of any vacancy in the membership of the Board or any failure to appoint or elect any member of the Board, or any defect or irregularity in the appointment or election of any person purporting to be a member so long as a quorum of the Board remains.</w:t>
      </w:r>
    </w:p>
    <w:p>
      <w:pPr>
        <w:pStyle w:val="Footnotesection"/>
      </w:pPr>
      <w:r>
        <w:tab/>
        <w:t xml:space="preserve">[Section 21F inserted by No. 59 of 1982 s. 9.] </w:t>
      </w:r>
    </w:p>
    <w:p>
      <w:pPr>
        <w:pStyle w:val="Heading5"/>
        <w:rPr>
          <w:snapToGrid w:val="0"/>
        </w:rPr>
      </w:pPr>
      <w:bookmarkStart w:id="296" w:name="_Toc378162995"/>
      <w:bookmarkStart w:id="297" w:name="_Toc435842561"/>
      <w:bookmarkStart w:id="298" w:name="_Toc517596766"/>
      <w:bookmarkStart w:id="299" w:name="_Toc517596890"/>
      <w:bookmarkStart w:id="300" w:name="_Toc517597278"/>
      <w:bookmarkStart w:id="301" w:name="_Toc268096440"/>
      <w:r>
        <w:rPr>
          <w:rStyle w:val="CharSectno"/>
        </w:rPr>
        <w:t>21G</w:t>
      </w:r>
      <w:r>
        <w:rPr>
          <w:snapToGrid w:val="0"/>
        </w:rPr>
        <w:t xml:space="preserve">. </w:t>
      </w:r>
      <w:r>
        <w:rPr>
          <w:snapToGrid w:val="0"/>
        </w:rPr>
        <w:tab/>
        <w:t>Powers and duties of a Board</w:t>
      </w:r>
      <w:bookmarkEnd w:id="296"/>
      <w:bookmarkEnd w:id="297"/>
      <w:bookmarkEnd w:id="298"/>
      <w:bookmarkEnd w:id="299"/>
      <w:bookmarkEnd w:id="300"/>
      <w:bookmarkEnd w:id="301"/>
      <w:r>
        <w:rPr>
          <w:snapToGrid w:val="0"/>
        </w:rPr>
        <w:t xml:space="preserve"> </w:t>
      </w:r>
    </w:p>
    <w:p>
      <w:pPr>
        <w:pStyle w:val="Subsection"/>
        <w:spacing w:before="100"/>
        <w:rPr>
          <w:snapToGrid w:val="0"/>
        </w:rPr>
      </w:pPr>
      <w:r>
        <w:rPr>
          <w:snapToGrid w:val="0"/>
        </w:rPr>
        <w:tab/>
        <w:t>(1)</w:t>
      </w:r>
      <w:r>
        <w:rPr>
          <w:snapToGrid w:val="0"/>
        </w:rPr>
        <w:tab/>
        <w:t>Subject to this Act, the Board of a branch shall — </w:t>
      </w:r>
    </w:p>
    <w:p>
      <w:pPr>
        <w:pStyle w:val="Indenta"/>
        <w:rPr>
          <w:snapToGrid w:val="0"/>
        </w:rPr>
      </w:pPr>
      <w:r>
        <w:rPr>
          <w:snapToGrid w:val="0"/>
        </w:rPr>
        <w:tab/>
        <w:t>(a)</w:t>
      </w:r>
      <w:r>
        <w:rPr>
          <w:snapToGrid w:val="0"/>
        </w:rPr>
        <w:tab/>
        <w:t>perform any function conferred or imposed upon the Board by or under this Act;</w:t>
      </w:r>
    </w:p>
    <w:p>
      <w:pPr>
        <w:pStyle w:val="Indenta"/>
        <w:rPr>
          <w:snapToGrid w:val="0"/>
        </w:rPr>
      </w:pPr>
      <w:r>
        <w:rPr>
          <w:snapToGrid w:val="0"/>
        </w:rPr>
        <w:tab/>
        <w:t>(b)</w:t>
      </w:r>
      <w:r>
        <w:rPr>
          <w:snapToGrid w:val="0"/>
        </w:rPr>
        <w:tab/>
        <w:t>act in all matters concerning the branch in such manner as appears to it best calculated to promote the objects and interests of the branch and the University;</w:t>
      </w:r>
    </w:p>
    <w:p>
      <w:pPr>
        <w:pStyle w:val="Indenta"/>
        <w:rPr>
          <w:snapToGrid w:val="0"/>
        </w:rPr>
      </w:pPr>
      <w:r>
        <w:rPr>
          <w:snapToGrid w:val="0"/>
        </w:rPr>
        <w:tab/>
        <w:t>(c)</w:t>
      </w:r>
      <w:r>
        <w:rPr>
          <w:snapToGrid w:val="0"/>
        </w:rPr>
        <w:tab/>
        <w:t>advise the Council on the promotion, development and coordination of the academic courses and programmes which are offered or to be offered by the branch and which are, or some of which are, offered or to be offered elsewhere by the University;</w:t>
      </w:r>
    </w:p>
    <w:p>
      <w:pPr>
        <w:pStyle w:val="Indenta"/>
        <w:rPr>
          <w:snapToGrid w:val="0"/>
        </w:rPr>
      </w:pPr>
      <w:r>
        <w:rPr>
          <w:snapToGrid w:val="0"/>
        </w:rPr>
        <w:tab/>
        <w:t>(d)</w:t>
      </w:r>
      <w:r>
        <w:rPr>
          <w:snapToGrid w:val="0"/>
        </w:rPr>
        <w:tab/>
        <w:t>not later than 2 months after each 31 December, prepare and furnish to the Council a report of the operations of the branch during the period of 12 months immediately preceding that day.</w:t>
      </w:r>
    </w:p>
    <w:p>
      <w:pPr>
        <w:pStyle w:val="Subsection"/>
        <w:ind w:left="890" w:hanging="890"/>
        <w:rPr>
          <w:snapToGrid w:val="0"/>
        </w:rPr>
      </w:pPr>
      <w:r>
        <w:rPr>
          <w:snapToGrid w:val="0"/>
        </w:rPr>
        <w:tab/>
        <w:t>(2)</w:t>
      </w:r>
      <w:r>
        <w:rPr>
          <w:snapToGrid w:val="0"/>
        </w:rPr>
        <w:tab/>
        <w:t>Subject to this Act, the Board of a branch may — </w:t>
      </w:r>
    </w:p>
    <w:p>
      <w:pPr>
        <w:pStyle w:val="Indenta"/>
        <w:rPr>
          <w:snapToGrid w:val="0"/>
        </w:rPr>
      </w:pPr>
      <w:r>
        <w:rPr>
          <w:snapToGrid w:val="0"/>
        </w:rPr>
        <w:tab/>
        <w:t>(a)</w:t>
      </w:r>
      <w:r>
        <w:rPr>
          <w:snapToGrid w:val="0"/>
        </w:rPr>
        <w:tab/>
        <w:t>select persons who are to be appointed as members of the staff of the branch and recommend the appointment under section 17 of such persons to the staff of the University;</w:t>
      </w:r>
    </w:p>
    <w:p>
      <w:pPr>
        <w:pStyle w:val="Indenta"/>
        <w:rPr>
          <w:snapToGrid w:val="0"/>
        </w:rPr>
      </w:pPr>
      <w:r>
        <w:rPr>
          <w:snapToGrid w:val="0"/>
        </w:rPr>
        <w:tab/>
        <w:t>(b)</w:t>
      </w:r>
      <w:r>
        <w:rPr>
          <w:snapToGrid w:val="0"/>
        </w:rPr>
        <w:tab/>
        <w:t>expend or otherwise apply for the purposes of the branch moneys allocated to the branch;</w:t>
      </w:r>
    </w:p>
    <w:p>
      <w:pPr>
        <w:pStyle w:val="Indenta"/>
        <w:rPr>
          <w:snapToGrid w:val="0"/>
        </w:rPr>
      </w:pPr>
      <w:r>
        <w:rPr>
          <w:snapToGrid w:val="0"/>
        </w:rPr>
        <w:tab/>
        <w:t>(c)</w:t>
      </w:r>
      <w:r>
        <w:rPr>
          <w:snapToGrid w:val="0"/>
        </w:rPr>
        <w:tab/>
        <w:t>expend or otherwise apply moneys received by the University, the Council, the branch or the Board by way of gifts, or bequests for educational, research or other purposes associated with the branch.</w:t>
      </w:r>
    </w:p>
    <w:p>
      <w:pPr>
        <w:pStyle w:val="Footnotesection"/>
      </w:pPr>
      <w:r>
        <w:tab/>
        <w:t xml:space="preserve">[Section 21G inserted by No. 59 of 1982 s. 9; amended by No. 98 of 1985 s. 3; No. 96 of 1986 s. 11.] </w:t>
      </w:r>
    </w:p>
    <w:p>
      <w:pPr>
        <w:pStyle w:val="Heading3"/>
        <w:rPr>
          <w:snapToGrid w:val="0"/>
        </w:rPr>
      </w:pPr>
      <w:bookmarkStart w:id="302" w:name="_Toc378162996"/>
      <w:bookmarkStart w:id="303" w:name="_Toc97106380"/>
      <w:bookmarkStart w:id="304" w:name="_Toc103064890"/>
      <w:bookmarkStart w:id="305" w:name="_Toc108844425"/>
      <w:bookmarkStart w:id="306" w:name="_Toc108846892"/>
      <w:bookmarkStart w:id="307" w:name="_Toc111529321"/>
      <w:bookmarkStart w:id="308" w:name="_Toc112575726"/>
      <w:bookmarkStart w:id="309" w:name="_Toc112575815"/>
      <w:bookmarkStart w:id="310" w:name="_Toc112575904"/>
      <w:bookmarkStart w:id="311" w:name="_Toc112575993"/>
      <w:bookmarkStart w:id="312" w:name="_Toc112576082"/>
      <w:bookmarkStart w:id="313" w:name="_Toc112731488"/>
      <w:bookmarkStart w:id="314" w:name="_Toc113698033"/>
      <w:bookmarkStart w:id="315" w:name="_Toc114299601"/>
      <w:bookmarkStart w:id="316" w:name="_Toc114299811"/>
      <w:bookmarkStart w:id="317" w:name="_Toc114300061"/>
      <w:bookmarkStart w:id="318" w:name="_Toc114301200"/>
      <w:bookmarkStart w:id="319" w:name="_Toc116901434"/>
      <w:bookmarkStart w:id="320" w:name="_Toc116960764"/>
      <w:bookmarkStart w:id="321" w:name="_Toc116983492"/>
      <w:bookmarkStart w:id="322" w:name="_Toc118693728"/>
      <w:bookmarkStart w:id="323" w:name="_Toc118704856"/>
      <w:bookmarkStart w:id="324" w:name="_Toc118783832"/>
      <w:bookmarkStart w:id="325" w:name="_Toc157846139"/>
      <w:bookmarkStart w:id="326" w:name="_Toc241052961"/>
      <w:bookmarkStart w:id="327" w:name="_Toc268096441"/>
      <w:r>
        <w:rPr>
          <w:rStyle w:val="CharDivNo"/>
        </w:rPr>
        <w:t>Division 2B</w:t>
      </w:r>
      <w:r>
        <w:rPr>
          <w:snapToGrid w:val="0"/>
        </w:rPr>
        <w:t> — </w:t>
      </w:r>
      <w:r>
        <w:rPr>
          <w:rStyle w:val="CharDivText"/>
        </w:rPr>
        <w:t>Kalgoorlie Campus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keepNext/>
        <w:rPr>
          <w:snapToGrid w:val="0"/>
        </w:rPr>
      </w:pPr>
      <w:r>
        <w:rPr>
          <w:snapToGrid w:val="0"/>
        </w:rPr>
        <w:tab/>
        <w:t>[Heading inserted by No. 35 of 1996 s. 10.]</w:t>
      </w:r>
    </w:p>
    <w:p>
      <w:pPr>
        <w:pStyle w:val="Heading5"/>
        <w:rPr>
          <w:snapToGrid w:val="0"/>
        </w:rPr>
      </w:pPr>
      <w:bookmarkStart w:id="328" w:name="_Toc378162997"/>
      <w:bookmarkStart w:id="329" w:name="_Toc435842562"/>
      <w:bookmarkStart w:id="330" w:name="_Toc517596767"/>
      <w:bookmarkStart w:id="331" w:name="_Toc517596891"/>
      <w:bookmarkStart w:id="332" w:name="_Toc517597279"/>
      <w:bookmarkStart w:id="333" w:name="_Toc268096442"/>
      <w:r>
        <w:rPr>
          <w:rStyle w:val="CharSectno"/>
        </w:rPr>
        <w:t>21H</w:t>
      </w:r>
      <w:r>
        <w:rPr>
          <w:snapToGrid w:val="0"/>
        </w:rPr>
        <w:t xml:space="preserve">. </w:t>
      </w:r>
      <w:r>
        <w:rPr>
          <w:snapToGrid w:val="0"/>
        </w:rPr>
        <w:tab/>
        <w:t>Definitions</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higher education</w:t>
      </w:r>
      <w:r>
        <w:t xml:space="preserve"> means instruction or training or both but does not include technical and further education or the instruction or training of persons who have not attained school leaving age or the instruction or training of persons attending secondary education institutions;</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p>
    <w:p>
      <w:pPr>
        <w:pStyle w:val="Defstart"/>
      </w:pPr>
      <w:r>
        <w:rPr>
          <w:b/>
        </w:rPr>
        <w:tab/>
      </w:r>
      <w:r>
        <w:rPr>
          <w:rStyle w:val="CharDefText"/>
        </w:rPr>
        <w:t>technical and further education</w:t>
      </w:r>
      <w:r>
        <w:t xml:space="preserve"> means instruction or training in the categories referred to in section 21J(a).</w:t>
      </w:r>
    </w:p>
    <w:p>
      <w:pPr>
        <w:pStyle w:val="Footnotesection"/>
      </w:pPr>
      <w:r>
        <w:tab/>
        <w:t xml:space="preserve">[Section 21H inserted by No. 35 of 1996 s. 10.] </w:t>
      </w:r>
    </w:p>
    <w:p>
      <w:pPr>
        <w:pStyle w:val="Heading5"/>
        <w:rPr>
          <w:snapToGrid w:val="0"/>
        </w:rPr>
      </w:pPr>
      <w:bookmarkStart w:id="334" w:name="_Toc378162998"/>
      <w:bookmarkStart w:id="335" w:name="_Toc435842563"/>
      <w:bookmarkStart w:id="336" w:name="_Toc517596768"/>
      <w:bookmarkStart w:id="337" w:name="_Toc517596892"/>
      <w:bookmarkStart w:id="338" w:name="_Toc517597280"/>
      <w:bookmarkStart w:id="339" w:name="_Toc268096443"/>
      <w:r>
        <w:rPr>
          <w:rStyle w:val="CharSectno"/>
        </w:rPr>
        <w:t>21I</w:t>
      </w:r>
      <w:r>
        <w:rPr>
          <w:snapToGrid w:val="0"/>
        </w:rPr>
        <w:t xml:space="preserve">. </w:t>
      </w:r>
      <w:r>
        <w:rPr>
          <w:snapToGrid w:val="0"/>
        </w:rPr>
        <w:tab/>
        <w:t>Kalgoorlie Campus</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The Council shall establish and maintain as part of the University an educational facility at Kalgoorlie to be known as the Curtin University of Technology — Kalgoorlie Campus.</w:t>
      </w:r>
    </w:p>
    <w:p>
      <w:pPr>
        <w:pStyle w:val="Subsection"/>
        <w:rPr>
          <w:snapToGrid w:val="0"/>
        </w:rPr>
      </w:pPr>
      <w:r>
        <w:rPr>
          <w:snapToGrid w:val="0"/>
        </w:rPr>
        <w:tab/>
        <w:t>(2)</w:t>
      </w:r>
      <w:r>
        <w:rPr>
          <w:snapToGrid w:val="0"/>
        </w:rPr>
        <w:tab/>
        <w:t>The Kalgoorlie Campus shall include — </w:t>
      </w:r>
    </w:p>
    <w:p>
      <w:pPr>
        <w:pStyle w:val="Indenta"/>
        <w:rPr>
          <w:snapToGrid w:val="0"/>
        </w:rPr>
      </w:pPr>
      <w:r>
        <w:rPr>
          <w:snapToGrid w:val="0"/>
        </w:rPr>
        <w:tab/>
        <w:t>(a)</w:t>
      </w:r>
      <w:r>
        <w:rPr>
          <w:snapToGrid w:val="0"/>
        </w:rPr>
        <w:tab/>
        <w:t>an entity known as the Western Australian School of Mines;</w:t>
      </w:r>
    </w:p>
    <w:p>
      <w:pPr>
        <w:pStyle w:val="Indenta"/>
        <w:rPr>
          <w:snapToGrid w:val="0"/>
        </w:rPr>
      </w:pPr>
      <w:r>
        <w:rPr>
          <w:snapToGrid w:val="0"/>
        </w:rPr>
        <w:tab/>
        <w:t>(b)</w:t>
      </w:r>
      <w:r>
        <w:rPr>
          <w:snapToGrid w:val="0"/>
        </w:rPr>
        <w:tab/>
        <w:t>such other facilities for the provision of higher education as are determined by the Council; and</w:t>
      </w:r>
    </w:p>
    <w:p>
      <w:pPr>
        <w:pStyle w:val="Indenta"/>
        <w:rPr>
          <w:snapToGrid w:val="0"/>
        </w:rPr>
      </w:pPr>
      <w:r>
        <w:rPr>
          <w:snapToGrid w:val="0"/>
        </w:rPr>
        <w:tab/>
        <w:t>(c)</w:t>
      </w:r>
      <w:r>
        <w:rPr>
          <w:snapToGrid w:val="0"/>
        </w:rPr>
        <w:tab/>
        <w:t>facilities for the provision of technical and further education.</w:t>
      </w:r>
    </w:p>
    <w:p>
      <w:pPr>
        <w:pStyle w:val="Footnotesection"/>
      </w:pPr>
      <w:r>
        <w:tab/>
        <w:t xml:space="preserve">[Section 21I inserted by No. 35 of 1996 s. 10.] </w:t>
      </w:r>
    </w:p>
    <w:p>
      <w:pPr>
        <w:pStyle w:val="Heading5"/>
        <w:rPr>
          <w:snapToGrid w:val="0"/>
        </w:rPr>
      </w:pPr>
      <w:bookmarkStart w:id="340" w:name="_Toc378162999"/>
      <w:bookmarkStart w:id="341" w:name="_Toc435842564"/>
      <w:bookmarkStart w:id="342" w:name="_Toc517596769"/>
      <w:bookmarkStart w:id="343" w:name="_Toc517596893"/>
      <w:bookmarkStart w:id="344" w:name="_Toc517597281"/>
      <w:bookmarkStart w:id="345" w:name="_Toc268096444"/>
      <w:r>
        <w:rPr>
          <w:rStyle w:val="CharSectno"/>
        </w:rPr>
        <w:t>21J</w:t>
      </w:r>
      <w:r>
        <w:rPr>
          <w:snapToGrid w:val="0"/>
        </w:rPr>
        <w:t xml:space="preserve">. </w:t>
      </w:r>
      <w:r>
        <w:rPr>
          <w:snapToGrid w:val="0"/>
        </w:rPr>
        <w:tab/>
        <w:t>Functions of Kalgoorlie Campus</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Indenta"/>
        <w:rPr>
          <w:snapToGrid w:val="0"/>
        </w:rPr>
      </w:pPr>
      <w:r>
        <w:rPr>
          <w:snapToGrid w:val="0"/>
        </w:rPr>
        <w:tab/>
        <w:t>(a)</w:t>
      </w:r>
      <w:r>
        <w:rPr>
          <w:snapToGrid w:val="0"/>
        </w:rPr>
        <w:tab/>
        <w:t>to provide technical and further education in any one or more of the following categories — </w:t>
      </w:r>
    </w:p>
    <w:p>
      <w:pPr>
        <w:pStyle w:val="Indenti"/>
        <w:rPr>
          <w:snapToGrid w:val="0"/>
        </w:rPr>
      </w:pPr>
      <w:r>
        <w:rPr>
          <w:snapToGrid w:val="0"/>
        </w:rPr>
        <w:tab/>
        <w:t>(i)</w:t>
      </w:r>
      <w:r>
        <w:rPr>
          <w:snapToGrid w:val="0"/>
        </w:rPr>
        <w:tab/>
        <w:t>courses for persons preparing to enter professional occupations or for persons engaged in such occupations who wish to update their knowledge or skills or to specialize;</w:t>
      </w:r>
    </w:p>
    <w:p>
      <w:pPr>
        <w:pStyle w:val="Indenti"/>
        <w:rPr>
          <w:snapToGrid w:val="0"/>
        </w:rPr>
      </w:pPr>
      <w:r>
        <w:rPr>
          <w:snapToGrid w:val="0"/>
        </w:rPr>
        <w:tab/>
        <w:t>(ii)</w:t>
      </w:r>
      <w:r>
        <w:rPr>
          <w:snapToGrid w:val="0"/>
        </w:rPr>
        <w:tab/>
        <w:t>courses (including diploma and certificate courses and special courses similar in complexity and nature) for persons preparing to enter technical and other para</w:t>
      </w:r>
      <w:r>
        <w:rPr>
          <w:snapToGrid w:val="0"/>
        </w:rPr>
        <w:softHyphen/>
        <w:t>professional occupations or for persons engaged in such occupations who wish to update their knowledge or skills or to specialize;</w:t>
      </w:r>
    </w:p>
    <w:p>
      <w:pPr>
        <w:pStyle w:val="Indenti"/>
        <w:rPr>
          <w:snapToGrid w:val="0"/>
        </w:rPr>
      </w:pPr>
      <w:r>
        <w:rPr>
          <w:snapToGrid w:val="0"/>
        </w:rPr>
        <w:tab/>
        <w:t>(iii)</w:t>
      </w:r>
      <w:r>
        <w:rPr>
          <w:snapToGrid w:val="0"/>
        </w:rPr>
        <w:tab/>
        <w:t>apprenticeship, pre</w:t>
      </w:r>
      <w:r>
        <w:rPr>
          <w:snapToGrid w:val="0"/>
        </w:rPr>
        <w:noBreakHyphen/>
        <w:t>apprenticeship and pre</w:t>
      </w:r>
      <w:r>
        <w:rPr>
          <w:snapToGrid w:val="0"/>
        </w:rPr>
        <w:noBreakHyphen/>
        <w:t>employment courses in apprenticeship trades;</w:t>
      </w:r>
    </w:p>
    <w:p>
      <w:pPr>
        <w:pStyle w:val="Indenti"/>
        <w:rPr>
          <w:snapToGrid w:val="0"/>
        </w:rPr>
      </w:pPr>
      <w:r>
        <w:rPr>
          <w:snapToGrid w:val="0"/>
        </w:rPr>
        <w:tab/>
        <w:t>(iv)</w:t>
      </w:r>
      <w:r>
        <w:rPr>
          <w:snapToGrid w:val="0"/>
        </w:rPr>
        <w:tab/>
        <w:t>courses for persons wishing to acquire advanced skills in a trade or in any other occupation of a non</w:t>
      </w:r>
      <w:r>
        <w:rPr>
          <w:snapToGrid w:val="0"/>
        </w:rPr>
        <w:noBreakHyphen/>
        <w:t>technical nature;</w:t>
      </w:r>
    </w:p>
    <w:p>
      <w:pPr>
        <w:pStyle w:val="Indenti"/>
        <w:rPr>
          <w:snapToGrid w:val="0"/>
        </w:rPr>
      </w:pPr>
      <w:r>
        <w:rPr>
          <w:snapToGrid w:val="0"/>
        </w:rPr>
        <w:tab/>
        <w:t>(v)</w:t>
      </w:r>
      <w:r>
        <w:rPr>
          <w:snapToGrid w:val="0"/>
        </w:rPr>
        <w:tab/>
        <w:t>other skilled trade and vocational courses relevant to basic principles, skills or knowledge including short training courses in additional working skills that are not included in subparagraphs (iii) or (iv);</w:t>
      </w:r>
    </w:p>
    <w:p>
      <w:pPr>
        <w:pStyle w:val="Indenti"/>
        <w:rPr>
          <w:snapToGrid w:val="0"/>
        </w:rPr>
      </w:pPr>
      <w:r>
        <w:rPr>
          <w:snapToGrid w:val="0"/>
        </w:rPr>
        <w:tab/>
        <w:t>(vi)</w:t>
      </w:r>
      <w:r>
        <w:rPr>
          <w:snapToGrid w:val="0"/>
        </w:rPr>
        <w:tab/>
        <w:t>preparatory or remedial courses or courses with vocational orientation; and</w:t>
      </w:r>
    </w:p>
    <w:p>
      <w:pPr>
        <w:pStyle w:val="Indenti"/>
        <w:rPr>
          <w:snapToGrid w:val="0"/>
        </w:rPr>
      </w:pPr>
      <w:r>
        <w:rPr>
          <w:snapToGrid w:val="0"/>
        </w:rPr>
        <w:tab/>
        <w:t>(vii)</w:t>
      </w:r>
      <w:r>
        <w:rPr>
          <w:snapToGrid w:val="0"/>
        </w:rPr>
        <w:tab/>
        <w:t>adult education courses in home handicrafts, hobbies, self</w:t>
      </w:r>
      <w:r>
        <w:rPr>
          <w:snapToGrid w:val="0"/>
        </w:rPr>
        <w:softHyphen/>
      </w:r>
      <w:r>
        <w:rPr>
          <w:snapToGrid w:val="0"/>
        </w:rPr>
        <w:noBreakHyphen/>
        <w:t>expression and cultural appreciation, including language courses;</w:t>
      </w:r>
    </w:p>
    <w:p>
      <w:pPr>
        <w:pStyle w:val="Indenta"/>
        <w:rPr>
          <w:snapToGrid w:val="0"/>
        </w:rPr>
      </w:pPr>
      <w:r>
        <w:rPr>
          <w:snapToGrid w:val="0"/>
        </w:rPr>
        <w:tab/>
        <w:t>(b)</w:t>
      </w:r>
      <w:r>
        <w:rPr>
          <w:snapToGrid w:val="0"/>
        </w:rPr>
        <w:tab/>
        <w:t>to aid the advancement, development, and practical application to industry, commerce and the community, of knowledge and technology;</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 xml:space="preserve">east region of the State; </w:t>
      </w:r>
    </w:p>
    <w:p>
      <w:pPr>
        <w:pStyle w:val="Indenta"/>
        <w:rPr>
          <w:snapToGrid w:val="0"/>
        </w:rPr>
      </w:pPr>
      <w:r>
        <w:rPr>
          <w:snapToGrid w:val="0"/>
        </w:rPr>
        <w:tab/>
        <w:t>(d)</w:t>
      </w:r>
      <w:r>
        <w:rPr>
          <w:snapToGrid w:val="0"/>
        </w:rPr>
        <w:tab/>
        <w:t>to promote international recognition of the Western Australian School of Mines;</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 xml:space="preserve">[Section 21J inserted by No. 35 of 1996 s. 10.] </w:t>
      </w:r>
    </w:p>
    <w:p>
      <w:pPr>
        <w:pStyle w:val="Heading5"/>
        <w:rPr>
          <w:snapToGrid w:val="0"/>
        </w:rPr>
      </w:pPr>
      <w:bookmarkStart w:id="346" w:name="_Toc378163000"/>
      <w:bookmarkStart w:id="347" w:name="_Toc435842565"/>
      <w:bookmarkStart w:id="348" w:name="_Toc517596770"/>
      <w:bookmarkStart w:id="349" w:name="_Toc517596894"/>
      <w:bookmarkStart w:id="350" w:name="_Toc517597282"/>
      <w:bookmarkStart w:id="351" w:name="_Toc268096445"/>
      <w:r>
        <w:rPr>
          <w:rStyle w:val="CharSectno"/>
        </w:rPr>
        <w:t>21K</w:t>
      </w:r>
      <w:r>
        <w:rPr>
          <w:snapToGrid w:val="0"/>
        </w:rPr>
        <w:t xml:space="preserve">. </w:t>
      </w:r>
      <w:r>
        <w:rPr>
          <w:snapToGrid w:val="0"/>
        </w:rPr>
        <w:tab/>
        <w:t>Kalgoorlie Campus Council</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by No. 35 of 1996 s. 10.] </w:t>
      </w:r>
    </w:p>
    <w:p>
      <w:pPr>
        <w:pStyle w:val="Heading5"/>
        <w:rPr>
          <w:snapToGrid w:val="0"/>
        </w:rPr>
      </w:pPr>
      <w:bookmarkStart w:id="352" w:name="_Toc378163001"/>
      <w:bookmarkStart w:id="353" w:name="_Toc435842566"/>
      <w:bookmarkStart w:id="354" w:name="_Toc517596771"/>
      <w:bookmarkStart w:id="355" w:name="_Toc517596895"/>
      <w:bookmarkStart w:id="356" w:name="_Toc517597283"/>
      <w:bookmarkStart w:id="357" w:name="_Toc268096446"/>
      <w:r>
        <w:rPr>
          <w:rStyle w:val="CharSectno"/>
        </w:rPr>
        <w:t>21L</w:t>
      </w:r>
      <w:r>
        <w:rPr>
          <w:snapToGrid w:val="0"/>
        </w:rPr>
        <w:t xml:space="preserve">. </w:t>
      </w:r>
      <w:r>
        <w:rPr>
          <w:snapToGrid w:val="0"/>
        </w:rPr>
        <w:tab/>
        <w:t>Functions of Kalgoorlie Campus Council</w:t>
      </w:r>
      <w:bookmarkEnd w:id="352"/>
      <w:bookmarkEnd w:id="353"/>
      <w:bookmarkEnd w:id="354"/>
      <w:bookmarkEnd w:id="355"/>
      <w:bookmarkEnd w:id="356"/>
      <w:bookmarkEnd w:id="357"/>
      <w:r>
        <w:rPr>
          <w:snapToGrid w:val="0"/>
        </w:rPr>
        <w:t xml:space="preserve"> </w:t>
      </w:r>
    </w:p>
    <w:p>
      <w:pPr>
        <w:pStyle w:val="Subsection"/>
        <w:ind w:left="890" w:hanging="890"/>
        <w:rPr>
          <w:snapToGrid w:val="0"/>
        </w:rPr>
      </w:pPr>
      <w:r>
        <w:rPr>
          <w:snapToGrid w:val="0"/>
        </w:rPr>
        <w:tab/>
        <w:t>(1)</w:t>
      </w:r>
      <w:r>
        <w:rPr>
          <w:snapToGrid w:val="0"/>
        </w:rPr>
        <w:tab/>
        <w:t>Subject to this Act and the direction of the Council, the Kalgoorlie Campus Council — </w:t>
      </w:r>
    </w:p>
    <w:p>
      <w:pPr>
        <w:pStyle w:val="Indenta"/>
        <w:rPr>
          <w:snapToGrid w:val="0"/>
        </w:rPr>
      </w:pPr>
      <w:r>
        <w:rPr>
          <w:snapToGrid w:val="0"/>
        </w:rPr>
        <w:tab/>
        <w:t>(a)</w:t>
      </w:r>
      <w:r>
        <w:rPr>
          <w:snapToGrid w:val="0"/>
        </w:rPr>
        <w:tab/>
        <w:t>shall be the governing body of the Kalgoorlie Campus; and</w:t>
      </w:r>
    </w:p>
    <w:p>
      <w:pPr>
        <w:pStyle w:val="Indenta"/>
        <w:rPr>
          <w:snapToGrid w:val="0"/>
        </w:rPr>
      </w:pPr>
      <w:r>
        <w:rPr>
          <w:snapToGrid w:val="0"/>
        </w:rPr>
        <w:tab/>
        <w:t>(b)</w:t>
      </w:r>
      <w:r>
        <w:rPr>
          <w:snapToGrid w:val="0"/>
        </w:rPr>
        <w:tab/>
        <w:t>shall act in all matters concerning the Kalgoorlie Campus in the manner that to it appears most likely to promote the objects and interests of the Kalgoorlie Campus and the University.</w:t>
      </w:r>
    </w:p>
    <w:p>
      <w:pPr>
        <w:pStyle w:val="Subsection"/>
        <w:ind w:left="890" w:hanging="890"/>
        <w:rPr>
          <w:snapToGrid w:val="0"/>
        </w:rPr>
      </w:pPr>
      <w:r>
        <w:rPr>
          <w:snapToGrid w:val="0"/>
        </w:rPr>
        <w:tab/>
        <w:t>(2)</w:t>
      </w:r>
      <w:r>
        <w:rPr>
          <w:snapToGrid w:val="0"/>
        </w:rPr>
        <w:tab/>
        <w:t>The Kalgoorlie Campus Council shall — </w:t>
      </w:r>
    </w:p>
    <w:p>
      <w:pPr>
        <w:pStyle w:val="Indenta"/>
        <w:rPr>
          <w:snapToGrid w:val="0"/>
        </w:rPr>
      </w:pPr>
      <w:r>
        <w:rPr>
          <w:snapToGrid w:val="0"/>
        </w:rPr>
        <w:tab/>
        <w:t>(a)</w:t>
      </w:r>
      <w:r>
        <w:rPr>
          <w:snapToGrid w:val="0"/>
        </w:rPr>
        <w:tab/>
        <w:t>comply with any direction given to it by the Council, including any direction to prepare and furnish a report to the Council;</w:t>
      </w:r>
    </w:p>
    <w:p>
      <w:pPr>
        <w:pStyle w:val="Indenta"/>
        <w:spacing w:before="0"/>
        <w:rPr>
          <w:snapToGrid w:val="0"/>
        </w:rPr>
      </w:pPr>
      <w:r>
        <w:rPr>
          <w:snapToGrid w:val="0"/>
        </w:rPr>
        <w:tab/>
        <w:t>(b)</w:t>
      </w:r>
      <w:r>
        <w:rPr>
          <w:snapToGrid w:val="0"/>
        </w:rPr>
        <w:tab/>
        <w:t>advise the Council on the promotion, development and coordination of the courses and programmes which are offered or to be offered by the Kalgoorlie Campus and which are, or some of which are, offered or to be offered elsewhere by the University; and</w:t>
      </w:r>
    </w:p>
    <w:p>
      <w:pPr>
        <w:pStyle w:val="Indenta"/>
        <w:spacing w:before="60"/>
        <w:rPr>
          <w:snapToGrid w:val="0"/>
        </w:rPr>
      </w:pPr>
      <w:r>
        <w:rPr>
          <w:snapToGrid w:val="0"/>
        </w:rPr>
        <w:tab/>
        <w:t>(c)</w:t>
      </w:r>
      <w:r>
        <w:rPr>
          <w:snapToGrid w:val="0"/>
        </w:rPr>
        <w:tab/>
        <w:t>not later than 2 months after each 31 December, prepare and furnish to the Council a report of the operations of the Kalgoorlie Campus during the period of 12 months immediately preceding that day.</w:t>
      </w:r>
    </w:p>
    <w:p>
      <w:pPr>
        <w:pStyle w:val="Subsection"/>
        <w:keepNext/>
        <w:spacing w:before="120"/>
        <w:ind w:left="890" w:hanging="890"/>
        <w:rPr>
          <w:snapToGrid w:val="0"/>
        </w:rPr>
      </w:pPr>
      <w:r>
        <w:rPr>
          <w:snapToGrid w:val="0"/>
        </w:rPr>
        <w:tab/>
        <w:t>(3)</w:t>
      </w:r>
      <w:r>
        <w:rPr>
          <w:snapToGrid w:val="0"/>
        </w:rPr>
        <w:tab/>
        <w:t>Subject to this Act, the Kalgoorlie Campus Council may — </w:t>
      </w:r>
    </w:p>
    <w:p>
      <w:pPr>
        <w:pStyle w:val="Indenta"/>
        <w:spacing w:before="60"/>
        <w:rPr>
          <w:snapToGrid w:val="0"/>
        </w:rPr>
      </w:pPr>
      <w:r>
        <w:rPr>
          <w:snapToGrid w:val="0"/>
        </w:rPr>
        <w:tab/>
        <w:t>(a)</w:t>
      </w:r>
      <w:r>
        <w:rPr>
          <w:snapToGrid w:val="0"/>
        </w:rPr>
        <w:tab/>
        <w:t>perform any function conferred or imposed upon it by or under this Act;</w:t>
      </w:r>
    </w:p>
    <w:p>
      <w:pPr>
        <w:pStyle w:val="Indenta"/>
        <w:spacing w:before="60"/>
        <w:rPr>
          <w:snapToGrid w:val="0"/>
        </w:rPr>
      </w:pPr>
      <w:r>
        <w:rPr>
          <w:snapToGrid w:val="0"/>
        </w:rPr>
        <w:tab/>
        <w:t>(b)</w:t>
      </w:r>
      <w:r>
        <w:rPr>
          <w:snapToGrid w:val="0"/>
        </w:rPr>
        <w:tab/>
        <w:t>select persons for appointment as members of the staff of the Kalgoorlie Campus and recommend the appointment of such persons to the staff of the University in accordance with section 17;</w:t>
      </w:r>
    </w:p>
    <w:p>
      <w:pPr>
        <w:pStyle w:val="Indenta"/>
        <w:spacing w:before="60"/>
        <w:rPr>
          <w:snapToGrid w:val="0"/>
        </w:rPr>
      </w:pPr>
      <w:r>
        <w:rPr>
          <w:snapToGrid w:val="0"/>
        </w:rPr>
        <w:tab/>
        <w:t>(c)</w:t>
      </w:r>
      <w:r>
        <w:rPr>
          <w:snapToGrid w:val="0"/>
        </w:rPr>
        <w:tab/>
        <w:t>expend or otherwise apply for the purposes of the Kalgoorlie Campus moneys allocated to the Kalgoorlie Campus; and</w:t>
      </w:r>
    </w:p>
    <w:p>
      <w:pPr>
        <w:pStyle w:val="Indenta"/>
        <w:spacing w:before="60"/>
        <w:rPr>
          <w:snapToGrid w:val="0"/>
        </w:rPr>
      </w:pPr>
      <w:r>
        <w:rPr>
          <w:snapToGrid w:val="0"/>
        </w:rPr>
        <w:tab/>
        <w:t>(d)</w:t>
      </w:r>
      <w:r>
        <w:rPr>
          <w:snapToGrid w:val="0"/>
        </w:rPr>
        <w:tab/>
        <w:t>expend or otherwise apply moneys received by the University, the Council, the Kalgoorlie Campus or the Kalgoorlie Campus Council by way of gifts, or bequests for educational, research or other purposes associated with the Kalgoorlie Campus.</w:t>
      </w:r>
    </w:p>
    <w:p>
      <w:pPr>
        <w:pStyle w:val="Footnotesection"/>
        <w:spacing w:before="80"/>
        <w:ind w:left="890" w:hanging="890"/>
      </w:pPr>
      <w:r>
        <w:tab/>
        <w:t xml:space="preserve">[Section 21L inserted by No. 35 of 1996 s. 10.] </w:t>
      </w:r>
    </w:p>
    <w:p>
      <w:pPr>
        <w:pStyle w:val="Heading5"/>
        <w:spacing w:before="180"/>
        <w:rPr>
          <w:snapToGrid w:val="0"/>
        </w:rPr>
      </w:pPr>
      <w:bookmarkStart w:id="358" w:name="_Toc378163002"/>
      <w:bookmarkStart w:id="359" w:name="_Toc435842567"/>
      <w:bookmarkStart w:id="360" w:name="_Toc517596772"/>
      <w:bookmarkStart w:id="361" w:name="_Toc517596896"/>
      <w:bookmarkStart w:id="362" w:name="_Toc517597284"/>
      <w:bookmarkStart w:id="363" w:name="_Toc268096447"/>
      <w:r>
        <w:rPr>
          <w:rStyle w:val="CharSectno"/>
        </w:rPr>
        <w:t>21M</w:t>
      </w:r>
      <w:r>
        <w:rPr>
          <w:snapToGrid w:val="0"/>
        </w:rPr>
        <w:t xml:space="preserve">. </w:t>
      </w:r>
      <w:r>
        <w:rPr>
          <w:snapToGrid w:val="0"/>
        </w:rPr>
        <w:tab/>
        <w:t>Membership of Kalgoorlie Campus Council</w:t>
      </w:r>
      <w:bookmarkEnd w:id="358"/>
      <w:bookmarkEnd w:id="359"/>
      <w:bookmarkEnd w:id="360"/>
      <w:bookmarkEnd w:id="361"/>
      <w:bookmarkEnd w:id="362"/>
      <w:bookmarkEnd w:id="363"/>
      <w:r>
        <w:rPr>
          <w:snapToGrid w:val="0"/>
        </w:rPr>
        <w:t xml:space="preserve"> </w:t>
      </w:r>
    </w:p>
    <w:p>
      <w:pPr>
        <w:pStyle w:val="Subsection"/>
        <w:spacing w:before="120"/>
        <w:rPr>
          <w:snapToGrid w:val="0"/>
        </w:rPr>
      </w:pPr>
      <w:r>
        <w:rPr>
          <w:snapToGrid w:val="0"/>
        </w:rPr>
        <w:tab/>
        <w:t>(1)</w:t>
      </w:r>
      <w:r>
        <w:rPr>
          <w:snapToGrid w:val="0"/>
        </w:rPr>
        <w:tab/>
        <w:t>Subject to this Act the Kalgoorlie Campus Council shall consist of — </w:t>
      </w:r>
    </w:p>
    <w:p>
      <w:pPr>
        <w:pStyle w:val="Indenta"/>
        <w:rPr>
          <w:snapToGrid w:val="0"/>
        </w:rPr>
      </w:pPr>
      <w:r>
        <w:rPr>
          <w:snapToGrid w:val="0"/>
        </w:rPr>
        <w:tab/>
        <w:t>(a)</w:t>
      </w:r>
      <w:r>
        <w:rPr>
          <w:snapToGrid w:val="0"/>
        </w:rPr>
        <w:tab/>
        <w:t>a person appointed by the Minister to be chairperson of the Kalgoorlie Campus Council;</w:t>
      </w:r>
    </w:p>
    <w:p>
      <w:pPr>
        <w:pStyle w:val="Indenta"/>
        <w:rPr>
          <w:snapToGrid w:val="0"/>
        </w:rPr>
      </w:pPr>
      <w:r>
        <w:rPr>
          <w:snapToGrid w:val="0"/>
        </w:rPr>
        <w:tab/>
        <w:t>(b)</w:t>
      </w:r>
      <w:r>
        <w:rPr>
          <w:snapToGrid w:val="0"/>
        </w:rPr>
        <w:tab/>
        <w:t>7 persons appointed by the Minister representative of education, the professions, or industrial, commercial or community interests;</w:t>
      </w:r>
    </w:p>
    <w:p>
      <w:pPr>
        <w:pStyle w:val="Indenta"/>
        <w:spacing w:before="60"/>
        <w:rPr>
          <w:snapToGrid w:val="0"/>
        </w:rPr>
      </w:pPr>
      <w:r>
        <w:rPr>
          <w:snapToGrid w:val="0"/>
        </w:rPr>
        <w:tab/>
        <w:t>(c)</w:t>
      </w:r>
      <w:r>
        <w:rPr>
          <w:snapToGrid w:val="0"/>
        </w:rPr>
        <w:tab/>
        <w:t>the chief executive officer of the Kalgoorlie Campus;</w:t>
      </w:r>
    </w:p>
    <w:p>
      <w:pPr>
        <w:pStyle w:val="Indenta"/>
        <w:spacing w:before="60"/>
        <w:rPr>
          <w:snapToGrid w:val="0"/>
        </w:rPr>
      </w:pPr>
      <w:r>
        <w:rPr>
          <w:snapToGrid w:val="0"/>
        </w:rPr>
        <w:tab/>
        <w:t>(d)</w:t>
      </w:r>
      <w:r>
        <w:rPr>
          <w:snapToGrid w:val="0"/>
        </w:rPr>
        <w:tab/>
        <w:t>the person appointed to be responsible for the management of higher education at the Kalgoorlie Campus;</w:t>
      </w:r>
    </w:p>
    <w:p>
      <w:pPr>
        <w:pStyle w:val="Indenta"/>
        <w:spacing w:before="60"/>
        <w:rPr>
          <w:snapToGrid w:val="0"/>
        </w:rPr>
      </w:pPr>
      <w:r>
        <w:rPr>
          <w:snapToGrid w:val="0"/>
        </w:rPr>
        <w:tab/>
        <w:t>(e)</w:t>
      </w:r>
      <w:r>
        <w:rPr>
          <w:snapToGrid w:val="0"/>
        </w:rPr>
        <w:tab/>
        <w:t>the person appointed to be responsible for the management of technical and further education at the Kalgoorlie Campus;</w:t>
      </w:r>
    </w:p>
    <w:p>
      <w:pPr>
        <w:pStyle w:val="Indenta"/>
        <w:spacing w:before="60"/>
        <w:rPr>
          <w:snapToGrid w:val="0"/>
        </w:rPr>
      </w:pPr>
      <w:r>
        <w:rPr>
          <w:snapToGrid w:val="0"/>
        </w:rPr>
        <w:tab/>
        <w:t>(f)</w:t>
      </w:r>
      <w:r>
        <w:rPr>
          <w:snapToGrid w:val="0"/>
        </w:rPr>
        <w:tab/>
        <w:t>a member of the full</w:t>
      </w:r>
      <w:r>
        <w:rPr>
          <w:snapToGrid w:val="0"/>
        </w:rPr>
        <w:noBreakHyphen/>
        <w:t>time higher education academic staff of the Kalgoorlie Campus elected by members of that staff in accordance with the Statutes;</w:t>
      </w:r>
    </w:p>
    <w:p>
      <w:pPr>
        <w:pStyle w:val="Indenta"/>
        <w:spacing w:before="60"/>
        <w:rPr>
          <w:snapToGrid w:val="0"/>
        </w:rPr>
      </w:pPr>
      <w:r>
        <w:rPr>
          <w:snapToGrid w:val="0"/>
        </w:rPr>
        <w:tab/>
        <w:t>(g)</w:t>
      </w:r>
      <w:r>
        <w:rPr>
          <w:snapToGrid w:val="0"/>
        </w:rPr>
        <w:tab/>
        <w:t>a member of the full</w:t>
      </w:r>
      <w:r>
        <w:rPr>
          <w:snapToGrid w:val="0"/>
        </w:rPr>
        <w:noBreakHyphen/>
        <w:t>time technical and further education academic staff of the Kalgoorlie Campus elected by members of that staff in accordance with the Statutes;</w:t>
      </w:r>
    </w:p>
    <w:p>
      <w:pPr>
        <w:pStyle w:val="Indenta"/>
        <w:spacing w:before="60"/>
        <w:rPr>
          <w:snapToGrid w:val="0"/>
        </w:rPr>
      </w:pPr>
      <w:r>
        <w:rPr>
          <w:snapToGrid w:val="0"/>
        </w:rPr>
        <w:tab/>
        <w:t>(h)</w:t>
      </w:r>
      <w:r>
        <w:rPr>
          <w:snapToGrid w:val="0"/>
        </w:rPr>
        <w:tab/>
        <w:t>a member of the full</w:t>
      </w:r>
      <w:r>
        <w:rPr>
          <w:snapToGrid w:val="0"/>
        </w:rPr>
        <w:noBreakHyphen/>
        <w:t>time general staff (other than the academic staff) of the Kalgoorlie Campus elected by members of that staff in accordance with the Statutes;</w:t>
      </w:r>
    </w:p>
    <w:p>
      <w:pPr>
        <w:pStyle w:val="Indenta"/>
        <w:spacing w:before="60"/>
        <w:rPr>
          <w:snapToGrid w:val="0"/>
        </w:rPr>
      </w:pPr>
      <w:r>
        <w:rPr>
          <w:snapToGrid w:val="0"/>
        </w:rPr>
        <w:tab/>
        <w:t>(i)</w:t>
      </w:r>
      <w:r>
        <w:rPr>
          <w:snapToGrid w:val="0"/>
        </w:rPr>
        <w:tab/>
        <w:t xml:space="preserve">an enrolled student of the Kalgoorlie Campus elected by enrolled students of the Kalgoorlie Campus in accordance with the Statutes; </w:t>
      </w:r>
    </w:p>
    <w:p>
      <w:pPr>
        <w:pStyle w:val="Indenta"/>
        <w:spacing w:before="60"/>
        <w:rPr>
          <w:snapToGrid w:val="0"/>
        </w:rPr>
      </w:pPr>
      <w:r>
        <w:rPr>
          <w:snapToGrid w:val="0"/>
        </w:rPr>
        <w:tab/>
        <w:t>(j)</w:t>
      </w:r>
      <w:r>
        <w:rPr>
          <w:snapToGrid w:val="0"/>
        </w:rPr>
        <w:tab/>
        <w:t>the chief executive officer of the University or a person nominated in writing by that chief executive officer; and</w:t>
      </w:r>
    </w:p>
    <w:p>
      <w:pPr>
        <w:pStyle w:val="Indenta"/>
        <w:spacing w:before="60"/>
        <w:rPr>
          <w:snapToGrid w:val="0"/>
        </w:rPr>
      </w:pPr>
      <w:r>
        <w:rPr>
          <w:snapToGrid w:val="0"/>
        </w:rPr>
        <w:tab/>
        <w:t>(k)</w:t>
      </w:r>
      <w:r>
        <w:rPr>
          <w:snapToGrid w:val="0"/>
        </w:rPr>
        <w:tab/>
        <w:t>not more than 3 persons appointed from time to time by co</w:t>
      </w:r>
      <w:r>
        <w:rPr>
          <w:snapToGrid w:val="0"/>
        </w:rPr>
        <w:noBreakHyphen/>
        <w:t>option by the Kalgoorlie Campus Council, but a person whose sole or principal employment is that of a member of the staff of the University may not be so appointed.</w:t>
      </w:r>
    </w:p>
    <w:p>
      <w:pPr>
        <w:pStyle w:val="Subsection"/>
        <w:spacing w:before="120"/>
        <w:rPr>
          <w:snapToGrid w:val="0"/>
        </w:rPr>
      </w:pPr>
      <w:r>
        <w:rPr>
          <w:snapToGrid w:val="0"/>
        </w:rPr>
        <w:tab/>
        <w:t>(2)</w:t>
      </w:r>
      <w:r>
        <w:rPr>
          <w:snapToGrid w:val="0"/>
        </w:rPr>
        <w:tab/>
        <w:t>The Minister will endeavour to ensure that at least one of the persons appointed under subsection (1)(b) is a resident of the Esperance region.</w:t>
      </w:r>
    </w:p>
    <w:p>
      <w:pPr>
        <w:pStyle w:val="Subsection"/>
        <w:spacing w:before="120"/>
        <w:rPr>
          <w:snapToGrid w:val="0"/>
        </w:rPr>
      </w:pPr>
      <w:r>
        <w:rPr>
          <w:snapToGrid w:val="0"/>
        </w:rPr>
        <w:tab/>
        <w:t>(3)</w:t>
      </w:r>
      <w:r>
        <w:rPr>
          <w:snapToGrid w:val="0"/>
        </w:rPr>
        <w:tab/>
        <w:t>If a question arises as to whether a person is a member of the full</w:t>
      </w:r>
      <w:r>
        <w:rPr>
          <w:snapToGrid w:val="0"/>
        </w:rPr>
        <w:noBreakHyphen/>
        <w:t>time higher education academic staff of the Kalgoorlie Campus or of the full</w:t>
      </w:r>
      <w:r>
        <w:rPr>
          <w:snapToGrid w:val="0"/>
        </w:rPr>
        <w:noBreakHyphen/>
        <w:t>time technical and further education academic staff of the Kalgoorlie Campus, or as to what persons or classes of persons constitute the higher education academic staff or the technical and further education academic staff of the Kalgoorlie Campus, that question shall be determined by the Council, and the decision of the Council on the question is final.</w:t>
      </w:r>
    </w:p>
    <w:p>
      <w:pPr>
        <w:pStyle w:val="Footnotesection"/>
      </w:pPr>
      <w:r>
        <w:tab/>
        <w:t xml:space="preserve">[Section 21M inserted by No. 35 of 1996 s. 10.] </w:t>
      </w:r>
    </w:p>
    <w:p>
      <w:pPr>
        <w:pStyle w:val="Heading5"/>
        <w:rPr>
          <w:snapToGrid w:val="0"/>
        </w:rPr>
      </w:pPr>
      <w:bookmarkStart w:id="364" w:name="_Toc378163003"/>
      <w:bookmarkStart w:id="365" w:name="_Toc435842568"/>
      <w:bookmarkStart w:id="366" w:name="_Toc517596773"/>
      <w:bookmarkStart w:id="367" w:name="_Toc517596897"/>
      <w:bookmarkStart w:id="368" w:name="_Toc517597285"/>
      <w:bookmarkStart w:id="369" w:name="_Toc268096448"/>
      <w:r>
        <w:rPr>
          <w:rStyle w:val="CharSectno"/>
        </w:rPr>
        <w:t>21N</w:t>
      </w:r>
      <w:r>
        <w:rPr>
          <w:snapToGrid w:val="0"/>
        </w:rPr>
        <w:t xml:space="preserve">. </w:t>
      </w:r>
      <w:r>
        <w:rPr>
          <w:snapToGrid w:val="0"/>
        </w:rPr>
        <w:tab/>
        <w:t>Constitution and proceedings</w:t>
      </w:r>
      <w:bookmarkEnd w:id="364"/>
      <w:bookmarkEnd w:id="365"/>
      <w:bookmarkEnd w:id="366"/>
      <w:bookmarkEnd w:id="367"/>
      <w:bookmarkEnd w:id="368"/>
      <w:bookmarkEnd w:id="369"/>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by No. 35 of 1996 s. 10.] </w:t>
      </w:r>
    </w:p>
    <w:p>
      <w:pPr>
        <w:pStyle w:val="Heading5"/>
        <w:rPr>
          <w:snapToGrid w:val="0"/>
        </w:rPr>
      </w:pPr>
      <w:bookmarkStart w:id="370" w:name="_Toc378163004"/>
      <w:bookmarkStart w:id="371" w:name="_Toc435842569"/>
      <w:bookmarkStart w:id="372" w:name="_Toc517596774"/>
      <w:bookmarkStart w:id="373" w:name="_Toc517596898"/>
      <w:bookmarkStart w:id="374" w:name="_Toc517597286"/>
      <w:bookmarkStart w:id="375" w:name="_Toc268096449"/>
      <w:r>
        <w:rPr>
          <w:rStyle w:val="CharSectno"/>
        </w:rPr>
        <w:t>21O</w:t>
      </w:r>
      <w:r>
        <w:rPr>
          <w:snapToGrid w:val="0"/>
        </w:rPr>
        <w:t xml:space="preserve">. </w:t>
      </w:r>
      <w:r>
        <w:rPr>
          <w:snapToGrid w:val="0"/>
        </w:rPr>
        <w:tab/>
        <w:t>Chief executive officer</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Council shall appoint a person to be the chief executive officer of the Kalgoorlie Campus and may terminate that appointment.</w:t>
      </w:r>
    </w:p>
    <w:p>
      <w:pPr>
        <w:pStyle w:val="Subsection"/>
        <w:rPr>
          <w:snapToGrid w:val="0"/>
        </w:rPr>
      </w:pPr>
      <w:r>
        <w:rPr>
          <w:snapToGrid w:val="0"/>
        </w:rPr>
        <w:tab/>
        <w:t>(2)</w:t>
      </w:r>
      <w:r>
        <w:rPr>
          <w:snapToGrid w:val="0"/>
        </w:rPr>
        <w:tab/>
        <w:t>The chief executive officer shall hold office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determined by the Council and, unless otherwise expressly provided by the Council, the chief executive officer may delegate any of those powers and duties to any person or committee of persons.</w:t>
      </w:r>
    </w:p>
    <w:p>
      <w:pPr>
        <w:pStyle w:val="Footnotesection"/>
      </w:pPr>
      <w:r>
        <w:tab/>
        <w:t xml:space="preserve">[Section 21O inserted by No. 35 of 1996 s. 10.] </w:t>
      </w:r>
    </w:p>
    <w:p>
      <w:pPr>
        <w:pStyle w:val="Heading5"/>
        <w:rPr>
          <w:snapToGrid w:val="0"/>
        </w:rPr>
      </w:pPr>
      <w:bookmarkStart w:id="376" w:name="_Toc378163005"/>
      <w:bookmarkStart w:id="377" w:name="_Toc435842570"/>
      <w:bookmarkStart w:id="378" w:name="_Toc517596775"/>
      <w:bookmarkStart w:id="379" w:name="_Toc517596899"/>
      <w:bookmarkStart w:id="380" w:name="_Toc517597287"/>
      <w:bookmarkStart w:id="381" w:name="_Toc268096450"/>
      <w:r>
        <w:rPr>
          <w:rStyle w:val="CharSectno"/>
        </w:rPr>
        <w:t>21P</w:t>
      </w:r>
      <w:r>
        <w:rPr>
          <w:snapToGrid w:val="0"/>
        </w:rPr>
        <w:t xml:space="preserve">. </w:t>
      </w:r>
      <w:r>
        <w:rPr>
          <w:snapToGrid w:val="0"/>
        </w:rPr>
        <w:tab/>
        <w:t>Delegation by Kalgoorlie Campus Council</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Kalgoorlie Campus Council may by resolution delegate to any person, or committee of persons appointed by the Kalgoorlie Campus Council, any of its functions, other than this power of delegation.</w:t>
      </w:r>
    </w:p>
    <w:p>
      <w:pPr>
        <w:pStyle w:val="Subsection"/>
        <w:rPr>
          <w:snapToGrid w:val="0"/>
        </w:rPr>
      </w:pPr>
      <w:r>
        <w:rPr>
          <w:snapToGrid w:val="0"/>
        </w:rPr>
        <w:tab/>
        <w:t>(2)</w:t>
      </w:r>
      <w:r>
        <w:rPr>
          <w:snapToGrid w:val="0"/>
        </w:rPr>
        <w:tab/>
        <w:t>A committee appointed by the Kalgoorlie Campus Council under this section shall report to the Kalgoorlie Campus Council on its activities at such times as the Kalgoorlie Campus Council directs.</w:t>
      </w:r>
    </w:p>
    <w:p>
      <w:pPr>
        <w:pStyle w:val="Footnotesection"/>
      </w:pPr>
      <w:r>
        <w:tab/>
        <w:t xml:space="preserve">[Section 21P inserted by No. 35 of 1996 s. 10.] </w:t>
      </w:r>
    </w:p>
    <w:p>
      <w:pPr>
        <w:pStyle w:val="Heading3"/>
        <w:rPr>
          <w:snapToGrid w:val="0"/>
        </w:rPr>
      </w:pPr>
      <w:bookmarkStart w:id="382" w:name="_Toc378163006"/>
      <w:bookmarkStart w:id="383" w:name="_Toc97106390"/>
      <w:bookmarkStart w:id="384" w:name="_Toc103064900"/>
      <w:bookmarkStart w:id="385" w:name="_Toc108844435"/>
      <w:bookmarkStart w:id="386" w:name="_Toc108846902"/>
      <w:bookmarkStart w:id="387" w:name="_Toc111529331"/>
      <w:bookmarkStart w:id="388" w:name="_Toc112575736"/>
      <w:bookmarkStart w:id="389" w:name="_Toc112575825"/>
      <w:bookmarkStart w:id="390" w:name="_Toc112575914"/>
      <w:bookmarkStart w:id="391" w:name="_Toc112576003"/>
      <w:bookmarkStart w:id="392" w:name="_Toc112576092"/>
      <w:bookmarkStart w:id="393" w:name="_Toc112731498"/>
      <w:bookmarkStart w:id="394" w:name="_Toc113698043"/>
      <w:bookmarkStart w:id="395" w:name="_Toc114299611"/>
      <w:bookmarkStart w:id="396" w:name="_Toc114299821"/>
      <w:bookmarkStart w:id="397" w:name="_Toc114300071"/>
      <w:bookmarkStart w:id="398" w:name="_Toc114301210"/>
      <w:bookmarkStart w:id="399" w:name="_Toc116901444"/>
      <w:bookmarkStart w:id="400" w:name="_Toc116960774"/>
      <w:bookmarkStart w:id="401" w:name="_Toc116983502"/>
      <w:bookmarkStart w:id="402" w:name="_Toc118693738"/>
      <w:bookmarkStart w:id="403" w:name="_Toc118704866"/>
      <w:bookmarkStart w:id="404" w:name="_Toc118783842"/>
      <w:bookmarkStart w:id="405" w:name="_Toc157846149"/>
      <w:bookmarkStart w:id="406" w:name="_Toc241052971"/>
      <w:bookmarkStart w:id="407" w:name="_Toc268096451"/>
      <w:r>
        <w:rPr>
          <w:rStyle w:val="CharDivNo"/>
        </w:rPr>
        <w:t>Division 3</w:t>
      </w:r>
      <w:r>
        <w:rPr>
          <w:snapToGrid w:val="0"/>
        </w:rPr>
        <w:t> — </w:t>
      </w:r>
      <w:r>
        <w:rPr>
          <w:rStyle w:val="CharDivText"/>
        </w:rPr>
        <w:t>Financial provisions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DivText"/>
        </w:rPr>
        <w:t xml:space="preserve"> </w:t>
      </w:r>
    </w:p>
    <w:p>
      <w:pPr>
        <w:pStyle w:val="Heading5"/>
        <w:rPr>
          <w:snapToGrid w:val="0"/>
        </w:rPr>
      </w:pPr>
      <w:bookmarkStart w:id="408" w:name="_Toc435842571"/>
      <w:bookmarkStart w:id="409" w:name="_Toc517596776"/>
      <w:bookmarkStart w:id="410" w:name="_Toc517596900"/>
      <w:bookmarkStart w:id="411" w:name="_Toc517597288"/>
      <w:bookmarkStart w:id="412" w:name="_Toc378163007"/>
      <w:bookmarkStart w:id="413" w:name="_Toc268096452"/>
      <w:r>
        <w:rPr>
          <w:rStyle w:val="CharSectno"/>
        </w:rPr>
        <w:t>22</w:t>
      </w:r>
      <w:r>
        <w:rPr>
          <w:snapToGrid w:val="0"/>
        </w:rPr>
        <w:t>.</w:t>
      </w:r>
      <w:r>
        <w:rPr>
          <w:snapToGrid w:val="0"/>
        </w:rPr>
        <w:tab/>
        <w:t xml:space="preserve">Application of </w:t>
      </w:r>
      <w:bookmarkEnd w:id="408"/>
      <w:bookmarkEnd w:id="409"/>
      <w:bookmarkEnd w:id="410"/>
      <w:bookmarkEnd w:id="411"/>
      <w:r>
        <w:rPr>
          <w:i/>
          <w:iCs/>
        </w:rPr>
        <w:t>Financial Management Act 2006</w:t>
      </w:r>
      <w:r>
        <w:t xml:space="preserve"> and </w:t>
      </w:r>
      <w:r>
        <w:rPr>
          <w:i/>
          <w:iCs/>
        </w:rPr>
        <w:t>Auditor General Act 2006</w:t>
      </w:r>
      <w:bookmarkEnd w:id="412"/>
      <w:bookmarkEnd w:id="413"/>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spacing w:before="20"/>
        <w:ind w:left="601"/>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4"/>
      </w:pPr>
      <w:r>
        <w:t xml:space="preserve">    ”.</w:t>
      </w:r>
    </w:p>
    <w:p>
      <w:pPr>
        <w:pStyle w:val="Footnotesection"/>
      </w:pPr>
      <w:r>
        <w:tab/>
        <w:t xml:space="preserve">[Section 22 inserted by No. 98 of 1985 s. 3; amended by No. 96 of 1986 s. 11; No. 32 of 1991 s. 2; No. 35 of 1996 s. 36; No. 77 of 2006 s. 17.] </w:t>
      </w:r>
    </w:p>
    <w:p>
      <w:pPr>
        <w:pStyle w:val="Heading5"/>
        <w:spacing w:before="120"/>
        <w:rPr>
          <w:snapToGrid w:val="0"/>
        </w:rPr>
      </w:pPr>
      <w:bookmarkStart w:id="414" w:name="_Toc378163008"/>
      <w:bookmarkStart w:id="415" w:name="_Toc435842572"/>
      <w:bookmarkStart w:id="416" w:name="_Toc517596777"/>
      <w:bookmarkStart w:id="417" w:name="_Toc517596901"/>
      <w:bookmarkStart w:id="418" w:name="_Toc517597289"/>
      <w:bookmarkStart w:id="419" w:name="_Toc268096453"/>
      <w:r>
        <w:rPr>
          <w:rStyle w:val="CharSectno"/>
        </w:rPr>
        <w:t>23</w:t>
      </w:r>
      <w:r>
        <w:rPr>
          <w:snapToGrid w:val="0"/>
        </w:rPr>
        <w:t>.</w:t>
      </w:r>
      <w:r>
        <w:rPr>
          <w:snapToGrid w:val="0"/>
        </w:rPr>
        <w:tab/>
        <w:t>Funds of University</w:t>
      </w:r>
      <w:bookmarkEnd w:id="414"/>
      <w:bookmarkEnd w:id="415"/>
      <w:bookmarkEnd w:id="416"/>
      <w:bookmarkEnd w:id="417"/>
      <w:bookmarkEnd w:id="418"/>
      <w:bookmarkEnd w:id="419"/>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r>
        <w:tab/>
        <w:t>(b)</w:t>
      </w:r>
      <w:r>
        <w:tab/>
        <w:t>with the approval of the Treasurer, an account or accounts established at a bank (as defined in section 3 of that Act) or accounts established at banks.</w:t>
      </w:r>
    </w:p>
    <w:p>
      <w:pPr>
        <w:pStyle w:val="Subsection"/>
      </w:pPr>
      <w:r>
        <w:tab/>
        <w:t>(2a)</w:t>
      </w:r>
      <w:r>
        <w:tab/>
        <w:t>The account, or each account, established for the purposes of subsection (2) is to be called the Curtin University of Technology Account.</w:t>
      </w:r>
    </w:p>
    <w:p>
      <w:pPr>
        <w:pStyle w:val="Subsection"/>
        <w:spacing w:before="100"/>
        <w:rPr>
          <w:snapToGrid w:val="0"/>
        </w:rPr>
      </w:pPr>
      <w:r>
        <w:rPr>
          <w:snapToGrid w:val="0"/>
        </w:rPr>
        <w:tab/>
        <w:t>(3)</w:t>
      </w:r>
      <w:r>
        <w:rPr>
          <w:snapToGrid w:val="0"/>
        </w:rPr>
        <w:tab/>
        <w:t>All expenditure incurred by the Council for the purposes of giving effect to this Act, including the repayment of moneys borrowed by or advanced to the University in accordance with this Act, shall, subject to subsection (4), be charged to an account referred to in subsection (2).</w:t>
      </w:r>
    </w:p>
    <w:p>
      <w:pPr>
        <w:pStyle w:val="Subsection"/>
        <w:rPr>
          <w:snapToGrid w:val="0"/>
        </w:rPr>
      </w:pPr>
      <w:r>
        <w:rPr>
          <w:snapToGrid w:val="0"/>
        </w:rPr>
        <w:tab/>
        <w:t>(4)</w:t>
      </w:r>
      <w:r>
        <w:rPr>
          <w:snapToGrid w:val="0"/>
        </w:rPr>
        <w:tab/>
        <w:t>Expenditure incurred for the purposes of giving effect to section 17A shall be paid out of such moneys standing to the credit of an account referred to in subsection (2) as the Treasurer approves.</w:t>
      </w:r>
    </w:p>
    <w:p>
      <w:pPr>
        <w:pStyle w:val="Footnotesection"/>
        <w:spacing w:before="80"/>
        <w:ind w:left="890" w:hanging="890"/>
      </w:pPr>
      <w:r>
        <w:tab/>
        <w:t xml:space="preserve">[Section 23 amended by No. 57 of 1969 s. 4; No. 37 of 1981 s. 11; No. 96 of 1986 s. 11; No. 49 of 1996 s. 52 and 64; No. 77 of 2006 s. 17.] </w:t>
      </w:r>
    </w:p>
    <w:p>
      <w:pPr>
        <w:pStyle w:val="Heading5"/>
        <w:spacing w:before="120"/>
        <w:rPr>
          <w:snapToGrid w:val="0"/>
        </w:rPr>
      </w:pPr>
      <w:bookmarkStart w:id="420" w:name="_Toc378163009"/>
      <w:bookmarkStart w:id="421" w:name="_Toc435842573"/>
      <w:bookmarkStart w:id="422" w:name="_Toc517596778"/>
      <w:bookmarkStart w:id="423" w:name="_Toc517596902"/>
      <w:bookmarkStart w:id="424" w:name="_Toc517597290"/>
      <w:bookmarkStart w:id="425" w:name="_Toc268096454"/>
      <w:r>
        <w:rPr>
          <w:rStyle w:val="CharSectno"/>
        </w:rPr>
        <w:t>24</w:t>
      </w:r>
      <w:r>
        <w:rPr>
          <w:snapToGrid w:val="0"/>
        </w:rPr>
        <w:t>.</w:t>
      </w:r>
      <w:r>
        <w:rPr>
          <w:snapToGrid w:val="0"/>
        </w:rPr>
        <w:tab/>
        <w:t>Power of University to borrow</w:t>
      </w:r>
      <w:bookmarkEnd w:id="420"/>
      <w:bookmarkEnd w:id="421"/>
      <w:bookmarkEnd w:id="422"/>
      <w:bookmarkEnd w:id="423"/>
      <w:bookmarkEnd w:id="424"/>
      <w:bookmarkEnd w:id="425"/>
      <w:r>
        <w:rPr>
          <w:snapToGrid w:val="0"/>
        </w:rPr>
        <w:t xml:space="preserve"> </w:t>
      </w:r>
    </w:p>
    <w:p>
      <w:pPr>
        <w:pStyle w:val="Subsection"/>
        <w:spacing w:before="100"/>
        <w:rPr>
          <w:snapToGrid w:val="0"/>
        </w:rPr>
      </w:pPr>
      <w:r>
        <w:rPr>
          <w:snapToGrid w:val="0"/>
        </w:rPr>
        <w:tab/>
        <w:t>(1)</w:t>
      </w:r>
      <w:r>
        <w:rPr>
          <w:snapToGrid w:val="0"/>
        </w:rPr>
        <w:tab/>
        <w:t>Subject to subsection (2), the University may at any time and from time to time, with the approval of the Governor, borrow money — </w:t>
      </w:r>
    </w:p>
    <w:p>
      <w:pPr>
        <w:pStyle w:val="Indenta"/>
        <w:rPr>
          <w:snapToGrid w:val="0"/>
        </w:rPr>
      </w:pPr>
      <w:r>
        <w:rPr>
          <w:snapToGrid w:val="0"/>
        </w:rPr>
        <w:tab/>
        <w:t>(a)</w:t>
      </w:r>
      <w:r>
        <w:rPr>
          <w:snapToGrid w:val="0"/>
        </w:rPr>
        <w:tab/>
        <w:t>for the effectual exercise by the University of its powers, duties, authorities and functions under this Act; and</w:t>
      </w:r>
    </w:p>
    <w:p>
      <w:pPr>
        <w:pStyle w:val="Indenta"/>
        <w:rPr>
          <w:snapToGrid w:val="0"/>
        </w:rPr>
      </w:pPr>
      <w:r>
        <w:rPr>
          <w:snapToGrid w:val="0"/>
        </w:rPr>
        <w:tab/>
        <w:t>(b)</w:t>
      </w:r>
      <w:r>
        <w:rPr>
          <w:snapToGrid w:val="0"/>
        </w:rPr>
        <w:tab/>
        <w:t>to discharge the principal, moneys and interest thereon owing by the University in respect of any existing loan or for the consolidation of the debts of the University.</w:t>
      </w:r>
    </w:p>
    <w:p>
      <w:pPr>
        <w:pStyle w:val="Subsection"/>
        <w:keepNext/>
        <w:keepLines/>
        <w:spacing w:before="100"/>
        <w:rPr>
          <w:snapToGrid w:val="0"/>
        </w:rPr>
      </w:pPr>
      <w:r>
        <w:rPr>
          <w:snapToGrid w:val="0"/>
        </w:rPr>
        <w:tab/>
        <w:t>(2)</w:t>
      </w:r>
      <w:r>
        <w:rPr>
          <w:snapToGrid w:val="0"/>
        </w:rPr>
        <w:tab/>
        <w:t>The Governor shall not approve, for the purposes of subsection (1), unless a written proposal specifying — </w:t>
      </w:r>
    </w:p>
    <w:p>
      <w:pPr>
        <w:pStyle w:val="Indenta"/>
        <w:spacing w:before="60"/>
        <w:rPr>
          <w:snapToGrid w:val="0"/>
        </w:rPr>
      </w:pPr>
      <w:r>
        <w:rPr>
          <w:snapToGrid w:val="0"/>
        </w:rPr>
        <w:tab/>
        <w:t>(a)</w:t>
      </w:r>
      <w:r>
        <w:rPr>
          <w:snapToGrid w:val="0"/>
        </w:rPr>
        <w:tab/>
        <w:t>the amount of the proposed loan and the terms and other particulars thereof;</w:t>
      </w:r>
    </w:p>
    <w:p>
      <w:pPr>
        <w:pStyle w:val="Indenta"/>
        <w:rPr>
          <w:snapToGrid w:val="0"/>
        </w:rPr>
      </w:pPr>
      <w:r>
        <w:rPr>
          <w:snapToGrid w:val="0"/>
        </w:rPr>
        <w:tab/>
        <w:t>(b)</w:t>
      </w:r>
      <w:r>
        <w:rPr>
          <w:snapToGrid w:val="0"/>
        </w:rPr>
        <w:tab/>
        <w:t>the rate of interest to be paid on the amount of the loan;</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University to, and approved by, the Treasurer.</w:t>
      </w:r>
    </w:p>
    <w:p>
      <w:pPr>
        <w:pStyle w:val="Subsection"/>
        <w:rPr>
          <w:snapToGrid w:val="0"/>
        </w:rPr>
      </w:pPr>
      <w:r>
        <w:rPr>
          <w:snapToGrid w:val="0"/>
        </w:rPr>
        <w:tab/>
        <w:t>(3)</w:t>
      </w:r>
      <w:r>
        <w:rPr>
          <w:snapToGrid w:val="0"/>
        </w:rPr>
        <w:tab/>
        <w:t>The Treasurer on behalf of the Crown in right of the State shall guarantee repayment of the principal, moneys and interest thereon in respect of moneys borrowed by the University under this section and any liability of the Crown arising out of a guarantee given by the Treasurer under this subsection shall be charged to the Consolidated Account.</w:t>
      </w:r>
    </w:p>
    <w:p>
      <w:pPr>
        <w:pStyle w:val="Footnotesection"/>
        <w:keepLines w:val="0"/>
        <w:ind w:left="890" w:hanging="890"/>
      </w:pPr>
      <w:r>
        <w:tab/>
        <w:t xml:space="preserve">[Section 24 amended by No. 98 of 1985 s. 3; No. 96 of 1986 s. 11; No. 6 of 1993 s. 11; No. 49 of 1996 s. 64; No. 77 of 2006 s. 4.] </w:t>
      </w:r>
    </w:p>
    <w:p>
      <w:pPr>
        <w:pStyle w:val="Heading5"/>
        <w:rPr>
          <w:snapToGrid w:val="0"/>
        </w:rPr>
      </w:pPr>
      <w:bookmarkStart w:id="426" w:name="_Toc378163010"/>
      <w:bookmarkStart w:id="427" w:name="_Toc435842574"/>
      <w:bookmarkStart w:id="428" w:name="_Toc517596779"/>
      <w:bookmarkStart w:id="429" w:name="_Toc517596903"/>
      <w:bookmarkStart w:id="430" w:name="_Toc517597291"/>
      <w:bookmarkStart w:id="431" w:name="_Toc268096455"/>
      <w:r>
        <w:rPr>
          <w:rStyle w:val="CharSectno"/>
        </w:rPr>
        <w:t>25</w:t>
      </w:r>
      <w:r>
        <w:rPr>
          <w:snapToGrid w:val="0"/>
        </w:rPr>
        <w:t>.</w:t>
      </w:r>
      <w:r>
        <w:rPr>
          <w:snapToGrid w:val="0"/>
        </w:rPr>
        <w:tab/>
        <w:t>Power of University to invest certain moneys</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Where any money standing to the credit of the Curtin University of Technology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 xml:space="preserve">[Section 25 amended by No. 37 of 1981 s. 12; No. 96 of 1986 s. 10 and 11; No. 1 of 1997 s. 18.] </w:t>
      </w:r>
    </w:p>
    <w:p>
      <w:pPr>
        <w:pStyle w:val="Ednotesection"/>
      </w:pPr>
      <w:r>
        <w:t>[</w:t>
      </w:r>
      <w:r>
        <w:rPr>
          <w:b/>
        </w:rPr>
        <w:t>26.</w:t>
      </w:r>
      <w:r>
        <w:rPr>
          <w:b/>
        </w:rPr>
        <w:tab/>
      </w:r>
      <w:r>
        <w:t xml:space="preserve">Deleted by No. 98 of 1985 s. 3.] </w:t>
      </w:r>
    </w:p>
    <w:p>
      <w:pPr>
        <w:pStyle w:val="Heading3"/>
        <w:rPr>
          <w:snapToGrid w:val="0"/>
        </w:rPr>
      </w:pPr>
      <w:bookmarkStart w:id="432" w:name="_Toc378163011"/>
      <w:bookmarkStart w:id="433" w:name="_Toc97106395"/>
      <w:bookmarkStart w:id="434" w:name="_Toc103064905"/>
      <w:bookmarkStart w:id="435" w:name="_Toc108844440"/>
      <w:bookmarkStart w:id="436" w:name="_Toc108846907"/>
      <w:bookmarkStart w:id="437" w:name="_Toc111529336"/>
      <w:bookmarkStart w:id="438" w:name="_Toc112575741"/>
      <w:bookmarkStart w:id="439" w:name="_Toc112575830"/>
      <w:bookmarkStart w:id="440" w:name="_Toc112575919"/>
      <w:bookmarkStart w:id="441" w:name="_Toc112576008"/>
      <w:bookmarkStart w:id="442" w:name="_Toc112576097"/>
      <w:bookmarkStart w:id="443" w:name="_Toc112731503"/>
      <w:bookmarkStart w:id="444" w:name="_Toc113698048"/>
      <w:bookmarkStart w:id="445" w:name="_Toc114299616"/>
      <w:bookmarkStart w:id="446" w:name="_Toc114299826"/>
      <w:bookmarkStart w:id="447" w:name="_Toc114300076"/>
      <w:bookmarkStart w:id="448" w:name="_Toc114301215"/>
      <w:bookmarkStart w:id="449" w:name="_Toc116901449"/>
      <w:bookmarkStart w:id="450" w:name="_Toc116960779"/>
      <w:bookmarkStart w:id="451" w:name="_Toc116983507"/>
      <w:bookmarkStart w:id="452" w:name="_Toc118693743"/>
      <w:bookmarkStart w:id="453" w:name="_Toc118704871"/>
      <w:bookmarkStart w:id="454" w:name="_Toc118783847"/>
      <w:bookmarkStart w:id="455" w:name="_Toc157846154"/>
      <w:bookmarkStart w:id="456" w:name="_Toc241052976"/>
      <w:bookmarkStart w:id="457" w:name="_Toc268096456"/>
      <w:r>
        <w:rPr>
          <w:rStyle w:val="CharDivNo"/>
        </w:rPr>
        <w:t>Division 4</w:t>
      </w:r>
      <w:r>
        <w:rPr>
          <w:snapToGrid w:val="0"/>
        </w:rPr>
        <w:t> — </w:t>
      </w:r>
      <w:r>
        <w:rPr>
          <w:rStyle w:val="CharDivText"/>
        </w:rPr>
        <w:t>Miscellaneous provisions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DivText"/>
        </w:rPr>
        <w:t xml:space="preserve"> </w:t>
      </w:r>
    </w:p>
    <w:p>
      <w:pPr>
        <w:pStyle w:val="Heading5"/>
        <w:rPr>
          <w:snapToGrid w:val="0"/>
        </w:rPr>
      </w:pPr>
      <w:bookmarkStart w:id="458" w:name="_Toc378163012"/>
      <w:bookmarkStart w:id="459" w:name="_Toc435842575"/>
      <w:bookmarkStart w:id="460" w:name="_Toc517596780"/>
      <w:bookmarkStart w:id="461" w:name="_Toc517596904"/>
      <w:bookmarkStart w:id="462" w:name="_Toc517597292"/>
      <w:bookmarkStart w:id="463" w:name="_Toc268096457"/>
      <w:r>
        <w:rPr>
          <w:rStyle w:val="CharSectno"/>
        </w:rPr>
        <w:t>27</w:t>
      </w:r>
      <w:r>
        <w:rPr>
          <w:snapToGrid w:val="0"/>
        </w:rPr>
        <w:t>.</w:t>
      </w:r>
      <w:r>
        <w:rPr>
          <w:snapToGrid w:val="0"/>
        </w:rPr>
        <w:tab/>
        <w:t>Governor to be Visitor</w:t>
      </w:r>
      <w:bookmarkEnd w:id="458"/>
      <w:bookmarkEnd w:id="459"/>
      <w:bookmarkEnd w:id="460"/>
      <w:bookmarkEnd w:id="461"/>
      <w:bookmarkEnd w:id="462"/>
      <w:bookmarkEnd w:id="463"/>
      <w:r>
        <w:rPr>
          <w:snapToGrid w:val="0"/>
        </w:rPr>
        <w:t xml:space="preserve"> </w:t>
      </w:r>
    </w:p>
    <w:p>
      <w:pPr>
        <w:pStyle w:val="Subsection"/>
        <w:spacing w:before="120"/>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27 amended by No. 96 of 1986 s. 11.] </w:t>
      </w:r>
    </w:p>
    <w:p>
      <w:pPr>
        <w:pStyle w:val="Heading5"/>
        <w:rPr>
          <w:snapToGrid w:val="0"/>
        </w:rPr>
      </w:pPr>
      <w:bookmarkStart w:id="464" w:name="_Toc378163013"/>
      <w:bookmarkStart w:id="465" w:name="_Toc435842576"/>
      <w:bookmarkStart w:id="466" w:name="_Toc517596781"/>
      <w:bookmarkStart w:id="467" w:name="_Toc517596905"/>
      <w:bookmarkStart w:id="468" w:name="_Toc517597293"/>
      <w:bookmarkStart w:id="469" w:name="_Toc268096458"/>
      <w:r>
        <w:rPr>
          <w:rStyle w:val="CharSectno"/>
        </w:rPr>
        <w:t>28</w:t>
      </w:r>
      <w:r>
        <w:rPr>
          <w:snapToGrid w:val="0"/>
        </w:rPr>
        <w:t>.</w:t>
      </w:r>
      <w:r>
        <w:rPr>
          <w:snapToGrid w:val="0"/>
        </w:rPr>
        <w:tab/>
        <w:t>Prohibition of religious tests</w:t>
      </w:r>
      <w:bookmarkEnd w:id="464"/>
      <w:bookmarkEnd w:id="465"/>
      <w:bookmarkEnd w:id="466"/>
      <w:bookmarkEnd w:id="467"/>
      <w:bookmarkEnd w:id="468"/>
      <w:bookmarkEnd w:id="469"/>
      <w:r>
        <w:rPr>
          <w:snapToGrid w:val="0"/>
        </w:rPr>
        <w:t xml:space="preserve"> </w:t>
      </w:r>
    </w:p>
    <w:p>
      <w:pPr>
        <w:pStyle w:val="Subsection"/>
        <w:spacing w:before="120"/>
        <w:rPr>
          <w:snapToGrid w:val="0"/>
        </w:rPr>
      </w:pPr>
      <w:r>
        <w:rPr>
          <w:snapToGrid w:val="0"/>
        </w:rPr>
        <w:tab/>
      </w:r>
      <w:r>
        <w:rPr>
          <w:snapToGrid w:val="0"/>
        </w:rPr>
        <w:tab/>
        <w:t>No religious test shall be administered to any person in order to entitle that person to be admitted as an enrolled student or to hold office in the University, or to graduate thereat, or to hold any advantage or privilege thereof.</w:t>
      </w:r>
    </w:p>
    <w:p>
      <w:pPr>
        <w:pStyle w:val="Footnotesection"/>
      </w:pPr>
      <w:r>
        <w:tab/>
        <w:t xml:space="preserve">[Section 28 amended by No. 96 of 1986 s. 11.] </w:t>
      </w:r>
    </w:p>
    <w:p>
      <w:pPr>
        <w:pStyle w:val="Heading5"/>
        <w:rPr>
          <w:snapToGrid w:val="0"/>
        </w:rPr>
      </w:pPr>
      <w:bookmarkStart w:id="470" w:name="_Toc378163014"/>
      <w:bookmarkStart w:id="471" w:name="_Toc435842577"/>
      <w:bookmarkStart w:id="472" w:name="_Toc517596782"/>
      <w:bookmarkStart w:id="473" w:name="_Toc517596906"/>
      <w:bookmarkStart w:id="474" w:name="_Toc517597294"/>
      <w:bookmarkStart w:id="475" w:name="_Toc268096459"/>
      <w:r>
        <w:rPr>
          <w:rStyle w:val="CharSectno"/>
        </w:rPr>
        <w:t>29</w:t>
      </w:r>
      <w:r>
        <w:rPr>
          <w:snapToGrid w:val="0"/>
        </w:rPr>
        <w:t>.</w:t>
      </w:r>
      <w:r>
        <w:rPr>
          <w:snapToGrid w:val="0"/>
        </w:rPr>
        <w:tab/>
        <w:t>Preservation of rights of officers and employees</w:t>
      </w:r>
      <w:bookmarkEnd w:id="470"/>
      <w:bookmarkEnd w:id="471"/>
      <w:bookmarkEnd w:id="472"/>
      <w:bookmarkEnd w:id="473"/>
      <w:bookmarkEnd w:id="474"/>
      <w:bookmarkEnd w:id="475"/>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3</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Footnotesection"/>
      </w:pPr>
      <w:r>
        <w:tab/>
        <w:t xml:space="preserve">[Section 29 amended by No. 77 of 1985 s. 5; No. 36 of 1999 s. 247.] </w:t>
      </w:r>
    </w:p>
    <w:p>
      <w:pPr>
        <w:pStyle w:val="Ednotesection"/>
      </w:pPr>
      <w:r>
        <w:t>[</w:t>
      </w:r>
      <w:r>
        <w:rPr>
          <w:b/>
        </w:rPr>
        <w:t>30</w:t>
      </w:r>
      <w:r>
        <w:rPr>
          <w:b/>
          <w:bCs/>
        </w:rPr>
        <w:t>.</w:t>
      </w:r>
      <w:r>
        <w:tab/>
        <w:t xml:space="preserve">Deleted by No. 77 of 1985 s. 6.] </w:t>
      </w:r>
    </w:p>
    <w:p>
      <w:pPr>
        <w:pStyle w:val="Heading5"/>
        <w:rPr>
          <w:snapToGrid w:val="0"/>
        </w:rPr>
      </w:pPr>
      <w:bookmarkStart w:id="476" w:name="_Toc378163015"/>
      <w:bookmarkStart w:id="477" w:name="_Toc435842578"/>
      <w:bookmarkStart w:id="478" w:name="_Toc517596783"/>
      <w:bookmarkStart w:id="479" w:name="_Toc517596907"/>
      <w:bookmarkStart w:id="480" w:name="_Toc517597295"/>
      <w:bookmarkStart w:id="481" w:name="_Toc268096460"/>
      <w:r>
        <w:rPr>
          <w:rStyle w:val="CharSectno"/>
        </w:rPr>
        <w:t>30A</w:t>
      </w:r>
      <w:r>
        <w:rPr>
          <w:snapToGrid w:val="0"/>
        </w:rPr>
        <w:t xml:space="preserve">. </w:t>
      </w:r>
      <w:r>
        <w:rPr>
          <w:snapToGrid w:val="0"/>
        </w:rPr>
        <w:tab/>
        <w:t>Superannuation</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r>
        <w:rPr>
          <w:snapToGrid w:val="0"/>
        </w:rPr>
        <w:t xml:space="preserve"> </w:t>
      </w:r>
      <w:r>
        <w:rPr>
          <w:snapToGrid w:val="0"/>
          <w:vertAlign w:val="superscript"/>
        </w:rPr>
        <w:t xml:space="preserve">1 </w:t>
      </w:r>
      <w:r>
        <w:rPr>
          <w:snapToGrid w:val="0"/>
        </w:rPr>
        <w:t xml:space="preserve">or a contributor for pension, superannuation or benefits under the </w:t>
      </w:r>
      <w:r>
        <w:rPr>
          <w:i/>
          <w:snapToGrid w:val="0"/>
        </w:rPr>
        <w:t>Superannuation and Family Benefits Act 1938</w:t>
      </w:r>
      <w:r>
        <w:rPr>
          <w:snapToGrid w:val="0"/>
          <w:vertAlign w:val="superscript"/>
        </w:rPr>
        <w:t> 4</w:t>
      </w:r>
      <w:r>
        <w:rPr>
          <w:snapToGrid w:val="0"/>
        </w:rPr>
        <w:t>.</w:t>
      </w:r>
    </w:p>
    <w:p>
      <w:pPr>
        <w:pStyle w:val="Footnotesection"/>
        <w:keepLines w:val="0"/>
      </w:pPr>
      <w:r>
        <w:tab/>
        <w:t xml:space="preserve">[Section 30A inserted by No. 77 of 1985 s. 7; amended by No. 96 of 1986 s. 11.] </w:t>
      </w:r>
    </w:p>
    <w:p>
      <w:pPr>
        <w:pStyle w:val="Heading5"/>
        <w:rPr>
          <w:snapToGrid w:val="0"/>
        </w:rPr>
      </w:pPr>
      <w:bookmarkStart w:id="482" w:name="_Toc378163016"/>
      <w:bookmarkStart w:id="483" w:name="_Toc435842579"/>
      <w:bookmarkStart w:id="484" w:name="_Toc517596784"/>
      <w:bookmarkStart w:id="485" w:name="_Toc517596908"/>
      <w:bookmarkStart w:id="486" w:name="_Toc517597296"/>
      <w:bookmarkStart w:id="487" w:name="_Toc268096461"/>
      <w:r>
        <w:rPr>
          <w:rStyle w:val="CharSectno"/>
        </w:rPr>
        <w:t>30B</w:t>
      </w:r>
      <w:r>
        <w:rPr>
          <w:snapToGrid w:val="0"/>
        </w:rPr>
        <w:t xml:space="preserve">. </w:t>
      </w:r>
      <w:r>
        <w:rPr>
          <w:snapToGrid w:val="0"/>
        </w:rPr>
        <w:tab/>
        <w:t>Validation</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vertAlign w:val="superscript"/>
        </w:rPr>
        <w:t> 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by No. 49 of 1971 s. 6.] </w:t>
      </w:r>
    </w:p>
    <w:p>
      <w:pPr>
        <w:pStyle w:val="Heading5"/>
        <w:rPr>
          <w:snapToGrid w:val="0"/>
        </w:rPr>
      </w:pPr>
      <w:bookmarkStart w:id="488" w:name="_Toc378163017"/>
      <w:bookmarkStart w:id="489" w:name="_Toc435842580"/>
      <w:bookmarkStart w:id="490" w:name="_Toc517596785"/>
      <w:bookmarkStart w:id="491" w:name="_Toc517596909"/>
      <w:bookmarkStart w:id="492" w:name="_Toc517597297"/>
      <w:bookmarkStart w:id="493" w:name="_Toc268096462"/>
      <w:r>
        <w:rPr>
          <w:rStyle w:val="CharSectno"/>
        </w:rPr>
        <w:t>31</w:t>
      </w:r>
      <w:r>
        <w:rPr>
          <w:snapToGrid w:val="0"/>
        </w:rPr>
        <w:t>.</w:t>
      </w:r>
      <w:r>
        <w:rPr>
          <w:snapToGrid w:val="0"/>
        </w:rPr>
        <w:tab/>
        <w:t>Power to vest certain lands in the Council</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any land reserved</w:t>
      </w:r>
      <w:r>
        <w:rPr>
          <w:i/>
          <w:snapToGrid w:val="0"/>
        </w:rPr>
        <w:t xml:space="preserve"> </w:t>
      </w:r>
      <w:r>
        <w:rPr>
          <w:snapToGrid w:val="0"/>
        </w:rPr>
        <w:t xml:space="preserve">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rPr>
        <w:t xml:space="preserve"> </w:t>
      </w:r>
      <w:r>
        <w:rPr>
          <w:snapToGrid w:val="0"/>
          <w:vertAlign w:val="superscript"/>
        </w:rPr>
        <w:t xml:space="preserve">6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by No. 37 of 1968 s. 3; No. 96 1986 s. 11; No. 35 of 1996 s. 37; No. 31 of 1997 s. 22; No. 36 of 1999 s. 247.] </w:t>
      </w:r>
    </w:p>
    <w:p>
      <w:pPr>
        <w:pStyle w:val="Heading5"/>
        <w:rPr>
          <w:snapToGrid w:val="0"/>
        </w:rPr>
      </w:pPr>
      <w:bookmarkStart w:id="494" w:name="_Toc378163018"/>
      <w:bookmarkStart w:id="495" w:name="_Toc435842581"/>
      <w:bookmarkStart w:id="496" w:name="_Toc517596786"/>
      <w:bookmarkStart w:id="497" w:name="_Toc517596910"/>
      <w:bookmarkStart w:id="498" w:name="_Toc517597298"/>
      <w:bookmarkStart w:id="499" w:name="_Toc268096463"/>
      <w:r>
        <w:rPr>
          <w:rStyle w:val="CharSectno"/>
        </w:rPr>
        <w:t>31A</w:t>
      </w:r>
      <w:r>
        <w:rPr>
          <w:snapToGrid w:val="0"/>
        </w:rPr>
        <w:t xml:space="preserve">. </w:t>
      </w:r>
      <w:r>
        <w:rPr>
          <w:snapToGrid w:val="0"/>
        </w:rPr>
        <w:tab/>
        <w:t xml:space="preserve">Application of </w:t>
      </w:r>
      <w:r>
        <w:rPr>
          <w:i/>
          <w:snapToGrid w:val="0"/>
        </w:rPr>
        <w:t xml:space="preserve">Land Act 1933 </w:t>
      </w:r>
      <w:r>
        <w:rPr>
          <w:snapToGrid w:val="0"/>
          <w:vertAlign w:val="superscript"/>
        </w:rPr>
        <w:t>6</w:t>
      </w:r>
      <w:r>
        <w:rPr>
          <w:snapToGrid w:val="0"/>
        </w:rPr>
        <w:t xml:space="preserve"> to land that vests under section </w:t>
      </w:r>
      <w:r>
        <w:rPr>
          <w:rStyle w:val="CharSectno"/>
        </w:rPr>
        <w:t>20 or 31 and past vestings validated, etc</w:t>
      </w:r>
      <w:r>
        <w:rPr>
          <w:snapToGrid w:val="0"/>
        </w:rPr>
        <w:t>.</w:t>
      </w:r>
      <w:bookmarkEnd w:id="494"/>
      <w:bookmarkEnd w:id="495"/>
      <w:bookmarkEnd w:id="496"/>
      <w:bookmarkEnd w:id="497"/>
      <w:bookmarkEnd w:id="498"/>
      <w:bookmarkEnd w:id="499"/>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rPr>
        <w:t xml:space="preserve"> </w:t>
      </w:r>
      <w:r>
        <w:rPr>
          <w:snapToGrid w:val="0"/>
          <w:vertAlign w:val="superscript"/>
        </w:rPr>
        <w:t>6</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vertAlign w:val="superscript"/>
        </w:rPr>
        <w:t> 1</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rPr>
        <w:t xml:space="preserve"> </w:t>
      </w:r>
      <w:r>
        <w:rPr>
          <w:snapToGrid w:val="0"/>
          <w:vertAlign w:val="superscript"/>
        </w:rPr>
        <w:t xml:space="preserve">6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vertAlign w:val="superscript"/>
        </w:rPr>
        <w:t> 1</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 xml:space="preserve">Land Act 1933 </w:t>
      </w:r>
      <w:r>
        <w:rPr>
          <w:snapToGrid w:val="0"/>
          <w:vertAlign w:val="superscript"/>
        </w:rPr>
        <w:t>6</w:t>
      </w:r>
      <w:r>
        <w:rPr>
          <w:snapToGrid w:val="0"/>
        </w:rPr>
        <w:t>;</w:t>
      </w:r>
      <w:r>
        <w:rPr>
          <w:i/>
          <w:snapToGrid w:val="0"/>
        </w:rPr>
        <w:t xml:space="preserve"> </w:t>
      </w:r>
      <w:r>
        <w:rPr>
          <w:snapToGrid w:val="0"/>
        </w:rPr>
        <w:t>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vertAlign w:val="superscript"/>
        </w:rPr>
        <w:t> 1</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by No. 35 of 1996 s. 38.] </w:t>
      </w:r>
    </w:p>
    <w:p>
      <w:pPr>
        <w:pStyle w:val="Heading5"/>
        <w:rPr>
          <w:snapToGrid w:val="0"/>
        </w:rPr>
      </w:pPr>
      <w:bookmarkStart w:id="500" w:name="_Toc378163019"/>
      <w:bookmarkStart w:id="501" w:name="_Toc435842582"/>
      <w:bookmarkStart w:id="502" w:name="_Toc517596787"/>
      <w:bookmarkStart w:id="503" w:name="_Toc517596911"/>
      <w:bookmarkStart w:id="504" w:name="_Toc517597299"/>
      <w:bookmarkStart w:id="505" w:name="_Toc268096464"/>
      <w:r>
        <w:rPr>
          <w:rStyle w:val="CharSectno"/>
        </w:rPr>
        <w:t>32</w:t>
      </w:r>
      <w:r>
        <w:rPr>
          <w:snapToGrid w:val="0"/>
        </w:rPr>
        <w:t>.</w:t>
      </w:r>
      <w:r>
        <w:rPr>
          <w:snapToGrid w:val="0"/>
        </w:rPr>
        <w:tab/>
        <w:t>Application of moneys received by Council</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by No. 96 of 1986 s. 11.] </w:t>
      </w:r>
    </w:p>
    <w:p>
      <w:pPr>
        <w:pStyle w:val="Heading5"/>
        <w:rPr>
          <w:snapToGrid w:val="0"/>
        </w:rPr>
      </w:pPr>
      <w:bookmarkStart w:id="506" w:name="_Toc378163020"/>
      <w:bookmarkStart w:id="507" w:name="_Toc435842583"/>
      <w:bookmarkStart w:id="508" w:name="_Toc517596788"/>
      <w:bookmarkStart w:id="509" w:name="_Toc517596912"/>
      <w:bookmarkStart w:id="510" w:name="_Toc517597300"/>
      <w:bookmarkStart w:id="511" w:name="_Toc268096465"/>
      <w:r>
        <w:rPr>
          <w:rStyle w:val="CharSectno"/>
        </w:rPr>
        <w:t>33</w:t>
      </w:r>
      <w:r>
        <w:rPr>
          <w:snapToGrid w:val="0"/>
        </w:rPr>
        <w:t>.</w:t>
      </w:r>
      <w:r>
        <w:rPr>
          <w:snapToGrid w:val="0"/>
        </w:rPr>
        <w:tab/>
        <w:t>Exemption from tax or rate</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occupied by any person for any private purpose.</w:t>
      </w:r>
    </w:p>
    <w:p>
      <w:pPr>
        <w:pStyle w:val="Footnotesection"/>
      </w:pPr>
      <w:r>
        <w:tab/>
        <w:t xml:space="preserve">[Section 33 amended by No. 37 of 1968 s. 4; No. 96 of 1986 s. 11.] </w:t>
      </w:r>
    </w:p>
    <w:p>
      <w:pPr>
        <w:pStyle w:val="Heading3"/>
        <w:rPr>
          <w:snapToGrid w:val="0"/>
        </w:rPr>
      </w:pPr>
      <w:bookmarkStart w:id="512" w:name="_Toc378163021"/>
      <w:bookmarkStart w:id="513" w:name="_Toc97106405"/>
      <w:bookmarkStart w:id="514" w:name="_Toc103064915"/>
      <w:bookmarkStart w:id="515" w:name="_Toc108844450"/>
      <w:bookmarkStart w:id="516" w:name="_Toc108846917"/>
      <w:bookmarkStart w:id="517" w:name="_Toc111529346"/>
      <w:bookmarkStart w:id="518" w:name="_Toc112575751"/>
      <w:bookmarkStart w:id="519" w:name="_Toc112575840"/>
      <w:bookmarkStart w:id="520" w:name="_Toc112575929"/>
      <w:bookmarkStart w:id="521" w:name="_Toc112576018"/>
      <w:bookmarkStart w:id="522" w:name="_Toc112576107"/>
      <w:bookmarkStart w:id="523" w:name="_Toc112731513"/>
      <w:bookmarkStart w:id="524" w:name="_Toc113698058"/>
      <w:bookmarkStart w:id="525" w:name="_Toc114299626"/>
      <w:bookmarkStart w:id="526" w:name="_Toc114299836"/>
      <w:bookmarkStart w:id="527" w:name="_Toc114300086"/>
      <w:bookmarkStart w:id="528" w:name="_Toc114301225"/>
      <w:bookmarkStart w:id="529" w:name="_Toc116901459"/>
      <w:bookmarkStart w:id="530" w:name="_Toc116960789"/>
      <w:bookmarkStart w:id="531" w:name="_Toc116983517"/>
      <w:bookmarkStart w:id="532" w:name="_Toc118693753"/>
      <w:bookmarkStart w:id="533" w:name="_Toc118704881"/>
      <w:bookmarkStart w:id="534" w:name="_Toc118783857"/>
      <w:bookmarkStart w:id="535" w:name="_Toc157846164"/>
      <w:bookmarkStart w:id="536" w:name="_Toc241052986"/>
      <w:bookmarkStart w:id="537" w:name="_Toc268096466"/>
      <w:r>
        <w:rPr>
          <w:rStyle w:val="CharDivNo"/>
        </w:rPr>
        <w:t>Division 5</w:t>
      </w:r>
      <w:r>
        <w:rPr>
          <w:snapToGrid w:val="0"/>
        </w:rPr>
        <w:t> — </w:t>
      </w:r>
      <w:r>
        <w:rPr>
          <w:rStyle w:val="CharDivText"/>
        </w:rPr>
        <w:t>Statutes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DivText"/>
        </w:rPr>
        <w:t xml:space="preserve"> </w:t>
      </w:r>
    </w:p>
    <w:p>
      <w:pPr>
        <w:pStyle w:val="Heading5"/>
        <w:rPr>
          <w:snapToGrid w:val="0"/>
        </w:rPr>
      </w:pPr>
      <w:bookmarkStart w:id="538" w:name="_Toc378163022"/>
      <w:bookmarkStart w:id="539" w:name="_Toc435842584"/>
      <w:bookmarkStart w:id="540" w:name="_Toc517596789"/>
      <w:bookmarkStart w:id="541" w:name="_Toc517596913"/>
      <w:bookmarkStart w:id="542" w:name="_Toc517597301"/>
      <w:bookmarkStart w:id="543" w:name="_Toc268096467"/>
      <w:r>
        <w:rPr>
          <w:rStyle w:val="CharSectno"/>
        </w:rPr>
        <w:t>34</w:t>
      </w:r>
      <w:r>
        <w:rPr>
          <w:snapToGrid w:val="0"/>
        </w:rPr>
        <w:t>.</w:t>
      </w:r>
      <w:r>
        <w:rPr>
          <w:snapToGrid w:val="0"/>
        </w:rPr>
        <w:tab/>
        <w:t>Power to make Statutes</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staff of the University, its branches and the Kalgoorlie Campus;</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(ea)</w:t>
      </w:r>
      <w:r>
        <w:rPr>
          <w:snapToGrid w:val="0"/>
        </w:rPr>
        <w:tab/>
        <w:t>the manner and time of convening, holding and adjourning the meetings of a Board, the manner of voting at those meetings, the powers and duties of the chairman of a Board, the conduct and record of the business, the appointment of committees of a Board and the quorum, powers and duties of those committees;</w:t>
      </w:r>
    </w:p>
    <w:p>
      <w:pPr>
        <w:pStyle w:val="Indenta"/>
        <w:rPr>
          <w:snapToGrid w:val="0"/>
        </w:rPr>
      </w:pPr>
      <w:r>
        <w:rPr>
          <w:snapToGrid w:val="0"/>
        </w:rPr>
        <w:tab/>
        <w:t>(eb)</w:t>
      </w:r>
      <w:r>
        <w:rPr>
          <w:snapToGrid w:val="0"/>
        </w:rPr>
        <w:tab/>
        <w:t xml:space="preserve">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University;</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colleges, hostels and halls of residence that are under the control of the Council, the affiliation of colleges, hostels and halls of residence that are not under the control of the Council and the licensing and supervision of boarding houses catering for enrolled students and for the revocation of the licensing thereof;</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w:t>
      </w:r>
    </w:p>
    <w:p>
      <w:pPr>
        <w:pStyle w:val="Indenta"/>
        <w:rPr>
          <w:snapToGrid w:val="0"/>
        </w:rPr>
      </w:pPr>
      <w:r>
        <w:rPr>
          <w:snapToGrid w:val="0"/>
        </w:rPr>
        <w:tab/>
        <w:t>(mb)</w:t>
      </w:r>
      <w:r>
        <w:rPr>
          <w:snapToGrid w:val="0"/>
        </w:rPr>
        <w:tab/>
        <w:t>the establishment and conduct of external teaching and educational facilities within or outside the State;</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 xml:space="preserve">providing for lump sum payments for </w:t>
      </w:r>
      <w:r>
        <w:rPr>
          <w:i/>
          <w:snapToGrid w:val="0"/>
        </w:rPr>
        <w:t>pro rata</w:t>
      </w:r>
      <w:r>
        <w:rPr>
          <w:snapToGrid w:val="0"/>
        </w:rPr>
        <w:t xml:space="preserve">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w:t>
      </w:r>
    </w:p>
    <w:p>
      <w:pPr>
        <w:pStyle w:val="Ednotesubpara"/>
      </w:pPr>
      <w:r>
        <w:tab/>
        <w:t>[(ii)</w:t>
      </w:r>
      <w:r>
        <w:tab/>
        <w:t>deleted]</w:t>
      </w:r>
    </w:p>
    <w:p>
      <w:pPr>
        <w:pStyle w:val="Indenti"/>
        <w:rPr>
          <w:snapToGrid w:val="0"/>
        </w:rPr>
      </w:pPr>
      <w:r>
        <w:rPr>
          <w:snapToGrid w:val="0"/>
        </w:rPr>
        <w:tab/>
        <w:t>(iii)</w:t>
      </w:r>
      <w:r>
        <w:rPr>
          <w:snapToGrid w:val="0"/>
        </w:rPr>
        <w:tab/>
        <w:t>to other members of the staff;</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$500;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Without limiting the power of delegation conferred on the chief executive officer of the University by section 14,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(1e)</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(4)</w:t>
      </w:r>
      <w:r>
        <w:rPr>
          <w:snapToGrid w:val="0"/>
        </w:rPr>
        <w:tab/>
        <w:t>The production of a verified copy of any by</w:t>
      </w:r>
      <w:r>
        <w:rPr>
          <w:snapToGrid w:val="0"/>
        </w:rPr>
        <w:noBreakHyphen/>
        <w:t>law or rule made under subsection (3) under the common seal of the University is evidence of the making and authenticity of the by</w:t>
      </w:r>
      <w:r>
        <w:rPr>
          <w:snapToGrid w:val="0"/>
        </w:rPr>
        <w:noBreakHyphen/>
        <w:t>law or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 xml:space="preserve">Western Australian Institute of Technology Act Amendment Act 1974 </w:t>
      </w:r>
      <w:r>
        <w:rPr>
          <w:snapToGrid w:val="0"/>
          <w:vertAlign w:val="superscript"/>
        </w:rPr>
        <w:t>1</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 xml:space="preserve">[Section 34 amended by No. 37 of 1968 s. 5; No. 57 of 1970 s. 6; No. 49 of 1971 s. 7; No. 31 of 1974 s. 9; No. 59 of 1982 s. 11; No. 51 of 1983 s. 15 (as amended by No. 96 of 1986 s. 13); No. 96 of 1986 s. 11; No. 35 of 1996 s. 11 and 39; No. 43 of 1998 s. 6; No. 28 of 2003 s. 44.] </w:t>
      </w:r>
    </w:p>
    <w:p>
      <w:pPr>
        <w:pStyle w:val="Heading5"/>
        <w:rPr>
          <w:snapToGrid w:val="0"/>
        </w:rPr>
      </w:pPr>
      <w:bookmarkStart w:id="544" w:name="_Toc435842585"/>
      <w:bookmarkStart w:id="545" w:name="_Toc378163023"/>
      <w:bookmarkStart w:id="546" w:name="_Toc517596790"/>
      <w:bookmarkStart w:id="547" w:name="_Toc517596914"/>
      <w:bookmarkStart w:id="548" w:name="_Toc517597302"/>
      <w:bookmarkStart w:id="549" w:name="_Toc268096468"/>
      <w:r>
        <w:rPr>
          <w:rStyle w:val="CharSectno"/>
        </w:rPr>
        <w:t>35</w:t>
      </w:r>
      <w:r>
        <w:rPr>
          <w:snapToGrid w:val="0"/>
        </w:rPr>
        <w:t>.</w:t>
      </w:r>
      <w:r>
        <w:rPr>
          <w:snapToGrid w:val="0"/>
        </w:rPr>
        <w:tab/>
        <w:t>Statutes to be approved by Governor, published</w:t>
      </w:r>
      <w:bookmarkEnd w:id="544"/>
      <w:r>
        <w:rPr>
          <w:snapToGrid w:val="0"/>
        </w:rPr>
        <w:t xml:space="preserve"> and tabled</w:t>
      </w:r>
      <w:bookmarkEnd w:id="545"/>
      <w:bookmarkEnd w:id="546"/>
      <w:bookmarkEnd w:id="547"/>
      <w:bookmarkEnd w:id="548"/>
      <w:bookmarkEnd w:id="549"/>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sitting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a document purporting to be a copy of a Statute and to have been printed by the Government Printer is, in all proceedings, sufficient evidence of the Statute.</w:t>
      </w:r>
    </w:p>
    <w:p>
      <w:pPr>
        <w:pStyle w:val="Footnotesection"/>
      </w:pPr>
      <w:r>
        <w:tab/>
        <w:t xml:space="preserve">[Section 35 amended by No. 96 of 1986 s. 11.] </w:t>
      </w:r>
    </w:p>
    <w:p>
      <w:pPr>
        <w:pStyle w:val="Heading2"/>
      </w:pPr>
      <w:bookmarkStart w:id="550" w:name="_Toc378163024"/>
      <w:bookmarkStart w:id="551" w:name="_Toc97106408"/>
      <w:bookmarkStart w:id="552" w:name="_Toc103064918"/>
      <w:bookmarkStart w:id="553" w:name="_Toc108844453"/>
      <w:bookmarkStart w:id="554" w:name="_Toc108846920"/>
      <w:bookmarkStart w:id="555" w:name="_Toc111529349"/>
      <w:bookmarkStart w:id="556" w:name="_Toc112575754"/>
      <w:bookmarkStart w:id="557" w:name="_Toc112575843"/>
      <w:bookmarkStart w:id="558" w:name="_Toc112575932"/>
      <w:bookmarkStart w:id="559" w:name="_Toc112576021"/>
      <w:bookmarkStart w:id="560" w:name="_Toc112576110"/>
      <w:bookmarkStart w:id="561" w:name="_Toc112731516"/>
      <w:bookmarkStart w:id="562" w:name="_Toc113698061"/>
      <w:bookmarkStart w:id="563" w:name="_Toc114299629"/>
      <w:bookmarkStart w:id="564" w:name="_Toc114299839"/>
      <w:bookmarkStart w:id="565" w:name="_Toc114300089"/>
      <w:bookmarkStart w:id="566" w:name="_Toc114301228"/>
      <w:bookmarkStart w:id="567" w:name="_Toc116901462"/>
      <w:bookmarkStart w:id="568" w:name="_Toc116960792"/>
      <w:bookmarkStart w:id="569" w:name="_Toc116983520"/>
      <w:bookmarkStart w:id="570" w:name="_Toc118693756"/>
      <w:bookmarkStart w:id="571" w:name="_Toc118704884"/>
      <w:bookmarkStart w:id="572" w:name="_Toc118783860"/>
      <w:bookmarkStart w:id="573" w:name="_Toc157846167"/>
      <w:bookmarkStart w:id="574" w:name="_Toc241052989"/>
      <w:bookmarkStart w:id="575" w:name="_Toc268096469"/>
      <w:r>
        <w:rPr>
          <w:rStyle w:val="CharPartNo"/>
        </w:rPr>
        <w:t>Part II</w:t>
      </w:r>
      <w:r>
        <w:rPr>
          <w:rStyle w:val="CharDivNo"/>
        </w:rPr>
        <w:t> </w:t>
      </w:r>
      <w:r>
        <w:t>—</w:t>
      </w:r>
      <w:r>
        <w:rPr>
          <w:rStyle w:val="CharDivText"/>
        </w:rPr>
        <w:t> </w:t>
      </w:r>
      <w:r>
        <w:rPr>
          <w:rStyle w:val="CharPartText"/>
        </w:rPr>
        <w:t>Student Guild</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PartText"/>
        </w:rPr>
        <w:t xml:space="preserve"> </w:t>
      </w:r>
    </w:p>
    <w:p>
      <w:pPr>
        <w:pStyle w:val="Footnoteheading"/>
        <w:rPr>
          <w:snapToGrid w:val="0"/>
        </w:rPr>
      </w:pPr>
      <w:r>
        <w:rPr>
          <w:snapToGrid w:val="0"/>
        </w:rPr>
        <w:tab/>
        <w:t xml:space="preserve">[Heading inserted by No. 37 of 1981 s. 13.] </w:t>
      </w:r>
    </w:p>
    <w:p>
      <w:pPr>
        <w:pStyle w:val="Ednotesection"/>
      </w:pPr>
      <w:r>
        <w:t>[</w:t>
      </w:r>
      <w:r>
        <w:rPr>
          <w:b/>
        </w:rPr>
        <w:t>36</w:t>
      </w:r>
      <w:r>
        <w:rPr>
          <w:b/>
        </w:rPr>
        <w:noBreakHyphen/>
        <w:t>43.</w:t>
      </w:r>
      <w:r>
        <w:tab/>
        <w:t xml:space="preserve">Deleted by No. 37 of 1981 s. 13.] </w:t>
      </w:r>
    </w:p>
    <w:p>
      <w:pPr>
        <w:pStyle w:val="Heading5"/>
        <w:rPr>
          <w:snapToGrid w:val="0"/>
        </w:rPr>
      </w:pPr>
      <w:bookmarkStart w:id="576" w:name="_Toc378163025"/>
      <w:bookmarkStart w:id="577" w:name="_Toc435842586"/>
      <w:bookmarkStart w:id="578" w:name="_Toc517596791"/>
      <w:bookmarkStart w:id="579" w:name="_Toc517596915"/>
      <w:bookmarkStart w:id="580" w:name="_Toc517597303"/>
      <w:bookmarkStart w:id="581" w:name="_Toc268096470"/>
      <w:r>
        <w:rPr>
          <w:rStyle w:val="CharSectno"/>
        </w:rPr>
        <w:t>44</w:t>
      </w:r>
      <w:r>
        <w:rPr>
          <w:snapToGrid w:val="0"/>
        </w:rPr>
        <w:t>.</w:t>
      </w:r>
      <w:r>
        <w:rPr>
          <w:snapToGrid w:val="0"/>
        </w:rPr>
        <w:tab/>
        <w:t>Student Guild</w:t>
      </w:r>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spacing w:before="120"/>
      </w:pPr>
      <w:r>
        <w:tab/>
        <w:t>(6)</w:t>
      </w:r>
      <w:r>
        <w:tab/>
        <w:t>Subject to subsection (7), a student becomes a member of the Student Guild upon enrolment, for the period of enrolment.</w:t>
      </w:r>
    </w:p>
    <w:p>
      <w:pPr>
        <w:pStyle w:val="Subsection"/>
        <w:spacing w:before="120"/>
      </w:pPr>
      <w:r>
        <w:tab/>
        <w:t>(7)</w:t>
      </w:r>
      <w:r>
        <w:tab/>
        <w:t>A student may elect at the time of enrolment not to become a member of the Student Guild, and an enrolled student may resign at any time as a member of the Student Guild.</w:t>
      </w:r>
    </w:p>
    <w:p>
      <w:pPr>
        <w:pStyle w:val="Subsection"/>
        <w:spacing w:before="120"/>
      </w:pPr>
      <w:r>
        <w:tab/>
        <w:t>(7a)</w:t>
      </w:r>
      <w:r>
        <w:tab/>
        <w:t>An enrolled student cannot hold an elective office of the Student Guild unless that enrolled student is a member of the Student Guild.</w:t>
      </w:r>
    </w:p>
    <w:p>
      <w:pPr>
        <w:pStyle w:val="Subsection"/>
        <w:spacing w:before="120"/>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spacing w:before="120"/>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by No. 37 of 1968 s. 7; amended by No. 61 of 1977 s. 10; No. 51 of 1983 s. 16 (as amended by No. 96 of 1986 s. 13); No. 96 of 1986 s. 11; No. 91 of 1994 s. 7; No. 44 of 2002 s. 4.] </w:t>
      </w:r>
    </w:p>
    <w:p>
      <w:pPr>
        <w:pStyle w:val="Heading5"/>
        <w:spacing w:before="180"/>
      </w:pPr>
      <w:bookmarkStart w:id="582" w:name="_Toc378163026"/>
      <w:bookmarkStart w:id="583" w:name="_Toc268096471"/>
      <w:r>
        <w:rPr>
          <w:rStyle w:val="CharSectno"/>
        </w:rPr>
        <w:t>45</w:t>
      </w:r>
      <w:r>
        <w:t>.</w:t>
      </w:r>
      <w:r>
        <w:tab/>
        <w:t>Amenities and services fee</w:t>
      </w:r>
      <w:bookmarkEnd w:id="582"/>
      <w:bookmarkEnd w:id="583"/>
    </w:p>
    <w:p>
      <w:pPr>
        <w:pStyle w:val="Subsection"/>
        <w:spacing w:before="120"/>
      </w:pPr>
      <w:r>
        <w:tab/>
        <w:t>(1)</w:t>
      </w:r>
      <w:r>
        <w:tab/>
        <w:t>An annual amenities and services fee shall be set at an amount approved by the Council after receiving a report from, and a recommendation by, the Student Guild.</w:t>
      </w:r>
    </w:p>
    <w:p>
      <w:pPr>
        <w:pStyle w:val="Subsection"/>
        <w:spacing w:before="120"/>
      </w:pPr>
      <w:r>
        <w:tab/>
        <w:t>(2)</w:t>
      </w:r>
      <w:r>
        <w:tab/>
        <w:t>The Council may determine that a different level of the amenities and services fee is payable by a specified class of enrolled students.</w:t>
      </w:r>
    </w:p>
    <w:p>
      <w:pPr>
        <w:pStyle w:val="Subsection"/>
        <w:spacing w:before="120"/>
      </w:pPr>
      <w:r>
        <w:tab/>
        <w:t>(3)</w:t>
      </w:r>
      <w:r>
        <w:tab/>
        <w:t>The amenities and services fee is payable to the Council by each enrolled student, except a student exempted from doing so, or made ineligible to do so, by Statute.</w:t>
      </w:r>
    </w:p>
    <w:p>
      <w:pPr>
        <w:pStyle w:val="Subsection"/>
        <w:spacing w:before="120"/>
      </w:pPr>
      <w:r>
        <w:tab/>
        <w:t>(4)</w:t>
      </w:r>
      <w:r>
        <w:tab/>
        <w:t>Despite sections 23(1)(b) and 32,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collected amenities and services fees paid to the Student Guild must exceed 50% of those fees.</w:t>
      </w:r>
    </w:p>
    <w:p>
      <w:pPr>
        <w:pStyle w:val="Subsection"/>
      </w:pPr>
      <w:r>
        <w:tab/>
        <w:t>(6)</w:t>
      </w:r>
      <w:r>
        <w:tab/>
        <w:t>The part of the amenities and services fees not paid to the Student Guild is to be spent on student amenities and services in the manner agreed by the Council and the Student Guild.</w:t>
      </w:r>
    </w:p>
    <w:p>
      <w:pPr>
        <w:pStyle w:val="Footnotesection"/>
      </w:pPr>
      <w:r>
        <w:tab/>
        <w:t>[Section 45 inserted by No. 44 of 2002 s. 5.]</w:t>
      </w:r>
    </w:p>
    <w:p>
      <w:pPr>
        <w:pStyle w:val="Heading5"/>
      </w:pPr>
      <w:bookmarkStart w:id="584" w:name="_Toc378163027"/>
      <w:bookmarkStart w:id="585" w:name="_Toc268096472"/>
      <w:r>
        <w:rPr>
          <w:rStyle w:val="CharSectno"/>
        </w:rPr>
        <w:t>46</w:t>
      </w:r>
      <w:r>
        <w:t>.</w:t>
      </w:r>
      <w:r>
        <w:tab/>
        <w:t>Council to include detail in Statute</w:t>
      </w:r>
      <w:bookmarkEnd w:id="584"/>
      <w:bookmarkEnd w:id="585"/>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resolving disputes that might arise in the course of defining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Subsection"/>
      </w:pPr>
      <w:r>
        <w:tab/>
        <w:t>(3)</w:t>
      </w:r>
      <w:r>
        <w:tab/>
        <w:t>The Council shall prescribe, by Statute, the process for reaching agreement between the Council and the Student Guild about the expenditure of the part of the amenities and services fees not paid to the Student Guild.</w:t>
      </w:r>
    </w:p>
    <w:p>
      <w:pPr>
        <w:pStyle w:val="Footnotesection"/>
      </w:pPr>
      <w:r>
        <w:tab/>
        <w:t>[Section 46 inserted by No. 44 of 2002 s. 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10" w:bottom="3544" w:left="2410" w:header="720" w:footer="3380" w:gutter="0"/>
          <w:pgNumType w:start="1"/>
          <w:cols w:space="720"/>
          <w:noEndnote/>
          <w:titlePg/>
          <w:docGrid w:linePitch="326"/>
        </w:sectPr>
      </w:pPr>
      <w:bookmarkStart w:id="586" w:name="_Toc517596918"/>
      <w:bookmarkStart w:id="587" w:name="_Toc517597306"/>
      <w:bookmarkStart w:id="588" w:name="_Toc112575936"/>
      <w:bookmarkStart w:id="589" w:name="_Toc112576025"/>
      <w:bookmarkStart w:id="590" w:name="_Toc112576114"/>
      <w:bookmarkStart w:id="591" w:name="_Toc112731520"/>
      <w:bookmarkStart w:id="592" w:name="_Toc113698065"/>
      <w:bookmarkStart w:id="593" w:name="_Toc114299633"/>
      <w:bookmarkStart w:id="594" w:name="_Toc114299843"/>
      <w:bookmarkStart w:id="595" w:name="_Toc114300093"/>
      <w:bookmarkStart w:id="596" w:name="_Toc114301232"/>
    </w:p>
    <w:p>
      <w:pPr>
        <w:pStyle w:val="yScheduleHeading"/>
        <w:rPr>
          <w:rStyle w:val="CharSchNo"/>
        </w:rPr>
      </w:pPr>
      <w:bookmarkStart w:id="597" w:name="_Toc116901466"/>
      <w:bookmarkStart w:id="598" w:name="_Toc116960796"/>
      <w:bookmarkStart w:id="599" w:name="_Toc116983524"/>
      <w:bookmarkStart w:id="600" w:name="_Toc118693760"/>
      <w:bookmarkStart w:id="601" w:name="_Toc118704888"/>
      <w:bookmarkStart w:id="602" w:name="_Toc118783864"/>
      <w:bookmarkStart w:id="603" w:name="_Toc157846171"/>
      <w:bookmarkStart w:id="604" w:name="_Toc241052993"/>
      <w:bookmarkStart w:id="605" w:name="_Toc268096473"/>
      <w:bookmarkStart w:id="606" w:name="_Toc378163028"/>
      <w:r>
        <w:rPr>
          <w:rStyle w:val="CharSchNo"/>
        </w:rPr>
        <w:t>Schedule 1</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ins w:id="607" w:author="svcMRProcess" w:date="2018-08-23T16:37:00Z">
        <w:r>
          <w:t xml:space="preserve"> — </w:t>
        </w:r>
        <w:r>
          <w:rPr>
            <w:rStyle w:val="CharSchText"/>
          </w:rPr>
          <w:t>University land</w:t>
        </w:r>
      </w:ins>
      <w:bookmarkEnd w:id="606"/>
    </w:p>
    <w:p>
      <w:pPr>
        <w:pStyle w:val="yShoulderClause"/>
        <w:rPr>
          <w:ins w:id="608" w:author="svcMRProcess" w:date="2018-08-23T16:37:00Z"/>
        </w:rPr>
      </w:pPr>
      <w:ins w:id="609" w:author="svcMRProcess" w:date="2018-08-23T16:37:00Z">
        <w:r>
          <w:rPr>
            <w:snapToGrid w:val="0"/>
          </w:rPr>
          <w:t>[s. 20]</w:t>
        </w:r>
      </w:ins>
    </w:p>
    <w:p>
      <w:pPr>
        <w:pStyle w:val="yFootnoteheading"/>
        <w:rPr>
          <w:snapToGrid w:val="0"/>
        </w:rPr>
      </w:pPr>
      <w:r>
        <w:rPr>
          <w:snapToGrid w:val="0"/>
        </w:rPr>
        <w:tab/>
        <w:t>[Heading amended by No. 35 of 1996 s. </w:t>
      </w:r>
      <w:del w:id="610" w:author="svcMRProcess" w:date="2018-08-23T16:37:00Z">
        <w:r>
          <w:rPr>
            <w:snapToGrid w:val="0"/>
          </w:rPr>
          <w:delText>12</w:delText>
        </w:r>
      </w:del>
      <w:ins w:id="611" w:author="svcMRProcess" w:date="2018-08-23T16:37:00Z">
        <w:r>
          <w:rPr>
            <w:snapToGrid w:val="0"/>
          </w:rPr>
          <w:t>12; No. 19 of 2010 s. 4</w:t>
        </w:r>
      </w:ins>
      <w:r>
        <w:rPr>
          <w:snapToGrid w:val="0"/>
        </w:rPr>
        <w:t>.]</w:t>
      </w:r>
    </w:p>
    <w:p>
      <w:pPr>
        <w:pStyle w:val="yShoulderClause"/>
        <w:rPr>
          <w:del w:id="612" w:author="svcMRProcess" w:date="2018-08-23T16:37:00Z"/>
          <w:snapToGrid w:val="0"/>
        </w:rPr>
      </w:pPr>
      <w:del w:id="613" w:author="svcMRProcess" w:date="2018-08-23T16:37:00Z">
        <w:r>
          <w:rPr>
            <w:snapToGrid w:val="0"/>
          </w:rPr>
          <w:delText>[section 20]</w:delText>
        </w:r>
      </w:del>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by No. 37 of 1968 s. 8; No. 96 of 1986 s. 11; renumbered as Schedule 1 by No. 35 of 1996 s. 12.]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614" w:name="_Toc517596919"/>
      <w:bookmarkStart w:id="615" w:name="_Toc517597307"/>
    </w:p>
    <w:p>
      <w:pPr>
        <w:pStyle w:val="yScheduleHeading"/>
      </w:pPr>
      <w:bookmarkStart w:id="616" w:name="_Toc378163029"/>
      <w:bookmarkStart w:id="617" w:name="_Toc112575937"/>
      <w:bookmarkStart w:id="618" w:name="_Toc112576026"/>
      <w:bookmarkStart w:id="619" w:name="_Toc112576115"/>
      <w:bookmarkStart w:id="620" w:name="_Toc112731521"/>
      <w:bookmarkStart w:id="621" w:name="_Toc113698066"/>
      <w:bookmarkStart w:id="622" w:name="_Toc114299634"/>
      <w:bookmarkStart w:id="623" w:name="_Toc114299844"/>
      <w:bookmarkStart w:id="624" w:name="_Toc114300094"/>
      <w:bookmarkStart w:id="625" w:name="_Toc114301233"/>
      <w:bookmarkStart w:id="626" w:name="_Toc116901467"/>
      <w:bookmarkStart w:id="627" w:name="_Toc116960797"/>
      <w:bookmarkStart w:id="628" w:name="_Toc116983525"/>
      <w:bookmarkStart w:id="629" w:name="_Toc118693761"/>
      <w:bookmarkStart w:id="630" w:name="_Toc118704889"/>
      <w:bookmarkStart w:id="631" w:name="_Toc118783865"/>
      <w:bookmarkStart w:id="632" w:name="_Toc157846172"/>
      <w:bookmarkStart w:id="633" w:name="_Toc241052994"/>
      <w:bookmarkStart w:id="634" w:name="_Toc268096474"/>
      <w:r>
        <w:rPr>
          <w:rStyle w:val="CharSchNo"/>
        </w:rPr>
        <w:t>Schedule 1A</w:t>
      </w:r>
      <w:r>
        <w:t> — </w:t>
      </w:r>
      <w:r>
        <w:rPr>
          <w:rStyle w:val="CharSchText"/>
        </w:rPr>
        <w:t>Council members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yShoulderClause"/>
      </w:pPr>
      <w:r>
        <w:t>[s. 9B, 10AA, 12]</w:t>
      </w:r>
    </w:p>
    <w:p>
      <w:pPr>
        <w:pStyle w:val="yFootnoteheading"/>
      </w:pPr>
      <w:r>
        <w:tab/>
        <w:t>[Heading inserted by No.</w:t>
      </w:r>
      <w:r>
        <w:rPr>
          <w:sz w:val="28"/>
        </w:rPr>
        <w:t> </w:t>
      </w:r>
      <w:r>
        <w:t>8 of 2005 s. 12.]</w:t>
      </w:r>
    </w:p>
    <w:p>
      <w:pPr>
        <w:pStyle w:val="yHeading3"/>
      </w:pPr>
      <w:bookmarkStart w:id="635" w:name="_Toc378163030"/>
      <w:bookmarkStart w:id="636" w:name="_Toc112575938"/>
      <w:bookmarkStart w:id="637" w:name="_Toc112576027"/>
      <w:bookmarkStart w:id="638" w:name="_Toc112576116"/>
      <w:bookmarkStart w:id="639" w:name="_Toc112731522"/>
      <w:bookmarkStart w:id="640" w:name="_Toc113698067"/>
      <w:bookmarkStart w:id="641" w:name="_Toc114299635"/>
      <w:bookmarkStart w:id="642" w:name="_Toc114299845"/>
      <w:bookmarkStart w:id="643" w:name="_Toc114300095"/>
      <w:bookmarkStart w:id="644" w:name="_Toc114301234"/>
      <w:bookmarkStart w:id="645" w:name="_Toc116901468"/>
      <w:bookmarkStart w:id="646" w:name="_Toc116960798"/>
      <w:bookmarkStart w:id="647" w:name="_Toc116983526"/>
      <w:bookmarkStart w:id="648" w:name="_Toc118693762"/>
      <w:bookmarkStart w:id="649" w:name="_Toc118704890"/>
      <w:bookmarkStart w:id="650" w:name="_Toc118783866"/>
      <w:bookmarkStart w:id="651" w:name="_Toc157846173"/>
      <w:bookmarkStart w:id="652" w:name="_Toc241052995"/>
      <w:bookmarkStart w:id="653" w:name="_Toc268096475"/>
      <w:r>
        <w:rPr>
          <w:rStyle w:val="CharSDivNo"/>
        </w:rPr>
        <w:t>Division 1</w:t>
      </w:r>
      <w:r>
        <w:rPr>
          <w:b w:val="0"/>
        </w:rPr>
        <w:t> — </w:t>
      </w:r>
      <w:r>
        <w:rPr>
          <w:rStyle w:val="CharSDivText"/>
        </w:rPr>
        <w:t>Duties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yFootnoteheading"/>
      </w:pPr>
      <w:r>
        <w:tab/>
        <w:t>[Heading inserted by No. 8 of 2005 s. 12.]</w:t>
      </w:r>
    </w:p>
    <w:p>
      <w:pPr>
        <w:pStyle w:val="yHeading5"/>
        <w:outlineLvl w:val="9"/>
      </w:pPr>
      <w:bookmarkStart w:id="654" w:name="_Toc378163031"/>
      <w:bookmarkStart w:id="655" w:name="_Toc268096476"/>
      <w:r>
        <w:rPr>
          <w:rStyle w:val="CharSClsNo"/>
        </w:rPr>
        <w:t>1</w:t>
      </w:r>
      <w:r>
        <w:t>.</w:t>
      </w:r>
      <w:r>
        <w:rPr>
          <w:b w:val="0"/>
        </w:rPr>
        <w:tab/>
      </w:r>
      <w:r>
        <w:t>Duties</w:t>
      </w:r>
      <w:bookmarkEnd w:id="654"/>
      <w:bookmarkEnd w:id="655"/>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by No. 8 of 2005 s. 12.]</w:t>
      </w:r>
    </w:p>
    <w:p>
      <w:pPr>
        <w:pStyle w:val="yHeading3"/>
        <w:keepLines/>
      </w:pPr>
      <w:bookmarkStart w:id="656" w:name="_Toc378163032"/>
      <w:bookmarkStart w:id="657" w:name="_Toc112575940"/>
      <w:bookmarkStart w:id="658" w:name="_Toc112576029"/>
      <w:bookmarkStart w:id="659" w:name="_Toc112576118"/>
      <w:bookmarkStart w:id="660" w:name="_Toc112731524"/>
      <w:bookmarkStart w:id="661" w:name="_Toc113698069"/>
      <w:bookmarkStart w:id="662" w:name="_Toc114299637"/>
      <w:bookmarkStart w:id="663" w:name="_Toc114299847"/>
      <w:bookmarkStart w:id="664" w:name="_Toc114300097"/>
      <w:bookmarkStart w:id="665" w:name="_Toc114301236"/>
      <w:bookmarkStart w:id="666" w:name="_Toc116901470"/>
      <w:bookmarkStart w:id="667" w:name="_Toc116960800"/>
      <w:bookmarkStart w:id="668" w:name="_Toc116983528"/>
      <w:bookmarkStart w:id="669" w:name="_Toc118693764"/>
      <w:bookmarkStart w:id="670" w:name="_Toc118704892"/>
      <w:bookmarkStart w:id="671" w:name="_Toc118783868"/>
      <w:bookmarkStart w:id="672" w:name="_Toc157846175"/>
      <w:bookmarkStart w:id="673" w:name="_Toc241052997"/>
      <w:bookmarkStart w:id="674" w:name="_Toc268096477"/>
      <w:r>
        <w:rPr>
          <w:rStyle w:val="CharSDivNo"/>
        </w:rPr>
        <w:t>Division 2</w:t>
      </w:r>
      <w:r>
        <w:t> — </w:t>
      </w:r>
      <w:r>
        <w:rPr>
          <w:rStyle w:val="CharSDivText"/>
        </w:rPr>
        <w:t>Disclosure of interests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yFootnoteheading"/>
        <w:keepNext/>
        <w:keepLines/>
      </w:pPr>
      <w:r>
        <w:tab/>
        <w:t>[Heading inserted by No.</w:t>
      </w:r>
      <w:r>
        <w:rPr>
          <w:sz w:val="28"/>
        </w:rPr>
        <w:t> </w:t>
      </w:r>
      <w:r>
        <w:t>8 of 2005 s. 12.]</w:t>
      </w:r>
    </w:p>
    <w:p>
      <w:pPr>
        <w:pStyle w:val="yHeading5"/>
      </w:pPr>
      <w:bookmarkStart w:id="675" w:name="_Toc378163033"/>
      <w:bookmarkStart w:id="676" w:name="_Toc268096478"/>
      <w:r>
        <w:rPr>
          <w:rStyle w:val="CharSClsNo"/>
        </w:rPr>
        <w:t>2</w:t>
      </w:r>
      <w:r>
        <w:t>.</w:t>
      </w:r>
      <w:r>
        <w:rPr>
          <w:b w:val="0"/>
        </w:rPr>
        <w:tab/>
      </w:r>
      <w:r>
        <w:t>Disclosure of interests</w:t>
      </w:r>
      <w:bookmarkEnd w:id="675"/>
      <w:bookmarkEnd w:id="676"/>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12.]</w:t>
      </w:r>
    </w:p>
    <w:p>
      <w:pPr>
        <w:pStyle w:val="yHeading5"/>
      </w:pPr>
      <w:bookmarkStart w:id="677" w:name="_Toc378163034"/>
      <w:bookmarkStart w:id="678" w:name="_Toc268096479"/>
      <w:r>
        <w:rPr>
          <w:rStyle w:val="CharSClsNo"/>
        </w:rPr>
        <w:t>3</w:t>
      </w:r>
      <w:r>
        <w:t>.</w:t>
      </w:r>
      <w:r>
        <w:rPr>
          <w:b w:val="0"/>
        </w:rPr>
        <w:tab/>
      </w:r>
      <w:r>
        <w:t>Voting by interested members</w:t>
      </w:r>
      <w:bookmarkEnd w:id="677"/>
      <w:bookmarkEnd w:id="678"/>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12.]</w:t>
      </w:r>
    </w:p>
    <w:p>
      <w:pPr>
        <w:pStyle w:val="yHeading5"/>
      </w:pPr>
      <w:bookmarkStart w:id="679" w:name="_Toc378163035"/>
      <w:bookmarkStart w:id="680" w:name="_Toc268096480"/>
      <w:r>
        <w:rPr>
          <w:rStyle w:val="CharSClsNo"/>
        </w:rPr>
        <w:t>4</w:t>
      </w:r>
      <w:r>
        <w:t>.</w:t>
      </w:r>
      <w:r>
        <w:rPr>
          <w:b w:val="0"/>
        </w:rPr>
        <w:tab/>
      </w:r>
      <w:r>
        <w:t>Clause 3 may be declared inapplicable</w:t>
      </w:r>
      <w:bookmarkEnd w:id="679"/>
      <w:bookmarkEnd w:id="680"/>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12.]</w:t>
      </w:r>
    </w:p>
    <w:p>
      <w:pPr>
        <w:pStyle w:val="yHeading5"/>
      </w:pPr>
      <w:bookmarkStart w:id="681" w:name="_Toc378163036"/>
      <w:bookmarkStart w:id="682" w:name="_Toc268096481"/>
      <w:r>
        <w:rPr>
          <w:rStyle w:val="CharSClsNo"/>
        </w:rPr>
        <w:t>5</w:t>
      </w:r>
      <w:r>
        <w:t>.</w:t>
      </w:r>
      <w:r>
        <w:rPr>
          <w:b w:val="0"/>
        </w:rPr>
        <w:tab/>
      </w:r>
      <w:r>
        <w:t>Quorum where clause 3 applies</w:t>
      </w:r>
      <w:bookmarkEnd w:id="681"/>
      <w:bookmarkEnd w:id="682"/>
    </w:p>
    <w:p>
      <w:pPr>
        <w:pStyle w:val="ySubsection"/>
      </w:pPr>
      <w:r>
        <w:tab/>
      </w:r>
      <w:r>
        <w:tab/>
        <w:t>Despite section 13(1), if a member is disqualified under clause 3 in relation to a matter, a quorum is present during the consideration of the matter if at least 9 members are present who are entitled to vote on any motion that may be moved at the meeting in relation to the matter.</w:t>
      </w:r>
    </w:p>
    <w:p>
      <w:pPr>
        <w:pStyle w:val="yFootnotesection"/>
      </w:pPr>
      <w:r>
        <w:tab/>
        <w:t>[Clause 5 inserted by No. 8 of 2005 s. 12.]</w:t>
      </w:r>
    </w:p>
    <w:p>
      <w:pPr>
        <w:pStyle w:val="yHeading5"/>
      </w:pPr>
      <w:bookmarkStart w:id="683" w:name="_Toc378163037"/>
      <w:bookmarkStart w:id="684" w:name="_Toc268096482"/>
      <w:r>
        <w:rPr>
          <w:rStyle w:val="CharSClsNo"/>
        </w:rPr>
        <w:t>6</w:t>
      </w:r>
      <w:r>
        <w:t>.</w:t>
      </w:r>
      <w:r>
        <w:rPr>
          <w:b w:val="0"/>
        </w:rPr>
        <w:tab/>
      </w:r>
      <w:r>
        <w:t>Minister may declare clauses 3 and 5 inapplicable</w:t>
      </w:r>
      <w:bookmarkEnd w:id="683"/>
      <w:bookmarkEnd w:id="684"/>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12.]</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685" w:name="_Toc112575946"/>
      <w:bookmarkStart w:id="686" w:name="_Toc112576035"/>
      <w:bookmarkStart w:id="687" w:name="_Toc112576124"/>
      <w:bookmarkStart w:id="688" w:name="_Toc112731530"/>
      <w:bookmarkStart w:id="689" w:name="_Toc113698075"/>
      <w:bookmarkStart w:id="690" w:name="_Toc114299643"/>
      <w:bookmarkStart w:id="691" w:name="_Toc114299853"/>
      <w:bookmarkStart w:id="692" w:name="_Toc114300103"/>
      <w:bookmarkStart w:id="693" w:name="_Toc114301242"/>
    </w:p>
    <w:p>
      <w:pPr>
        <w:pStyle w:val="yScheduleHeading"/>
        <w:rPr>
          <w:del w:id="694" w:author="svcMRProcess" w:date="2018-08-23T16:37:00Z"/>
        </w:rPr>
      </w:pPr>
      <w:bookmarkStart w:id="695" w:name="_Toc116901476"/>
      <w:bookmarkStart w:id="696" w:name="_Toc116960806"/>
      <w:bookmarkStart w:id="697" w:name="_Toc116983534"/>
      <w:bookmarkStart w:id="698" w:name="_Toc118693770"/>
      <w:bookmarkStart w:id="699" w:name="_Toc118704898"/>
      <w:bookmarkStart w:id="700" w:name="_Toc118783874"/>
      <w:bookmarkStart w:id="701" w:name="_Toc157846181"/>
      <w:bookmarkStart w:id="702" w:name="_Toc241053003"/>
      <w:bookmarkStart w:id="703" w:name="_Toc268096483"/>
      <w:bookmarkStart w:id="704" w:name="_Toc378163038"/>
      <w:r>
        <w:rPr>
          <w:rStyle w:val="CharSchNo"/>
        </w:rPr>
        <w:t>Schedule 2</w:t>
      </w:r>
      <w:bookmarkEnd w:id="614"/>
      <w:bookmarkEnd w:id="615"/>
      <w:bookmarkEnd w:id="685"/>
      <w:bookmarkEnd w:id="686"/>
      <w:bookmarkEnd w:id="687"/>
      <w:bookmarkEnd w:id="688"/>
      <w:bookmarkEnd w:id="689"/>
      <w:bookmarkEnd w:id="690"/>
      <w:bookmarkEnd w:id="691"/>
      <w:bookmarkEnd w:id="692"/>
      <w:bookmarkEnd w:id="693"/>
      <w:bookmarkEnd w:id="695"/>
      <w:bookmarkEnd w:id="696"/>
      <w:bookmarkEnd w:id="697"/>
      <w:bookmarkEnd w:id="698"/>
      <w:bookmarkEnd w:id="699"/>
      <w:bookmarkEnd w:id="700"/>
      <w:bookmarkEnd w:id="701"/>
      <w:bookmarkEnd w:id="702"/>
      <w:bookmarkEnd w:id="703"/>
      <w:del w:id="705" w:author="svcMRProcess" w:date="2018-08-23T16:37:00Z">
        <w:r>
          <w:rPr>
            <w:rStyle w:val="CharSDivNo"/>
          </w:rPr>
          <w:delText xml:space="preserve"> </w:delText>
        </w:r>
        <w:r>
          <w:rPr>
            <w:rStyle w:val="CharSDivText"/>
          </w:rPr>
          <w:delText xml:space="preserve"> </w:delText>
        </w:r>
      </w:del>
    </w:p>
    <w:p>
      <w:pPr>
        <w:pStyle w:val="yShoulderClause"/>
        <w:rPr>
          <w:del w:id="706" w:author="svcMRProcess" w:date="2018-08-23T16:37:00Z"/>
          <w:snapToGrid w:val="0"/>
        </w:rPr>
      </w:pPr>
      <w:del w:id="707" w:author="svcMRProcess" w:date="2018-08-23T16:37:00Z">
        <w:r>
          <w:rPr>
            <w:snapToGrid w:val="0"/>
          </w:rPr>
          <w:delText>[section 21N]</w:delText>
        </w:r>
      </w:del>
    </w:p>
    <w:p>
      <w:pPr>
        <w:pStyle w:val="yScheduleHeading"/>
      </w:pPr>
      <w:ins w:id="708" w:author="svcMRProcess" w:date="2018-08-23T16:37:00Z">
        <w:r>
          <w:t xml:space="preserve"> — </w:t>
        </w:r>
      </w:ins>
      <w:bookmarkStart w:id="709" w:name="_Toc517596920"/>
      <w:bookmarkStart w:id="710" w:name="_Toc517597308"/>
      <w:bookmarkStart w:id="711" w:name="_Toc112575947"/>
      <w:bookmarkStart w:id="712" w:name="_Toc112576036"/>
      <w:bookmarkStart w:id="713" w:name="_Toc112576125"/>
      <w:bookmarkStart w:id="714" w:name="_Toc112731531"/>
      <w:bookmarkStart w:id="715" w:name="_Toc113698076"/>
      <w:bookmarkStart w:id="716" w:name="_Toc114299644"/>
      <w:bookmarkStart w:id="717" w:name="_Toc114299854"/>
      <w:bookmarkStart w:id="718" w:name="_Toc114300104"/>
      <w:bookmarkStart w:id="719" w:name="_Toc114301243"/>
      <w:bookmarkStart w:id="720" w:name="_Toc116901477"/>
      <w:bookmarkStart w:id="721" w:name="_Toc116960807"/>
      <w:bookmarkStart w:id="722" w:name="_Toc116983535"/>
      <w:bookmarkStart w:id="723" w:name="_Toc118693771"/>
      <w:bookmarkStart w:id="724" w:name="_Toc118704899"/>
      <w:bookmarkStart w:id="725" w:name="_Toc118783875"/>
      <w:bookmarkStart w:id="726" w:name="_Toc157846182"/>
      <w:bookmarkStart w:id="727" w:name="_Toc241053004"/>
      <w:bookmarkStart w:id="728" w:name="_Toc268096484"/>
      <w:r>
        <w:rPr>
          <w:rStyle w:val="CharSchText"/>
        </w:rPr>
        <w:t>Provisions as to constitution and proceedings of the Kalgoorlie Campus Council</w:t>
      </w:r>
      <w:bookmarkEnd w:id="704"/>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yShoulderClause"/>
        <w:rPr>
          <w:ins w:id="729" w:author="svcMRProcess" w:date="2018-08-23T16:37:00Z"/>
          <w:snapToGrid w:val="0"/>
        </w:rPr>
      </w:pPr>
      <w:ins w:id="730" w:author="svcMRProcess" w:date="2018-08-23T16:37:00Z">
        <w:r>
          <w:rPr>
            <w:snapToGrid w:val="0"/>
          </w:rPr>
          <w:t>[s. 21N]</w:t>
        </w:r>
      </w:ins>
    </w:p>
    <w:p>
      <w:pPr>
        <w:pStyle w:val="yFootnoteheading"/>
      </w:pPr>
      <w:r>
        <w:tab/>
        <w:t>[Heading inserted by No. 35 of 1996 s. </w:t>
      </w:r>
      <w:del w:id="731" w:author="svcMRProcess" w:date="2018-08-23T16:37:00Z">
        <w:r>
          <w:delText>13</w:delText>
        </w:r>
      </w:del>
      <w:ins w:id="732" w:author="svcMRProcess" w:date="2018-08-23T16:37:00Z">
        <w:r>
          <w:t>13; amended by No. 19 of 2010 s. 4</w:t>
        </w:r>
      </w:ins>
      <w:r>
        <w:t>.]</w:t>
      </w:r>
    </w:p>
    <w:p>
      <w:pPr>
        <w:pStyle w:val="yHeading5"/>
        <w:spacing w:before="120"/>
        <w:outlineLvl w:val="9"/>
        <w:rPr>
          <w:snapToGrid w:val="0"/>
        </w:rPr>
      </w:pPr>
      <w:bookmarkStart w:id="733" w:name="_Toc378163039"/>
      <w:bookmarkStart w:id="734" w:name="_Toc517596921"/>
      <w:bookmarkStart w:id="735" w:name="_Toc517597309"/>
      <w:bookmarkStart w:id="736" w:name="_Toc268096485"/>
      <w:r>
        <w:rPr>
          <w:rStyle w:val="CharSClsNo"/>
        </w:rPr>
        <w:t>1</w:t>
      </w:r>
      <w:r>
        <w:rPr>
          <w:snapToGrid w:val="0"/>
        </w:rPr>
        <w:t>.</w:t>
      </w:r>
      <w:r>
        <w:rPr>
          <w:snapToGrid w:val="0"/>
        </w:rPr>
        <w:tab/>
        <w:t>Interpretation</w:t>
      </w:r>
      <w:bookmarkEnd w:id="733"/>
      <w:bookmarkEnd w:id="734"/>
      <w:bookmarkEnd w:id="735"/>
      <w:bookmarkEnd w:id="736"/>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 by No. 35 of 1996 s. 13.]</w:t>
      </w:r>
    </w:p>
    <w:p>
      <w:pPr>
        <w:pStyle w:val="yHeading5"/>
        <w:spacing w:before="120"/>
        <w:outlineLvl w:val="9"/>
        <w:rPr>
          <w:snapToGrid w:val="0"/>
        </w:rPr>
      </w:pPr>
      <w:bookmarkStart w:id="737" w:name="_Toc378163040"/>
      <w:bookmarkStart w:id="738" w:name="_Toc517596922"/>
      <w:bookmarkStart w:id="739" w:name="_Toc517597310"/>
      <w:bookmarkStart w:id="740" w:name="_Toc268096486"/>
      <w:r>
        <w:rPr>
          <w:rStyle w:val="CharSClsNo"/>
        </w:rPr>
        <w:t>2</w:t>
      </w:r>
      <w:r>
        <w:rPr>
          <w:snapToGrid w:val="0"/>
        </w:rPr>
        <w:t>.</w:t>
      </w:r>
      <w:r>
        <w:rPr>
          <w:snapToGrid w:val="0"/>
        </w:rPr>
        <w:tab/>
        <w:t>Term of office</w:t>
      </w:r>
      <w:bookmarkEnd w:id="737"/>
      <w:bookmarkEnd w:id="738"/>
      <w:bookmarkEnd w:id="739"/>
      <w:bookmarkEnd w:id="740"/>
      <w:r>
        <w:rPr>
          <w:snapToGrid w:val="0"/>
        </w:rPr>
        <w:t xml:space="preserve"> </w:t>
      </w:r>
    </w:p>
    <w:p>
      <w:pPr>
        <w:pStyle w:val="ySubsection"/>
        <w:rPr>
          <w:snapToGrid w:val="0"/>
        </w:rPr>
      </w:pPr>
      <w:r>
        <w:rPr>
          <w:snapToGrid w:val="0"/>
        </w:rPr>
        <w:tab/>
        <w:t>(1)</w:t>
      </w:r>
      <w:r>
        <w:rPr>
          <w:snapToGrid w:val="0"/>
        </w:rPr>
        <w:tab/>
        <w:t>Except as otherwise provided by this Act, a member — </w:t>
      </w:r>
    </w:p>
    <w:p>
      <w:pPr>
        <w:pStyle w:val="yIndenta"/>
        <w:rPr>
          <w:snapToGrid w:val="0"/>
        </w:rPr>
      </w:pPr>
      <w:r>
        <w:rPr>
          <w:snapToGrid w:val="0"/>
        </w:rPr>
        <w:tab/>
        <w:t>(a)</w:t>
      </w:r>
      <w:r>
        <w:rPr>
          <w:snapToGrid w:val="0"/>
        </w:rPr>
        <w:tab/>
        <w:t>appointed under section 21M(1)(a), (b) or (k) holds office for the term, not exceeding 3 years, that is specified in the instrument of his or her appointment;</w:t>
      </w:r>
    </w:p>
    <w:p>
      <w:pPr>
        <w:pStyle w:val="yIndenta"/>
        <w:rPr>
          <w:snapToGrid w:val="0"/>
        </w:rPr>
      </w:pPr>
      <w:r>
        <w:rPr>
          <w:snapToGrid w:val="0"/>
        </w:rPr>
        <w:tab/>
        <w:t>(b)</w:t>
      </w:r>
      <w:r>
        <w:rPr>
          <w:snapToGrid w:val="0"/>
        </w:rPr>
        <w:tab/>
        <w:t>elected under section 21M(1)(f), (g) or (h) holds office for the term of 3 years from the date on which the person becomes a member, unless that person succeeds to a casual vacancy;</w:t>
      </w:r>
    </w:p>
    <w:p>
      <w:pPr>
        <w:pStyle w:val="yIndenta"/>
        <w:rPr>
          <w:snapToGrid w:val="0"/>
        </w:rPr>
      </w:pPr>
      <w:r>
        <w:rPr>
          <w:snapToGrid w:val="0"/>
        </w:rPr>
        <w:tab/>
        <w:t>(c)</w:t>
      </w:r>
      <w:r>
        <w:rPr>
          <w:snapToGrid w:val="0"/>
        </w:rPr>
        <w:tab/>
        <w:t>elected under section 21M(1)(i) holds office for the term of 1 year from the date on which the person becomes a member, unless that person succeeds to a casual vacancy.</w:t>
      </w:r>
    </w:p>
    <w:p>
      <w:pPr>
        <w:pStyle w:val="ySubsection"/>
        <w:rPr>
          <w:snapToGrid w:val="0"/>
        </w:rPr>
      </w:pPr>
      <w:r>
        <w:rPr>
          <w:snapToGrid w:val="0"/>
        </w:rPr>
        <w:tab/>
        <w:t>(2)</w:t>
      </w:r>
      <w:r>
        <w:rPr>
          <w:snapToGrid w:val="0"/>
        </w:rPr>
        <w:tab/>
        <w:t>Subject to subclause (3), all retiring members are, unless otherwise disqualified, eligible for reappointment or re</w:t>
      </w:r>
      <w:r>
        <w:rPr>
          <w:snapToGrid w:val="0"/>
        </w:rPr>
        <w:noBreakHyphen/>
        <w:t>election but on the expiry of a third successive term of office that member is not eligible to hold office as a member until 12 months after that expiry.</w:t>
      </w:r>
    </w:p>
    <w:p>
      <w:pPr>
        <w:pStyle w:val="ySubsection"/>
        <w:rPr>
          <w:snapToGrid w:val="0"/>
        </w:rPr>
      </w:pPr>
      <w:r>
        <w:rPr>
          <w:snapToGrid w:val="0"/>
        </w:rPr>
        <w:tab/>
        <w:t>(3)</w:t>
      </w:r>
      <w:r>
        <w:rPr>
          <w:snapToGrid w:val="0"/>
        </w:rPr>
        <w:tab/>
        <w:t>A member elected under section 21M(1)(i) is not eligible for re</w:t>
      </w:r>
      <w:r>
        <w:rPr>
          <w:snapToGrid w:val="0"/>
        </w:rPr>
        <w:noBreakHyphen/>
        <w:t>election more than once.</w:t>
      </w:r>
    </w:p>
    <w:p>
      <w:pPr>
        <w:pStyle w:val="yFootnotesection"/>
        <w:keepLines w:val="0"/>
      </w:pPr>
      <w:r>
        <w:tab/>
        <w:t>[Clause 2 inserted by No. 35 of 1996 s. 13.]</w:t>
      </w:r>
    </w:p>
    <w:p>
      <w:pPr>
        <w:pStyle w:val="yHeading5"/>
        <w:outlineLvl w:val="9"/>
        <w:rPr>
          <w:snapToGrid w:val="0"/>
        </w:rPr>
      </w:pPr>
      <w:bookmarkStart w:id="741" w:name="_Toc378163041"/>
      <w:bookmarkStart w:id="742" w:name="_Toc517596923"/>
      <w:bookmarkStart w:id="743" w:name="_Toc517597311"/>
      <w:bookmarkStart w:id="744" w:name="_Toc268096487"/>
      <w:r>
        <w:rPr>
          <w:rStyle w:val="CharSClsNo"/>
        </w:rPr>
        <w:t>3</w:t>
      </w:r>
      <w:r>
        <w:rPr>
          <w:snapToGrid w:val="0"/>
        </w:rPr>
        <w:t>.</w:t>
      </w:r>
      <w:r>
        <w:rPr>
          <w:snapToGrid w:val="0"/>
        </w:rPr>
        <w:tab/>
        <w:t>Casual vacancies</w:t>
      </w:r>
      <w:bookmarkEnd w:id="741"/>
      <w:bookmarkEnd w:id="742"/>
      <w:bookmarkEnd w:id="743"/>
      <w:bookmarkEnd w:id="744"/>
      <w:r>
        <w:rPr>
          <w:snapToGrid w:val="0"/>
        </w:rPr>
        <w:t xml:space="preserve"> </w:t>
      </w:r>
    </w:p>
    <w:p>
      <w:pPr>
        <w:pStyle w:val="ySubsection"/>
        <w:rPr>
          <w:snapToGrid w:val="0"/>
        </w:rPr>
      </w:pPr>
      <w:r>
        <w:rPr>
          <w:snapToGrid w:val="0"/>
        </w:rPr>
        <w:tab/>
        <w:t>(1)</w:t>
      </w:r>
      <w:r>
        <w:rPr>
          <w:snapToGrid w:val="0"/>
        </w:rPr>
        <w:tab/>
        <w:t>Where a casual vacancy occurs in the office of a member, the vacancy shall, subject to this clause, be filled in the same manner as it would be if it had occurred by effluxion of time, except that — </w:t>
      </w:r>
    </w:p>
    <w:p>
      <w:pPr>
        <w:pStyle w:val="yIndenta"/>
        <w:rPr>
          <w:snapToGrid w:val="0"/>
        </w:rPr>
      </w:pPr>
      <w:r>
        <w:rPr>
          <w:snapToGrid w:val="0"/>
        </w:rPr>
        <w:tab/>
        <w:t>(a)</w:t>
      </w:r>
      <w:r>
        <w:rPr>
          <w:snapToGrid w:val="0"/>
        </w:rPr>
        <w:tab/>
        <w:t>if the vacancy is in the office of a member elected under section 21M and it has not, within 3 months after it occurs, been filled by election, it may be filled by an appointment by the Minister of a person who has the same qualification under section 21M as that of the former member; and</w:t>
      </w:r>
    </w:p>
    <w:p>
      <w:pPr>
        <w:pStyle w:val="yIndenta"/>
        <w:rPr>
          <w:snapToGrid w:val="0"/>
        </w:rPr>
      </w:pPr>
      <w:r>
        <w:rPr>
          <w:snapToGrid w:val="0"/>
        </w:rPr>
        <w:tab/>
        <w:t>(b)</w:t>
      </w:r>
      <w:r>
        <w:rPr>
          <w:snapToGrid w:val="0"/>
        </w:rPr>
        <w:tab/>
        <w:t>the person who fills the vacancy shall, subject to this Act, hold office for the residue of the former member’s term of office.</w:t>
      </w:r>
    </w:p>
    <w:p>
      <w:pPr>
        <w:pStyle w:val="ySubsection"/>
        <w:rPr>
          <w:snapToGrid w:val="0"/>
        </w:rPr>
      </w:pPr>
      <w:r>
        <w:rPr>
          <w:snapToGrid w:val="0"/>
        </w:rPr>
        <w:tab/>
        <w:t>(2)</w:t>
      </w:r>
      <w:r>
        <w:rPr>
          <w:snapToGrid w:val="0"/>
        </w:rPr>
        <w:tab/>
        <w:t>Notwithstanding subclause (1), if a casual vacancy occurs in the office of a member elected under section 21M within 6 months before the expiry of the term of office of that member by effluxion of time, that vacancy shall not be filled for the residue of the term of the office unless the Kalgoorlie Campus Council resolves that exceptional circumstances require that the vacancy be filled.</w:t>
      </w:r>
    </w:p>
    <w:p>
      <w:pPr>
        <w:pStyle w:val="yFootnotesection"/>
        <w:keepLines w:val="0"/>
      </w:pPr>
      <w:r>
        <w:tab/>
        <w:t>[Clause 3 inserted by No. 35 of 1996 s. 13.]</w:t>
      </w:r>
    </w:p>
    <w:p>
      <w:pPr>
        <w:pStyle w:val="yHeading5"/>
        <w:outlineLvl w:val="9"/>
        <w:rPr>
          <w:snapToGrid w:val="0"/>
        </w:rPr>
      </w:pPr>
      <w:bookmarkStart w:id="745" w:name="_Toc378163042"/>
      <w:bookmarkStart w:id="746" w:name="_Toc517596924"/>
      <w:bookmarkStart w:id="747" w:name="_Toc517597312"/>
      <w:bookmarkStart w:id="748" w:name="_Toc268096488"/>
      <w:r>
        <w:rPr>
          <w:rStyle w:val="CharSClsNo"/>
        </w:rPr>
        <w:t>4</w:t>
      </w:r>
      <w:r>
        <w:rPr>
          <w:snapToGrid w:val="0"/>
        </w:rPr>
        <w:t>.</w:t>
      </w:r>
      <w:r>
        <w:rPr>
          <w:snapToGrid w:val="0"/>
        </w:rPr>
        <w:tab/>
        <w:t>Resignation, removal, etc.</w:t>
      </w:r>
      <w:bookmarkEnd w:id="745"/>
      <w:bookmarkEnd w:id="746"/>
      <w:bookmarkEnd w:id="747"/>
      <w:bookmarkEnd w:id="748"/>
      <w:r>
        <w:rPr>
          <w:snapToGrid w:val="0"/>
        </w:rPr>
        <w:t xml:space="preserve"> </w:t>
      </w:r>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Minister on the grounds of neglect of duty, misbehaviour, incompetence or mental or physical incapacity impairing the performance of the member’s functions and proved to the satisfaction of the Minister; or</w:t>
      </w:r>
    </w:p>
    <w:p>
      <w:pPr>
        <w:pStyle w:val="yIndenta"/>
        <w:rPr>
          <w:snapToGrid w:val="0"/>
        </w:rPr>
      </w:pPr>
      <w:r>
        <w:rPr>
          <w:snapToGrid w:val="0"/>
        </w:rPr>
        <w:tab/>
        <w:t>(d)</w:t>
      </w:r>
      <w:r>
        <w:rPr>
          <w:snapToGrid w:val="0"/>
        </w:rPr>
        <w:tab/>
        <w:t>in the case of a member elected under section 21M(1)(f), ceases to be a member of the full</w:t>
      </w:r>
      <w:r>
        <w:rPr>
          <w:snapToGrid w:val="0"/>
        </w:rPr>
        <w:noBreakHyphen/>
        <w:t>time higher education academic staff of the Kalgoorlie Campus; or</w:t>
      </w:r>
    </w:p>
    <w:p>
      <w:pPr>
        <w:pStyle w:val="yIndenta"/>
        <w:rPr>
          <w:snapToGrid w:val="0"/>
        </w:rPr>
      </w:pPr>
      <w:r>
        <w:rPr>
          <w:snapToGrid w:val="0"/>
        </w:rPr>
        <w:tab/>
        <w:t>(e)</w:t>
      </w:r>
      <w:r>
        <w:rPr>
          <w:snapToGrid w:val="0"/>
        </w:rPr>
        <w:tab/>
        <w:t>in the case of a member elected under section 21M(1)(g), ceases to be a member of the full</w:t>
      </w:r>
      <w:r>
        <w:rPr>
          <w:snapToGrid w:val="0"/>
        </w:rPr>
        <w:noBreakHyphen/>
        <w:t>time technical and further education academic staff of the Kalgoorlie Campus; or</w:t>
      </w:r>
    </w:p>
    <w:p>
      <w:pPr>
        <w:pStyle w:val="yIndenta"/>
        <w:rPr>
          <w:snapToGrid w:val="0"/>
        </w:rPr>
      </w:pPr>
      <w:r>
        <w:rPr>
          <w:snapToGrid w:val="0"/>
        </w:rPr>
        <w:tab/>
        <w:t>(f)</w:t>
      </w:r>
      <w:r>
        <w:rPr>
          <w:snapToGrid w:val="0"/>
        </w:rPr>
        <w:tab/>
        <w:t>in the case of a member elected under section 21M(1)(h), ceases to be a member of the full</w:t>
      </w:r>
      <w:r>
        <w:rPr>
          <w:snapToGrid w:val="0"/>
        </w:rPr>
        <w:noBreakHyphen/>
        <w:t>time general staff (other than the academic staff) of the Kalgoorlie Campus; or</w:t>
      </w:r>
    </w:p>
    <w:p>
      <w:pPr>
        <w:pStyle w:val="yIndenta"/>
        <w:rPr>
          <w:snapToGrid w:val="0"/>
        </w:rPr>
      </w:pPr>
      <w:r>
        <w:rPr>
          <w:snapToGrid w:val="0"/>
        </w:rPr>
        <w:tab/>
        <w:t>(g)</w:t>
      </w:r>
      <w:r>
        <w:rPr>
          <w:snapToGrid w:val="0"/>
        </w:rPr>
        <w:tab/>
        <w:t>in the case of a member elected under section 21M(1)(i), ceases to be a person who is an enrolled student attending the Kalgoorlie Campus.</w:t>
      </w:r>
    </w:p>
    <w:p>
      <w:pPr>
        <w:pStyle w:val="yFootnotesection"/>
        <w:keepLines w:val="0"/>
      </w:pPr>
      <w:r>
        <w:tab/>
        <w:t>[Clause 4 inserted by No. 35 of 1996 s. 13; amended by No. 18 of 2009 s. 28(4).]</w:t>
      </w:r>
    </w:p>
    <w:p>
      <w:pPr>
        <w:pStyle w:val="yHeading5"/>
        <w:outlineLvl w:val="9"/>
        <w:rPr>
          <w:snapToGrid w:val="0"/>
        </w:rPr>
      </w:pPr>
      <w:bookmarkStart w:id="749" w:name="_Toc378163043"/>
      <w:bookmarkStart w:id="750" w:name="_Toc517596925"/>
      <w:bookmarkStart w:id="751" w:name="_Toc517597313"/>
      <w:bookmarkStart w:id="752" w:name="_Toc268096489"/>
      <w:r>
        <w:rPr>
          <w:rStyle w:val="CharSClsNo"/>
        </w:rPr>
        <w:t>5</w:t>
      </w:r>
      <w:r>
        <w:rPr>
          <w:snapToGrid w:val="0"/>
        </w:rPr>
        <w:t>.</w:t>
      </w:r>
      <w:r>
        <w:rPr>
          <w:snapToGrid w:val="0"/>
        </w:rPr>
        <w:tab/>
        <w:t>Meetings</w:t>
      </w:r>
      <w:bookmarkEnd w:id="749"/>
      <w:bookmarkEnd w:id="750"/>
      <w:bookmarkEnd w:id="751"/>
      <w:bookmarkEnd w:id="752"/>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 xml:space="preserve">[Clause 5 inserted by No. 35 of 1996 s. 13.] </w:t>
      </w:r>
    </w:p>
    <w:p>
      <w:pPr>
        <w:sectPr>
          <w:headerReference w:type="even" r:id="rId26"/>
          <w:headerReference w:type="default" r:id="rId27"/>
          <w:pgSz w:w="11906" w:h="16838" w:code="9"/>
          <w:pgMar w:top="2381" w:right="2410" w:bottom="3544" w:left="2410" w:header="720" w:footer="3380" w:gutter="0"/>
          <w:cols w:space="720"/>
          <w:noEndnote/>
          <w:docGrid w:linePitch="326"/>
        </w:sectPr>
      </w:pPr>
      <w:bookmarkStart w:id="753" w:name="_Toc97106420"/>
      <w:bookmarkStart w:id="754" w:name="_Toc103064930"/>
      <w:bookmarkStart w:id="755" w:name="_Toc108844465"/>
      <w:bookmarkStart w:id="756" w:name="_Toc108846932"/>
      <w:bookmarkStart w:id="757" w:name="_Toc111529370"/>
      <w:bookmarkStart w:id="758" w:name="_Toc112575775"/>
      <w:bookmarkStart w:id="759" w:name="_Toc112575864"/>
      <w:bookmarkStart w:id="760" w:name="_Toc112575953"/>
      <w:bookmarkStart w:id="761" w:name="_Toc112576042"/>
      <w:bookmarkStart w:id="762" w:name="_Toc112576131"/>
      <w:bookmarkStart w:id="763" w:name="_Toc112731537"/>
      <w:bookmarkStart w:id="764" w:name="_Toc113698082"/>
      <w:bookmarkStart w:id="765" w:name="_Toc114299650"/>
      <w:bookmarkStart w:id="766" w:name="_Toc114299860"/>
      <w:bookmarkStart w:id="767" w:name="_Toc114300110"/>
      <w:bookmarkStart w:id="768" w:name="_Toc114301249"/>
    </w:p>
    <w:p>
      <w:pPr>
        <w:pStyle w:val="nHeading2"/>
      </w:pPr>
      <w:bookmarkStart w:id="769" w:name="_Toc378163044"/>
      <w:bookmarkStart w:id="770" w:name="_Toc116901483"/>
      <w:bookmarkStart w:id="771" w:name="_Toc116960813"/>
      <w:bookmarkStart w:id="772" w:name="_Toc116983541"/>
      <w:bookmarkStart w:id="773" w:name="_Toc118693777"/>
      <w:bookmarkStart w:id="774" w:name="_Toc118704905"/>
      <w:bookmarkStart w:id="775" w:name="_Toc118783881"/>
      <w:bookmarkStart w:id="776" w:name="_Toc157846188"/>
      <w:bookmarkStart w:id="777" w:name="_Toc241053010"/>
      <w:bookmarkStart w:id="778" w:name="_Toc268096490"/>
      <w:r>
        <w:t>Notes</w:t>
      </w:r>
      <w:bookmarkEnd w:id="769"/>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70"/>
      <w:bookmarkEnd w:id="771"/>
      <w:bookmarkEnd w:id="772"/>
      <w:bookmarkEnd w:id="773"/>
      <w:bookmarkEnd w:id="774"/>
      <w:bookmarkEnd w:id="775"/>
      <w:bookmarkEnd w:id="776"/>
      <w:bookmarkEnd w:id="777"/>
      <w:bookmarkEnd w:id="778"/>
    </w:p>
    <w:p>
      <w:pPr>
        <w:pStyle w:val="nSubsection"/>
        <w:rPr>
          <w:snapToGrid w:val="0"/>
        </w:rPr>
      </w:pPr>
      <w:r>
        <w:rPr>
          <w:snapToGrid w:val="0"/>
          <w:vertAlign w:val="superscript"/>
        </w:rPr>
        <w:t>1</w:t>
      </w:r>
      <w:r>
        <w:rPr>
          <w:snapToGrid w:val="0"/>
        </w:rPr>
        <w:tab/>
        <w:t xml:space="preserve">This is a compilation of the </w:t>
      </w:r>
      <w:r>
        <w:rPr>
          <w:i/>
          <w:noProof/>
          <w:snapToGrid w:val="0"/>
        </w:rPr>
        <w:t>Curtin University of Technology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79" w:name="_Toc378163045"/>
      <w:bookmarkStart w:id="780" w:name="_Toc268096491"/>
      <w:r>
        <w:rPr>
          <w:snapToGrid w:val="0"/>
        </w:rPr>
        <w:t>Compilation table</w:t>
      </w:r>
      <w:bookmarkEnd w:id="779"/>
      <w:bookmarkEnd w:id="780"/>
    </w:p>
    <w:tbl>
      <w:tblPr>
        <w:tblW w:w="7087" w:type="dxa"/>
        <w:tblInd w:w="28" w:type="dxa"/>
        <w:tblLayout w:type="fixed"/>
        <w:tblCellMar>
          <w:left w:w="56" w:type="dxa"/>
          <w:right w:w="56" w:type="dxa"/>
        </w:tblCellMar>
        <w:tblLook w:val="0000" w:firstRow="0" w:lastRow="0" w:firstColumn="0" w:lastColumn="0" w:noHBand="0" w:noVBand="0"/>
      </w:tblPr>
      <w:tblGrid>
        <w:gridCol w:w="6"/>
        <w:gridCol w:w="2262"/>
        <w:gridCol w:w="1133"/>
        <w:gridCol w:w="1130"/>
        <w:gridCol w:w="2540"/>
        <w:gridCol w:w="16"/>
      </w:tblGrid>
      <w:tr>
        <w:trPr>
          <w:gridBefore w:val="1"/>
          <w:gridAfter w:val="1"/>
          <w:wBefore w:w="6" w:type="dxa"/>
          <w:wAfter w:w="16" w:type="dxa"/>
          <w:cantSplit/>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0"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6" w:type="dxa"/>
          <w:wAfter w:w="16" w:type="dxa"/>
          <w:cantSplit/>
        </w:trPr>
        <w:tc>
          <w:tcPr>
            <w:tcW w:w="2262" w:type="dxa"/>
            <w:tcBorders>
              <w:top w:val="single" w:sz="8" w:space="0" w:color="auto"/>
            </w:tcBorders>
          </w:tcPr>
          <w:p>
            <w:pPr>
              <w:pStyle w:val="nTable"/>
              <w:spacing w:after="40"/>
              <w:ind w:right="113"/>
              <w:rPr>
                <w:iCs/>
                <w:sz w:val="19"/>
              </w:rPr>
            </w:pPr>
            <w:r>
              <w:rPr>
                <w:i/>
                <w:sz w:val="19"/>
              </w:rPr>
              <w:t>Western Australian Institute of Technology Act 1966</w:t>
            </w:r>
            <w:r>
              <w:rPr>
                <w:iCs/>
                <w:sz w:val="19"/>
                <w:vertAlign w:val="superscript"/>
              </w:rPr>
              <w:t> 7</w:t>
            </w:r>
          </w:p>
        </w:tc>
        <w:tc>
          <w:tcPr>
            <w:tcW w:w="1133" w:type="dxa"/>
            <w:tcBorders>
              <w:top w:val="single" w:sz="8" w:space="0" w:color="auto"/>
            </w:tcBorders>
          </w:tcPr>
          <w:p>
            <w:pPr>
              <w:pStyle w:val="nTable"/>
              <w:spacing w:after="40"/>
              <w:rPr>
                <w:sz w:val="19"/>
              </w:rPr>
            </w:pPr>
            <w:r>
              <w:rPr>
                <w:sz w:val="19"/>
              </w:rPr>
              <w:t>94 of 1966</w:t>
            </w:r>
          </w:p>
        </w:tc>
        <w:tc>
          <w:tcPr>
            <w:tcW w:w="1130" w:type="dxa"/>
            <w:tcBorders>
              <w:top w:val="single" w:sz="8" w:space="0" w:color="auto"/>
            </w:tcBorders>
          </w:tcPr>
          <w:p>
            <w:pPr>
              <w:pStyle w:val="nTable"/>
              <w:spacing w:after="40"/>
              <w:rPr>
                <w:sz w:val="19"/>
              </w:rPr>
            </w:pPr>
            <w:r>
              <w:rPr>
                <w:sz w:val="19"/>
              </w:rPr>
              <w:t>12 Dec 1966</w:t>
            </w:r>
          </w:p>
        </w:tc>
        <w:tc>
          <w:tcPr>
            <w:tcW w:w="2540" w:type="dxa"/>
            <w:tcBorders>
              <w:top w:val="single" w:sz="8" w:space="0" w:color="auto"/>
            </w:tcBorders>
          </w:tcPr>
          <w:p>
            <w:pPr>
              <w:pStyle w:val="nTable"/>
              <w:spacing w:after="40"/>
              <w:rPr>
                <w:sz w:val="19"/>
              </w:rPr>
            </w:pPr>
            <w:r>
              <w:rPr>
                <w:sz w:val="19"/>
              </w:rPr>
              <w:t xml:space="preserve">26 May 1967 (see s. 2 and </w:t>
            </w:r>
            <w:r>
              <w:rPr>
                <w:i/>
                <w:sz w:val="19"/>
              </w:rPr>
              <w:t>Gazette</w:t>
            </w:r>
            <w:r>
              <w:rPr>
                <w:sz w:val="19"/>
              </w:rPr>
              <w:t xml:space="preserve"> 26 May 1967 p. 1363)</w:t>
            </w:r>
          </w:p>
        </w:tc>
      </w:tr>
      <w:tr>
        <w:trPr>
          <w:gridBefore w:val="1"/>
          <w:gridAfter w:val="1"/>
          <w:wBefore w:w="6" w:type="dxa"/>
          <w:wAfter w:w="16" w:type="dxa"/>
          <w:cantSplit/>
        </w:trPr>
        <w:tc>
          <w:tcPr>
            <w:tcW w:w="2262" w:type="dxa"/>
          </w:tcPr>
          <w:p>
            <w:pPr>
              <w:pStyle w:val="nTable"/>
              <w:spacing w:after="40"/>
              <w:ind w:right="113"/>
              <w:rPr>
                <w:sz w:val="19"/>
              </w:rPr>
            </w:pPr>
            <w:r>
              <w:rPr>
                <w:i/>
                <w:sz w:val="19"/>
              </w:rPr>
              <w:t>Western Australian Institute of Technology Act Amendment Act 1968</w:t>
            </w:r>
          </w:p>
        </w:tc>
        <w:tc>
          <w:tcPr>
            <w:tcW w:w="1133" w:type="dxa"/>
          </w:tcPr>
          <w:p>
            <w:pPr>
              <w:pStyle w:val="nTable"/>
              <w:spacing w:after="40"/>
              <w:rPr>
                <w:sz w:val="19"/>
              </w:rPr>
            </w:pPr>
            <w:r>
              <w:rPr>
                <w:sz w:val="19"/>
              </w:rPr>
              <w:t>37 of 1968</w:t>
            </w:r>
          </w:p>
        </w:tc>
        <w:tc>
          <w:tcPr>
            <w:tcW w:w="1130" w:type="dxa"/>
          </w:tcPr>
          <w:p>
            <w:pPr>
              <w:pStyle w:val="nTable"/>
              <w:spacing w:after="40"/>
              <w:rPr>
                <w:sz w:val="19"/>
              </w:rPr>
            </w:pPr>
            <w:r>
              <w:rPr>
                <w:sz w:val="19"/>
              </w:rPr>
              <w:t>4 Nov 1968</w:t>
            </w:r>
          </w:p>
        </w:tc>
        <w:tc>
          <w:tcPr>
            <w:tcW w:w="2540" w:type="dxa"/>
          </w:tcPr>
          <w:p>
            <w:pPr>
              <w:pStyle w:val="nTable"/>
              <w:spacing w:after="40"/>
              <w:rPr>
                <w:sz w:val="19"/>
              </w:rPr>
            </w:pPr>
            <w:r>
              <w:rPr>
                <w:sz w:val="19"/>
              </w:rPr>
              <w:t>4 Nov 1968</w:t>
            </w:r>
          </w:p>
        </w:tc>
      </w:tr>
      <w:tr>
        <w:trPr>
          <w:gridBefore w:val="1"/>
          <w:gridAfter w:val="1"/>
          <w:wBefore w:w="6" w:type="dxa"/>
          <w:wAfter w:w="16" w:type="dxa"/>
          <w:cantSplit/>
        </w:trPr>
        <w:tc>
          <w:tcPr>
            <w:tcW w:w="2262" w:type="dxa"/>
          </w:tcPr>
          <w:p>
            <w:pPr>
              <w:pStyle w:val="nTable"/>
              <w:spacing w:after="40"/>
              <w:ind w:right="113"/>
              <w:rPr>
                <w:sz w:val="19"/>
              </w:rPr>
            </w:pPr>
            <w:r>
              <w:rPr>
                <w:i/>
                <w:sz w:val="19"/>
              </w:rPr>
              <w:t>Western Australian Institute of Technology Act Amendment Act 1969</w:t>
            </w:r>
          </w:p>
        </w:tc>
        <w:tc>
          <w:tcPr>
            <w:tcW w:w="1133" w:type="dxa"/>
          </w:tcPr>
          <w:p>
            <w:pPr>
              <w:pStyle w:val="nTable"/>
              <w:spacing w:after="40"/>
              <w:rPr>
                <w:sz w:val="19"/>
              </w:rPr>
            </w:pPr>
            <w:r>
              <w:rPr>
                <w:sz w:val="19"/>
              </w:rPr>
              <w:t>57 of 1969</w:t>
            </w:r>
          </w:p>
        </w:tc>
        <w:tc>
          <w:tcPr>
            <w:tcW w:w="1130" w:type="dxa"/>
          </w:tcPr>
          <w:p>
            <w:pPr>
              <w:pStyle w:val="nTable"/>
              <w:spacing w:after="40"/>
              <w:rPr>
                <w:sz w:val="19"/>
              </w:rPr>
            </w:pPr>
            <w:r>
              <w:rPr>
                <w:sz w:val="19"/>
              </w:rPr>
              <w:t>29 Sep 1969</w:t>
            </w:r>
          </w:p>
        </w:tc>
        <w:tc>
          <w:tcPr>
            <w:tcW w:w="2540" w:type="dxa"/>
          </w:tcPr>
          <w:p>
            <w:pPr>
              <w:pStyle w:val="nTable"/>
              <w:spacing w:after="40"/>
              <w:rPr>
                <w:sz w:val="19"/>
              </w:rPr>
            </w:pPr>
            <w:r>
              <w:rPr>
                <w:sz w:val="19"/>
              </w:rPr>
              <w:t>29 Sep 1969</w:t>
            </w:r>
          </w:p>
        </w:tc>
      </w:tr>
      <w:tr>
        <w:trPr>
          <w:gridBefore w:val="1"/>
          <w:gridAfter w:val="1"/>
          <w:wBefore w:w="6" w:type="dxa"/>
          <w:wAfter w:w="16" w:type="dxa"/>
          <w:cantSplit/>
        </w:trPr>
        <w:tc>
          <w:tcPr>
            <w:tcW w:w="2262" w:type="dxa"/>
          </w:tcPr>
          <w:p>
            <w:pPr>
              <w:pStyle w:val="nTable"/>
              <w:spacing w:after="40"/>
              <w:ind w:right="113"/>
              <w:rPr>
                <w:sz w:val="19"/>
              </w:rPr>
            </w:pPr>
            <w:r>
              <w:rPr>
                <w:i/>
                <w:sz w:val="19"/>
              </w:rPr>
              <w:t>Western Australian Institute of Technology Act Amendment Act 1970</w:t>
            </w:r>
          </w:p>
        </w:tc>
        <w:tc>
          <w:tcPr>
            <w:tcW w:w="1133" w:type="dxa"/>
          </w:tcPr>
          <w:p>
            <w:pPr>
              <w:pStyle w:val="nTable"/>
              <w:spacing w:after="40"/>
              <w:rPr>
                <w:sz w:val="19"/>
              </w:rPr>
            </w:pPr>
            <w:r>
              <w:rPr>
                <w:sz w:val="19"/>
              </w:rPr>
              <w:t>57 of 1970</w:t>
            </w:r>
          </w:p>
        </w:tc>
        <w:tc>
          <w:tcPr>
            <w:tcW w:w="1130" w:type="dxa"/>
          </w:tcPr>
          <w:p>
            <w:pPr>
              <w:pStyle w:val="nTable"/>
              <w:spacing w:after="40"/>
              <w:rPr>
                <w:sz w:val="19"/>
              </w:rPr>
            </w:pPr>
            <w:r>
              <w:rPr>
                <w:sz w:val="19"/>
              </w:rPr>
              <w:t>5 Nov 1970</w:t>
            </w:r>
          </w:p>
        </w:tc>
        <w:tc>
          <w:tcPr>
            <w:tcW w:w="2540" w:type="dxa"/>
          </w:tcPr>
          <w:p>
            <w:pPr>
              <w:pStyle w:val="nTable"/>
              <w:spacing w:after="40"/>
              <w:rPr>
                <w:sz w:val="19"/>
              </w:rPr>
            </w:pPr>
            <w:r>
              <w:rPr>
                <w:sz w:val="19"/>
              </w:rPr>
              <w:t>5 Nov 1970</w:t>
            </w:r>
          </w:p>
        </w:tc>
      </w:tr>
      <w:tr>
        <w:trPr>
          <w:gridBefore w:val="1"/>
          <w:gridAfter w:val="1"/>
          <w:wBefore w:w="6" w:type="dxa"/>
          <w:wAfter w:w="16" w:type="dxa"/>
          <w:cantSplit/>
        </w:trPr>
        <w:tc>
          <w:tcPr>
            <w:tcW w:w="2262" w:type="dxa"/>
          </w:tcPr>
          <w:p>
            <w:pPr>
              <w:pStyle w:val="nTable"/>
              <w:spacing w:after="40"/>
              <w:ind w:right="113"/>
              <w:rPr>
                <w:sz w:val="19"/>
              </w:rPr>
            </w:pPr>
            <w:r>
              <w:rPr>
                <w:i/>
                <w:sz w:val="19"/>
              </w:rPr>
              <w:t>Western Australian Institute of Technology Act Amendment Act 1971</w:t>
            </w:r>
          </w:p>
        </w:tc>
        <w:tc>
          <w:tcPr>
            <w:tcW w:w="1133" w:type="dxa"/>
          </w:tcPr>
          <w:p>
            <w:pPr>
              <w:pStyle w:val="nTable"/>
              <w:spacing w:after="40"/>
              <w:rPr>
                <w:sz w:val="19"/>
              </w:rPr>
            </w:pPr>
            <w:r>
              <w:rPr>
                <w:sz w:val="19"/>
              </w:rPr>
              <w:t>49 of 1971</w:t>
            </w:r>
          </w:p>
        </w:tc>
        <w:tc>
          <w:tcPr>
            <w:tcW w:w="1130" w:type="dxa"/>
          </w:tcPr>
          <w:p>
            <w:pPr>
              <w:pStyle w:val="nTable"/>
              <w:spacing w:after="40"/>
              <w:rPr>
                <w:sz w:val="19"/>
              </w:rPr>
            </w:pPr>
            <w:r>
              <w:rPr>
                <w:sz w:val="19"/>
              </w:rPr>
              <w:t>10 Dec 1971</w:t>
            </w:r>
          </w:p>
        </w:tc>
        <w:tc>
          <w:tcPr>
            <w:tcW w:w="2540" w:type="dxa"/>
          </w:tcPr>
          <w:p>
            <w:pPr>
              <w:pStyle w:val="nTable"/>
              <w:spacing w:after="40"/>
              <w:rPr>
                <w:sz w:val="19"/>
              </w:rPr>
            </w:pPr>
            <w:r>
              <w:rPr>
                <w:sz w:val="19"/>
              </w:rPr>
              <w:t>10 Dec 1971</w:t>
            </w:r>
          </w:p>
        </w:tc>
      </w:tr>
      <w:tr>
        <w:trPr>
          <w:gridBefore w:val="1"/>
          <w:gridAfter w:val="1"/>
          <w:wBefore w:w="6" w:type="dxa"/>
          <w:wAfter w:w="16" w:type="dxa"/>
          <w:cantSplit/>
        </w:trPr>
        <w:tc>
          <w:tcPr>
            <w:tcW w:w="2262" w:type="dxa"/>
          </w:tcPr>
          <w:p>
            <w:pPr>
              <w:pStyle w:val="nTable"/>
              <w:spacing w:after="40"/>
              <w:ind w:right="113"/>
              <w:rPr>
                <w:sz w:val="19"/>
              </w:rPr>
            </w:pPr>
            <w:r>
              <w:rPr>
                <w:i/>
                <w:sz w:val="19"/>
              </w:rPr>
              <w:t>Western Australian Institute of Technology Act Amendment Act 1974</w:t>
            </w:r>
          </w:p>
        </w:tc>
        <w:tc>
          <w:tcPr>
            <w:tcW w:w="1133" w:type="dxa"/>
          </w:tcPr>
          <w:p>
            <w:pPr>
              <w:pStyle w:val="nTable"/>
              <w:spacing w:after="40"/>
              <w:rPr>
                <w:sz w:val="19"/>
              </w:rPr>
            </w:pPr>
            <w:r>
              <w:rPr>
                <w:sz w:val="19"/>
              </w:rPr>
              <w:t>31 of 1974</w:t>
            </w:r>
          </w:p>
        </w:tc>
        <w:tc>
          <w:tcPr>
            <w:tcW w:w="1130" w:type="dxa"/>
          </w:tcPr>
          <w:p>
            <w:pPr>
              <w:pStyle w:val="nTable"/>
              <w:spacing w:after="40"/>
              <w:rPr>
                <w:sz w:val="19"/>
              </w:rPr>
            </w:pPr>
            <w:r>
              <w:rPr>
                <w:sz w:val="19"/>
              </w:rPr>
              <w:t>4 Nov 1974</w:t>
            </w:r>
          </w:p>
        </w:tc>
        <w:tc>
          <w:tcPr>
            <w:tcW w:w="2540" w:type="dxa"/>
          </w:tcPr>
          <w:p>
            <w:pPr>
              <w:pStyle w:val="nTable"/>
              <w:spacing w:after="40"/>
              <w:rPr>
                <w:sz w:val="19"/>
              </w:rPr>
            </w:pPr>
            <w:r>
              <w:rPr>
                <w:sz w:val="19"/>
              </w:rPr>
              <w:t>4 Nov 1974</w:t>
            </w:r>
          </w:p>
        </w:tc>
      </w:tr>
      <w:tr>
        <w:trPr>
          <w:gridBefore w:val="1"/>
          <w:gridAfter w:val="1"/>
          <w:wBefore w:w="6" w:type="dxa"/>
          <w:wAfter w:w="16" w:type="dxa"/>
          <w:cantSplit/>
        </w:trPr>
        <w:tc>
          <w:tcPr>
            <w:tcW w:w="7065" w:type="dxa"/>
            <w:gridSpan w:val="4"/>
          </w:tcPr>
          <w:p>
            <w:pPr>
              <w:pStyle w:val="nTable"/>
              <w:spacing w:after="40"/>
              <w:rPr>
                <w:sz w:val="19"/>
              </w:rPr>
            </w:pPr>
            <w:r>
              <w:rPr>
                <w:b/>
                <w:bCs/>
                <w:iCs/>
                <w:sz w:val="19"/>
              </w:rPr>
              <w:t>Reprint of the</w:t>
            </w:r>
            <w:r>
              <w:rPr>
                <w:b/>
                <w:bCs/>
                <w:i/>
                <w:sz w:val="19"/>
              </w:rPr>
              <w:t xml:space="preserve"> Western Australian Institute of Technology Act 1966</w:t>
            </w:r>
            <w:r>
              <w:rPr>
                <w:b/>
                <w:bCs/>
                <w:iCs/>
                <w:sz w:val="19"/>
              </w:rPr>
              <w:t> approved 2 Sep 1975</w:t>
            </w:r>
            <w:r>
              <w:rPr>
                <w:iCs/>
                <w:sz w:val="19"/>
              </w:rPr>
              <w:t xml:space="preserve"> (includes amendments listed above)</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(Student Guilds and Associations) Act 1977</w:t>
            </w:r>
            <w:r>
              <w:rPr>
                <w:sz w:val="19"/>
              </w:rPr>
              <w:t xml:space="preserve"> Pt. III</w:t>
            </w:r>
          </w:p>
        </w:tc>
        <w:tc>
          <w:tcPr>
            <w:tcW w:w="1133" w:type="dxa"/>
          </w:tcPr>
          <w:p>
            <w:pPr>
              <w:pStyle w:val="nTable"/>
              <w:spacing w:after="40"/>
              <w:rPr>
                <w:sz w:val="19"/>
              </w:rPr>
            </w:pPr>
            <w:r>
              <w:rPr>
                <w:sz w:val="19"/>
              </w:rPr>
              <w:t>61 of 1977</w:t>
            </w:r>
          </w:p>
        </w:tc>
        <w:tc>
          <w:tcPr>
            <w:tcW w:w="1130" w:type="dxa"/>
          </w:tcPr>
          <w:p>
            <w:pPr>
              <w:pStyle w:val="nTable"/>
              <w:spacing w:after="40"/>
              <w:rPr>
                <w:sz w:val="19"/>
              </w:rPr>
            </w:pPr>
            <w:r>
              <w:rPr>
                <w:sz w:val="19"/>
              </w:rPr>
              <w:t>23 Nov 1977</w:t>
            </w:r>
          </w:p>
        </w:tc>
        <w:tc>
          <w:tcPr>
            <w:tcW w:w="2540" w:type="dxa"/>
          </w:tcPr>
          <w:p>
            <w:pPr>
              <w:pStyle w:val="nTable"/>
              <w:spacing w:after="40"/>
              <w:rPr>
                <w:sz w:val="19"/>
              </w:rPr>
            </w:pPr>
            <w:r>
              <w:rPr>
                <w:sz w:val="19"/>
              </w:rPr>
              <w:t>1 Jan 1978 (see s. 2)</w:t>
            </w:r>
          </w:p>
        </w:tc>
      </w:tr>
      <w:tr>
        <w:trPr>
          <w:gridBefore w:val="1"/>
          <w:gridAfter w:val="1"/>
          <w:wBefore w:w="6" w:type="dxa"/>
          <w:wAfter w:w="16" w:type="dxa"/>
          <w:cantSplit/>
        </w:trPr>
        <w:tc>
          <w:tcPr>
            <w:tcW w:w="2262" w:type="dxa"/>
          </w:tcPr>
          <w:p>
            <w:pPr>
              <w:pStyle w:val="nTable"/>
              <w:spacing w:after="40"/>
              <w:ind w:right="113"/>
              <w:rPr>
                <w:sz w:val="19"/>
              </w:rPr>
            </w:pPr>
            <w:r>
              <w:rPr>
                <w:i/>
                <w:sz w:val="19"/>
              </w:rPr>
              <w:t xml:space="preserve">Western Australian Institute of Technology </w:t>
            </w:r>
            <w:del w:id="781" w:author="svcMRProcess" w:date="2018-08-23T16:37:00Z">
              <w:r>
                <w:rPr>
                  <w:i/>
                  <w:sz w:val="19"/>
                </w:rPr>
                <w:delText>Act </w:delText>
              </w:r>
            </w:del>
            <w:r>
              <w:rPr>
                <w:i/>
                <w:sz w:val="19"/>
              </w:rPr>
              <w:t>Amendment Act 1981</w:t>
            </w:r>
          </w:p>
        </w:tc>
        <w:tc>
          <w:tcPr>
            <w:tcW w:w="1133" w:type="dxa"/>
          </w:tcPr>
          <w:p>
            <w:pPr>
              <w:pStyle w:val="nTable"/>
              <w:spacing w:after="40"/>
              <w:rPr>
                <w:sz w:val="19"/>
              </w:rPr>
            </w:pPr>
            <w:r>
              <w:rPr>
                <w:sz w:val="19"/>
              </w:rPr>
              <w:t>37 of 1981</w:t>
            </w:r>
          </w:p>
        </w:tc>
        <w:tc>
          <w:tcPr>
            <w:tcW w:w="1130" w:type="dxa"/>
          </w:tcPr>
          <w:p>
            <w:pPr>
              <w:pStyle w:val="nTable"/>
              <w:spacing w:after="40"/>
              <w:rPr>
                <w:sz w:val="19"/>
              </w:rPr>
            </w:pPr>
            <w:r>
              <w:rPr>
                <w:sz w:val="19"/>
              </w:rPr>
              <w:t>25 Aug 1981</w:t>
            </w:r>
          </w:p>
        </w:tc>
        <w:tc>
          <w:tcPr>
            <w:tcW w:w="2540" w:type="dxa"/>
          </w:tcPr>
          <w:p>
            <w:pPr>
              <w:pStyle w:val="nTable"/>
              <w:spacing w:after="40"/>
              <w:rPr>
                <w:sz w:val="19"/>
              </w:rPr>
            </w:pPr>
            <w:r>
              <w:rPr>
                <w:sz w:val="19"/>
              </w:rPr>
              <w:t xml:space="preserve">1 Nov 1981 (see s. 2 and </w:t>
            </w:r>
            <w:r>
              <w:rPr>
                <w:i/>
                <w:sz w:val="19"/>
              </w:rPr>
              <w:t>Gazette</w:t>
            </w:r>
            <w:r>
              <w:rPr>
                <w:sz w:val="19"/>
              </w:rPr>
              <w:t xml:space="preserve"> 25 Sep 1981 p. 4074)</w:t>
            </w:r>
          </w:p>
        </w:tc>
      </w:tr>
      <w:tr>
        <w:trPr>
          <w:gridBefore w:val="1"/>
          <w:gridAfter w:val="1"/>
          <w:wBefore w:w="6" w:type="dxa"/>
          <w:wAfter w:w="16" w:type="dxa"/>
          <w:cantSplit/>
        </w:trPr>
        <w:tc>
          <w:tcPr>
            <w:tcW w:w="2262" w:type="dxa"/>
          </w:tcPr>
          <w:p>
            <w:pPr>
              <w:pStyle w:val="nTable"/>
              <w:spacing w:after="40"/>
              <w:ind w:right="113"/>
              <w:rPr>
                <w:sz w:val="19"/>
              </w:rPr>
            </w:pPr>
            <w:r>
              <w:rPr>
                <w:i/>
                <w:sz w:val="19"/>
              </w:rPr>
              <w:t xml:space="preserve">Western Australian Institute of Technology </w:t>
            </w:r>
            <w:del w:id="782" w:author="svcMRProcess" w:date="2018-08-23T16:37:00Z">
              <w:r>
                <w:rPr>
                  <w:i/>
                  <w:sz w:val="19"/>
                </w:rPr>
                <w:delText xml:space="preserve">Act </w:delText>
              </w:r>
            </w:del>
            <w:r>
              <w:rPr>
                <w:i/>
                <w:sz w:val="19"/>
              </w:rPr>
              <w:t>Amendment Act 1982</w:t>
            </w:r>
          </w:p>
        </w:tc>
        <w:tc>
          <w:tcPr>
            <w:tcW w:w="1133" w:type="dxa"/>
          </w:tcPr>
          <w:p>
            <w:pPr>
              <w:pStyle w:val="nTable"/>
              <w:spacing w:after="40"/>
              <w:rPr>
                <w:sz w:val="19"/>
              </w:rPr>
            </w:pPr>
            <w:r>
              <w:rPr>
                <w:sz w:val="19"/>
              </w:rPr>
              <w:t>59 of 1982</w:t>
            </w:r>
          </w:p>
        </w:tc>
        <w:tc>
          <w:tcPr>
            <w:tcW w:w="1130" w:type="dxa"/>
          </w:tcPr>
          <w:p>
            <w:pPr>
              <w:pStyle w:val="nTable"/>
              <w:spacing w:after="40"/>
              <w:rPr>
                <w:sz w:val="19"/>
              </w:rPr>
            </w:pPr>
            <w:r>
              <w:rPr>
                <w:sz w:val="19"/>
              </w:rPr>
              <w:t>28 Sep 1982</w:t>
            </w:r>
          </w:p>
        </w:tc>
        <w:tc>
          <w:tcPr>
            <w:tcW w:w="2540" w:type="dxa"/>
          </w:tcPr>
          <w:p>
            <w:pPr>
              <w:pStyle w:val="nTable"/>
              <w:spacing w:after="40"/>
              <w:rPr>
                <w:sz w:val="19"/>
              </w:rPr>
            </w:pPr>
            <w:r>
              <w:rPr>
                <w:sz w:val="19"/>
              </w:rPr>
              <w:t>1 Jan 1983 (see s. 2)</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(Student Guilds and Associations) Act 1983</w:t>
            </w:r>
            <w:r>
              <w:rPr>
                <w:sz w:val="19"/>
              </w:rPr>
              <w:t xml:space="preserve"> Pt. IV</w:t>
            </w:r>
            <w:r>
              <w:rPr>
                <w:sz w:val="19"/>
                <w:vertAlign w:val="superscript"/>
              </w:rPr>
              <w:t> 8</w:t>
            </w:r>
          </w:p>
        </w:tc>
        <w:tc>
          <w:tcPr>
            <w:tcW w:w="1133" w:type="dxa"/>
          </w:tcPr>
          <w:p>
            <w:pPr>
              <w:pStyle w:val="nTable"/>
              <w:spacing w:after="40"/>
              <w:rPr>
                <w:sz w:val="19"/>
              </w:rPr>
            </w:pPr>
            <w:r>
              <w:rPr>
                <w:sz w:val="19"/>
              </w:rPr>
              <w:t>51 of 1983 (as amended by No. 96 of 1986)</w:t>
            </w:r>
          </w:p>
        </w:tc>
        <w:tc>
          <w:tcPr>
            <w:tcW w:w="1130" w:type="dxa"/>
          </w:tcPr>
          <w:p>
            <w:pPr>
              <w:pStyle w:val="nTable"/>
              <w:spacing w:after="40"/>
              <w:rPr>
                <w:sz w:val="19"/>
              </w:rPr>
            </w:pPr>
            <w:r>
              <w:rPr>
                <w:sz w:val="19"/>
              </w:rPr>
              <w:t>5 Dec 1983</w:t>
            </w:r>
          </w:p>
        </w:tc>
        <w:tc>
          <w:tcPr>
            <w:tcW w:w="2540" w:type="dxa"/>
          </w:tcPr>
          <w:p>
            <w:pPr>
              <w:pStyle w:val="nTable"/>
              <w:spacing w:after="40"/>
              <w:rPr>
                <w:sz w:val="19"/>
              </w:rPr>
            </w:pPr>
            <w:r>
              <w:rPr>
                <w:sz w:val="19"/>
              </w:rPr>
              <w:t>5 Dec 1983</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(Educational Institutions Superannuation) Act 1985</w:t>
            </w:r>
            <w:r>
              <w:rPr>
                <w:sz w:val="19"/>
              </w:rPr>
              <w:t xml:space="preserve"> Pt. II</w:t>
            </w:r>
            <w:r>
              <w:rPr>
                <w:sz w:val="19"/>
                <w:vertAlign w:val="superscript"/>
              </w:rPr>
              <w:t> 9, 10</w:t>
            </w:r>
          </w:p>
        </w:tc>
        <w:tc>
          <w:tcPr>
            <w:tcW w:w="1133" w:type="dxa"/>
          </w:tcPr>
          <w:p>
            <w:pPr>
              <w:pStyle w:val="nTable"/>
              <w:spacing w:after="40"/>
              <w:rPr>
                <w:sz w:val="19"/>
              </w:rPr>
            </w:pPr>
            <w:r>
              <w:rPr>
                <w:sz w:val="19"/>
              </w:rPr>
              <w:t>77 of 1985</w:t>
            </w:r>
          </w:p>
        </w:tc>
        <w:tc>
          <w:tcPr>
            <w:tcW w:w="1130" w:type="dxa"/>
          </w:tcPr>
          <w:p>
            <w:pPr>
              <w:pStyle w:val="nTable"/>
              <w:spacing w:after="40"/>
              <w:rPr>
                <w:sz w:val="19"/>
              </w:rPr>
            </w:pPr>
            <w:r>
              <w:rPr>
                <w:sz w:val="19"/>
              </w:rPr>
              <w:t>20 Nov 1985</w:t>
            </w:r>
          </w:p>
        </w:tc>
        <w:tc>
          <w:tcPr>
            <w:tcW w:w="2540" w:type="dxa"/>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(Financial Administration and Audit) Act 1985</w:t>
            </w:r>
            <w:r>
              <w:rPr>
                <w:sz w:val="19"/>
              </w:rPr>
              <w:t xml:space="preserve"> s. 3</w:t>
            </w:r>
            <w:r>
              <w:rPr>
                <w:sz w:val="19"/>
                <w:vertAlign w:val="superscript"/>
              </w:rPr>
              <w:t> </w:t>
            </w:r>
          </w:p>
        </w:tc>
        <w:tc>
          <w:tcPr>
            <w:tcW w:w="1133" w:type="dxa"/>
          </w:tcPr>
          <w:p>
            <w:pPr>
              <w:pStyle w:val="nTable"/>
              <w:spacing w:after="40"/>
              <w:rPr>
                <w:sz w:val="19"/>
              </w:rPr>
            </w:pPr>
            <w:r>
              <w:rPr>
                <w:sz w:val="19"/>
              </w:rPr>
              <w:t>98 of 1985</w:t>
            </w:r>
          </w:p>
        </w:tc>
        <w:tc>
          <w:tcPr>
            <w:tcW w:w="1130" w:type="dxa"/>
          </w:tcPr>
          <w:p>
            <w:pPr>
              <w:pStyle w:val="nTable"/>
              <w:spacing w:after="40"/>
              <w:rPr>
                <w:sz w:val="19"/>
              </w:rPr>
            </w:pPr>
            <w:r>
              <w:rPr>
                <w:sz w:val="19"/>
              </w:rPr>
              <w:t>4 Dec 1985</w:t>
            </w:r>
          </w:p>
        </w:tc>
        <w:tc>
          <w:tcPr>
            <w:tcW w:w="2540" w:type="dxa"/>
          </w:tcPr>
          <w:p>
            <w:pPr>
              <w:pStyle w:val="nTable"/>
              <w:spacing w:after="40"/>
              <w:rPr>
                <w:sz w:val="19"/>
              </w:rPr>
            </w:pPr>
            <w:r>
              <w:rPr>
                <w:sz w:val="19"/>
              </w:rPr>
              <w:t>1 Jul 1986 (see s. 2 and </w:t>
            </w:r>
            <w:r>
              <w:rPr>
                <w:i/>
                <w:sz w:val="19"/>
              </w:rPr>
              <w:t xml:space="preserve">Gazette </w:t>
            </w:r>
            <w:r>
              <w:rPr>
                <w:sz w:val="19"/>
              </w:rPr>
              <w:t>30 Jun 1986 p. 2255)</w:t>
            </w:r>
          </w:p>
        </w:tc>
      </w:tr>
      <w:tr>
        <w:trPr>
          <w:gridBefore w:val="1"/>
          <w:gridAfter w:val="1"/>
          <w:wBefore w:w="6" w:type="dxa"/>
          <w:wAfter w:w="16" w:type="dxa"/>
          <w:cantSplit/>
        </w:trPr>
        <w:tc>
          <w:tcPr>
            <w:tcW w:w="2262" w:type="dxa"/>
          </w:tcPr>
          <w:p>
            <w:pPr>
              <w:pStyle w:val="nTable"/>
              <w:spacing w:after="40"/>
              <w:ind w:right="113"/>
              <w:rPr>
                <w:sz w:val="19"/>
              </w:rPr>
            </w:pPr>
            <w:r>
              <w:rPr>
                <w:i/>
                <w:sz w:val="19"/>
              </w:rPr>
              <w:t>Western Australian Institute of Technology Amendment Act 1986</w:t>
            </w:r>
          </w:p>
        </w:tc>
        <w:tc>
          <w:tcPr>
            <w:tcW w:w="1133" w:type="dxa"/>
          </w:tcPr>
          <w:p>
            <w:pPr>
              <w:pStyle w:val="nTable"/>
              <w:spacing w:after="40"/>
              <w:rPr>
                <w:sz w:val="19"/>
              </w:rPr>
            </w:pPr>
            <w:r>
              <w:rPr>
                <w:sz w:val="19"/>
              </w:rPr>
              <w:t>96 of 1986</w:t>
            </w:r>
          </w:p>
        </w:tc>
        <w:tc>
          <w:tcPr>
            <w:tcW w:w="1130" w:type="dxa"/>
          </w:tcPr>
          <w:p>
            <w:pPr>
              <w:pStyle w:val="nTable"/>
              <w:spacing w:after="40"/>
              <w:rPr>
                <w:sz w:val="19"/>
              </w:rPr>
            </w:pPr>
            <w:r>
              <w:rPr>
                <w:sz w:val="19"/>
              </w:rPr>
              <w:t>10 Dec 1986</w:t>
            </w:r>
          </w:p>
        </w:tc>
        <w:tc>
          <w:tcPr>
            <w:tcW w:w="2540" w:type="dxa"/>
          </w:tcPr>
          <w:p>
            <w:pPr>
              <w:pStyle w:val="nTable"/>
              <w:spacing w:after="40"/>
              <w:rPr>
                <w:sz w:val="19"/>
              </w:rPr>
            </w:pPr>
            <w:r>
              <w:rPr>
                <w:sz w:val="19"/>
              </w:rPr>
              <w:t xml:space="preserve">1 Jan 1987 (see s. 2 and </w:t>
            </w:r>
            <w:r>
              <w:rPr>
                <w:i/>
                <w:sz w:val="19"/>
              </w:rPr>
              <w:t xml:space="preserve">Gazette </w:t>
            </w:r>
            <w:r>
              <w:rPr>
                <w:sz w:val="19"/>
              </w:rPr>
              <w:t>19 Dec 1986 p. 4861)</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(Education) Act 1988</w:t>
            </w:r>
            <w:r>
              <w:rPr>
                <w:sz w:val="19"/>
              </w:rPr>
              <w:t xml:space="preserve"> Pt. 5</w:t>
            </w:r>
          </w:p>
        </w:tc>
        <w:tc>
          <w:tcPr>
            <w:tcW w:w="1133" w:type="dxa"/>
          </w:tcPr>
          <w:p>
            <w:pPr>
              <w:pStyle w:val="nTable"/>
              <w:spacing w:after="40"/>
              <w:rPr>
                <w:sz w:val="19"/>
              </w:rPr>
            </w:pPr>
            <w:r>
              <w:rPr>
                <w:sz w:val="19"/>
              </w:rPr>
              <w:t>7 of 1988</w:t>
            </w:r>
          </w:p>
        </w:tc>
        <w:tc>
          <w:tcPr>
            <w:tcW w:w="1130" w:type="dxa"/>
          </w:tcPr>
          <w:p>
            <w:pPr>
              <w:pStyle w:val="nTable"/>
              <w:spacing w:after="40"/>
              <w:rPr>
                <w:sz w:val="19"/>
              </w:rPr>
            </w:pPr>
            <w:r>
              <w:rPr>
                <w:sz w:val="19"/>
              </w:rPr>
              <w:t>30 Jun 1988</w:t>
            </w:r>
          </w:p>
        </w:tc>
        <w:tc>
          <w:tcPr>
            <w:tcW w:w="2540"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Before w:val="1"/>
          <w:gridAfter w:val="1"/>
          <w:wBefore w:w="6" w:type="dxa"/>
          <w:wAfter w:w="16" w:type="dxa"/>
          <w:cantSplit/>
        </w:trPr>
        <w:tc>
          <w:tcPr>
            <w:tcW w:w="7065" w:type="dxa"/>
            <w:gridSpan w:val="4"/>
          </w:tcPr>
          <w:p>
            <w:pPr>
              <w:pStyle w:val="nTable"/>
              <w:spacing w:after="40"/>
              <w:rPr>
                <w:sz w:val="19"/>
              </w:rPr>
            </w:pPr>
            <w:r>
              <w:rPr>
                <w:b/>
                <w:bCs/>
                <w:iCs/>
                <w:sz w:val="19"/>
              </w:rPr>
              <w:t>Reprint of the</w:t>
            </w:r>
            <w:r>
              <w:rPr>
                <w:b/>
                <w:bCs/>
                <w:i/>
                <w:sz w:val="19"/>
              </w:rPr>
              <w:t xml:space="preserve"> Curtin University of Technology Act 1966</w:t>
            </w:r>
            <w:r>
              <w:rPr>
                <w:b/>
                <w:bCs/>
                <w:iCs/>
                <w:sz w:val="19"/>
              </w:rPr>
              <w:t> as at 24 Aug 1988</w:t>
            </w:r>
            <w:r>
              <w:rPr>
                <w:iCs/>
                <w:sz w:val="19"/>
              </w:rPr>
              <w:t xml:space="preserve"> (includes amendments listed above)</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and Repeal (Post</w:t>
            </w:r>
            <w:r>
              <w:rPr>
                <w:i/>
                <w:sz w:val="19"/>
              </w:rPr>
              <w:noBreakHyphen/>
              <w:t>Secondary Education) Act 1989</w:t>
            </w:r>
            <w:r>
              <w:rPr>
                <w:sz w:val="19"/>
              </w:rPr>
              <w:t xml:space="preserve"> Pt. 4</w:t>
            </w:r>
          </w:p>
        </w:tc>
        <w:tc>
          <w:tcPr>
            <w:tcW w:w="1133" w:type="dxa"/>
          </w:tcPr>
          <w:p>
            <w:pPr>
              <w:pStyle w:val="nTable"/>
              <w:spacing w:after="40"/>
              <w:rPr>
                <w:sz w:val="19"/>
              </w:rPr>
            </w:pPr>
            <w:r>
              <w:rPr>
                <w:sz w:val="19"/>
              </w:rPr>
              <w:t>48 of 1989</w:t>
            </w:r>
          </w:p>
        </w:tc>
        <w:tc>
          <w:tcPr>
            <w:tcW w:w="1130" w:type="dxa"/>
          </w:tcPr>
          <w:p>
            <w:pPr>
              <w:pStyle w:val="nTable"/>
              <w:spacing w:after="40"/>
              <w:rPr>
                <w:sz w:val="19"/>
              </w:rPr>
            </w:pPr>
            <w:r>
              <w:rPr>
                <w:sz w:val="19"/>
              </w:rPr>
              <w:t>9 Jan 1990</w:t>
            </w:r>
          </w:p>
        </w:tc>
        <w:tc>
          <w:tcPr>
            <w:tcW w:w="2540" w:type="dxa"/>
          </w:tcPr>
          <w:p>
            <w:pPr>
              <w:pStyle w:val="nTable"/>
              <w:spacing w:after="40"/>
              <w:rPr>
                <w:sz w:val="19"/>
              </w:rPr>
            </w:pPr>
            <w:r>
              <w:rPr>
                <w:sz w:val="19"/>
              </w:rPr>
              <w:t>1 Jan 1990 (see s. 2)</w:t>
            </w:r>
          </w:p>
        </w:tc>
      </w:tr>
      <w:tr>
        <w:trPr>
          <w:gridBefore w:val="1"/>
          <w:gridAfter w:val="1"/>
          <w:wBefore w:w="6" w:type="dxa"/>
          <w:wAfter w:w="16" w:type="dxa"/>
          <w:cantSplit/>
        </w:trPr>
        <w:tc>
          <w:tcPr>
            <w:tcW w:w="2262" w:type="dxa"/>
          </w:tcPr>
          <w:p>
            <w:pPr>
              <w:pStyle w:val="nTable"/>
              <w:spacing w:after="40"/>
              <w:ind w:right="113"/>
              <w:rPr>
                <w:sz w:val="19"/>
              </w:rPr>
            </w:pPr>
            <w:r>
              <w:rPr>
                <w:i/>
                <w:sz w:val="19"/>
              </w:rPr>
              <w:t>Guardianship and Administration Act 1990</w:t>
            </w:r>
            <w:r>
              <w:rPr>
                <w:sz w:val="19"/>
              </w:rPr>
              <w:t xml:space="preserve"> s. 123</w:t>
            </w:r>
          </w:p>
        </w:tc>
        <w:tc>
          <w:tcPr>
            <w:tcW w:w="1133" w:type="dxa"/>
          </w:tcPr>
          <w:p>
            <w:pPr>
              <w:pStyle w:val="nTable"/>
              <w:spacing w:after="40"/>
              <w:rPr>
                <w:sz w:val="19"/>
              </w:rPr>
            </w:pPr>
            <w:r>
              <w:rPr>
                <w:sz w:val="19"/>
              </w:rPr>
              <w:t>24 of 1990</w:t>
            </w:r>
          </w:p>
        </w:tc>
        <w:tc>
          <w:tcPr>
            <w:tcW w:w="1130" w:type="dxa"/>
          </w:tcPr>
          <w:p>
            <w:pPr>
              <w:pStyle w:val="nTable"/>
              <w:spacing w:after="40"/>
              <w:rPr>
                <w:sz w:val="19"/>
              </w:rPr>
            </w:pPr>
            <w:r>
              <w:rPr>
                <w:sz w:val="19"/>
              </w:rPr>
              <w:t>7 Sep 1990</w:t>
            </w:r>
          </w:p>
        </w:tc>
        <w:tc>
          <w:tcPr>
            <w:tcW w:w="2540"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(Financial Administration and Audit) Act 1991</w:t>
            </w:r>
            <w:r>
              <w:rPr>
                <w:sz w:val="19"/>
              </w:rPr>
              <w:t xml:space="preserve"> Pt. 2</w:t>
            </w:r>
          </w:p>
        </w:tc>
        <w:tc>
          <w:tcPr>
            <w:tcW w:w="1133" w:type="dxa"/>
          </w:tcPr>
          <w:p>
            <w:pPr>
              <w:pStyle w:val="nTable"/>
              <w:spacing w:after="40"/>
              <w:rPr>
                <w:sz w:val="19"/>
              </w:rPr>
            </w:pPr>
            <w:r>
              <w:rPr>
                <w:sz w:val="19"/>
              </w:rPr>
              <w:t>32 of 1991</w:t>
            </w:r>
          </w:p>
        </w:tc>
        <w:tc>
          <w:tcPr>
            <w:tcW w:w="1130" w:type="dxa"/>
          </w:tcPr>
          <w:p>
            <w:pPr>
              <w:pStyle w:val="nTable"/>
              <w:spacing w:after="40"/>
              <w:rPr>
                <w:sz w:val="19"/>
              </w:rPr>
            </w:pPr>
            <w:r>
              <w:rPr>
                <w:sz w:val="19"/>
              </w:rPr>
              <w:t>4 Dec 1991</w:t>
            </w:r>
          </w:p>
        </w:tc>
        <w:tc>
          <w:tcPr>
            <w:tcW w:w="2540" w:type="dxa"/>
          </w:tcPr>
          <w:p>
            <w:pPr>
              <w:pStyle w:val="nTable"/>
              <w:spacing w:after="40"/>
              <w:rPr>
                <w:sz w:val="19"/>
              </w:rPr>
            </w:pPr>
            <w:r>
              <w:rPr>
                <w:sz w:val="19"/>
              </w:rPr>
              <w:t>1 Jan 1992</w:t>
            </w:r>
          </w:p>
        </w:tc>
      </w:tr>
      <w:tr>
        <w:trPr>
          <w:gridBefore w:val="1"/>
          <w:gridAfter w:val="1"/>
          <w:wBefore w:w="6" w:type="dxa"/>
          <w:wAfter w:w="16" w:type="dxa"/>
          <w:cantSplit/>
        </w:trPr>
        <w:tc>
          <w:tcPr>
            <w:tcW w:w="2262" w:type="dxa"/>
          </w:tcPr>
          <w:p>
            <w:pPr>
              <w:pStyle w:val="nTable"/>
              <w:spacing w:after="40"/>
              <w:ind w:right="113"/>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40" w:type="dxa"/>
          </w:tcPr>
          <w:p>
            <w:pPr>
              <w:pStyle w:val="nTable"/>
              <w:spacing w:after="40"/>
              <w:rPr>
                <w:sz w:val="19"/>
              </w:rPr>
            </w:pPr>
            <w:r>
              <w:rPr>
                <w:sz w:val="19"/>
              </w:rPr>
              <w:t>1 Jul 1993 (see s. 2(1))</w:t>
            </w:r>
          </w:p>
        </w:tc>
      </w:tr>
      <w:tr>
        <w:trPr>
          <w:gridBefore w:val="1"/>
          <w:gridAfter w:val="1"/>
          <w:wBefore w:w="6" w:type="dxa"/>
          <w:wAfter w:w="16" w:type="dxa"/>
          <w:cantSplit/>
        </w:trPr>
        <w:tc>
          <w:tcPr>
            <w:tcW w:w="2262" w:type="dxa"/>
          </w:tcPr>
          <w:p>
            <w:pPr>
              <w:pStyle w:val="nTable"/>
              <w:spacing w:after="40"/>
              <w:ind w:right="113"/>
              <w:rPr>
                <w:sz w:val="19"/>
              </w:rPr>
            </w:pPr>
            <w:r>
              <w:rPr>
                <w:i/>
                <w:sz w:val="19"/>
              </w:rPr>
              <w:t>Voluntary Membership of Student Guilds and Associations Act 1994</w:t>
            </w:r>
            <w:r>
              <w:rPr>
                <w:sz w:val="19"/>
              </w:rPr>
              <w:t xml:space="preserve"> Pt. 3</w:t>
            </w:r>
            <w:r>
              <w:rPr>
                <w:sz w:val="19"/>
                <w:vertAlign w:val="superscript"/>
              </w:rPr>
              <w:t> 11</w:t>
            </w:r>
          </w:p>
        </w:tc>
        <w:tc>
          <w:tcPr>
            <w:tcW w:w="1133" w:type="dxa"/>
          </w:tcPr>
          <w:p>
            <w:pPr>
              <w:pStyle w:val="nTable"/>
              <w:spacing w:after="40"/>
              <w:rPr>
                <w:sz w:val="19"/>
              </w:rPr>
            </w:pPr>
            <w:r>
              <w:rPr>
                <w:sz w:val="19"/>
              </w:rPr>
              <w:t>91 of 1994</w:t>
            </w:r>
          </w:p>
        </w:tc>
        <w:tc>
          <w:tcPr>
            <w:tcW w:w="1130" w:type="dxa"/>
          </w:tcPr>
          <w:p>
            <w:pPr>
              <w:pStyle w:val="nTable"/>
              <w:spacing w:after="40"/>
              <w:rPr>
                <w:sz w:val="19"/>
              </w:rPr>
            </w:pPr>
            <w:r>
              <w:rPr>
                <w:sz w:val="19"/>
              </w:rPr>
              <w:t>5 Jan 1995</w:t>
            </w:r>
          </w:p>
        </w:tc>
        <w:tc>
          <w:tcPr>
            <w:tcW w:w="2540" w:type="dxa"/>
          </w:tcPr>
          <w:p>
            <w:pPr>
              <w:pStyle w:val="nTable"/>
              <w:spacing w:after="40"/>
              <w:rPr>
                <w:sz w:val="19"/>
              </w:rPr>
            </w:pPr>
            <w:r>
              <w:rPr>
                <w:sz w:val="19"/>
              </w:rPr>
              <w:t>5 Jan 1995 (see s. 2)</w:t>
            </w:r>
          </w:p>
        </w:tc>
      </w:tr>
      <w:tr>
        <w:trPr>
          <w:gridBefore w:val="1"/>
          <w:gridAfter w:val="1"/>
          <w:wBefore w:w="6" w:type="dxa"/>
          <w:wAfter w:w="16" w:type="dxa"/>
          <w:cantSplit/>
        </w:trPr>
        <w:tc>
          <w:tcPr>
            <w:tcW w:w="2262" w:type="dxa"/>
          </w:tcPr>
          <w:p>
            <w:pPr>
              <w:pStyle w:val="nTable"/>
              <w:spacing w:after="40"/>
              <w:ind w:right="113"/>
              <w:rPr>
                <w:sz w:val="19"/>
              </w:rPr>
            </w:pPr>
            <w:r>
              <w:rPr>
                <w:i/>
                <w:sz w:val="19"/>
              </w:rPr>
              <w:t>Sentencing (Consequential Provisions) Act 1995</w:t>
            </w:r>
            <w:r>
              <w:rPr>
                <w:sz w:val="19"/>
              </w:rPr>
              <w:t xml:space="preserve"> Pt. 22</w:t>
            </w:r>
          </w:p>
        </w:tc>
        <w:tc>
          <w:tcPr>
            <w:tcW w:w="1133" w:type="dxa"/>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4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6" w:type="dxa"/>
          <w:wAfter w:w="16" w:type="dxa"/>
          <w:cantSplit/>
        </w:trPr>
        <w:tc>
          <w:tcPr>
            <w:tcW w:w="2262" w:type="dxa"/>
          </w:tcPr>
          <w:p>
            <w:pPr>
              <w:pStyle w:val="nTable"/>
              <w:spacing w:after="40"/>
              <w:ind w:right="113"/>
              <w:rPr>
                <w:sz w:val="19"/>
              </w:rPr>
            </w:pPr>
            <w:r>
              <w:rPr>
                <w:i/>
                <w:sz w:val="19"/>
              </w:rPr>
              <w:t>Education Amendment Act 1996</w:t>
            </w:r>
            <w:r>
              <w:rPr>
                <w:sz w:val="19"/>
              </w:rPr>
              <w:t xml:space="preserve"> s. 16(3)</w:t>
            </w:r>
          </w:p>
        </w:tc>
        <w:tc>
          <w:tcPr>
            <w:tcW w:w="1133" w:type="dxa"/>
          </w:tcPr>
          <w:p>
            <w:pPr>
              <w:pStyle w:val="nTable"/>
              <w:spacing w:after="40"/>
              <w:rPr>
                <w:sz w:val="19"/>
              </w:rPr>
            </w:pPr>
            <w:r>
              <w:rPr>
                <w:sz w:val="19"/>
              </w:rPr>
              <w:t>22 of 1996</w:t>
            </w:r>
          </w:p>
        </w:tc>
        <w:tc>
          <w:tcPr>
            <w:tcW w:w="1130" w:type="dxa"/>
          </w:tcPr>
          <w:p>
            <w:pPr>
              <w:pStyle w:val="nTable"/>
              <w:spacing w:after="40"/>
              <w:rPr>
                <w:sz w:val="19"/>
              </w:rPr>
            </w:pPr>
            <w:r>
              <w:rPr>
                <w:sz w:val="19"/>
              </w:rPr>
              <w:t>11 Jul 1996</w:t>
            </w:r>
          </w:p>
        </w:tc>
        <w:tc>
          <w:tcPr>
            <w:tcW w:w="2540" w:type="dxa"/>
          </w:tcPr>
          <w:p>
            <w:pPr>
              <w:pStyle w:val="nTable"/>
              <w:spacing w:after="40"/>
              <w:rPr>
                <w:sz w:val="19"/>
              </w:rPr>
            </w:pPr>
            <w:r>
              <w:rPr>
                <w:sz w:val="19"/>
              </w:rPr>
              <w:t>11 Jul 1996 (see s. 2(1))</w:t>
            </w:r>
          </w:p>
        </w:tc>
      </w:tr>
      <w:tr>
        <w:trPr>
          <w:gridBefore w:val="1"/>
          <w:gridAfter w:val="1"/>
          <w:wBefore w:w="6" w:type="dxa"/>
          <w:wAfter w:w="16" w:type="dxa"/>
          <w:cantSplit/>
        </w:trPr>
        <w:tc>
          <w:tcPr>
            <w:tcW w:w="2262" w:type="dxa"/>
          </w:tcPr>
          <w:p>
            <w:pPr>
              <w:pStyle w:val="nTable"/>
              <w:spacing w:after="40"/>
              <w:ind w:right="113"/>
              <w:rPr>
                <w:iCs/>
                <w:sz w:val="19"/>
              </w:rPr>
            </w:pPr>
            <w:r>
              <w:rPr>
                <w:i/>
                <w:sz w:val="19"/>
              </w:rPr>
              <w:t>Curtin University of Technology Amendment Act 1996 </w:t>
            </w:r>
            <w:r>
              <w:rPr>
                <w:iCs/>
                <w:sz w:val="19"/>
                <w:vertAlign w:val="superscript"/>
              </w:rPr>
              <w:t>12</w:t>
            </w:r>
          </w:p>
        </w:tc>
        <w:tc>
          <w:tcPr>
            <w:tcW w:w="1133" w:type="dxa"/>
          </w:tcPr>
          <w:p>
            <w:pPr>
              <w:pStyle w:val="nTable"/>
              <w:spacing w:after="40"/>
              <w:rPr>
                <w:sz w:val="19"/>
              </w:rPr>
            </w:pPr>
            <w:r>
              <w:rPr>
                <w:sz w:val="19"/>
              </w:rPr>
              <w:t>35 of 1996</w:t>
            </w:r>
          </w:p>
        </w:tc>
        <w:tc>
          <w:tcPr>
            <w:tcW w:w="1130" w:type="dxa"/>
          </w:tcPr>
          <w:p>
            <w:pPr>
              <w:pStyle w:val="nTable"/>
              <w:spacing w:after="40"/>
              <w:rPr>
                <w:sz w:val="19"/>
              </w:rPr>
            </w:pPr>
            <w:r>
              <w:rPr>
                <w:sz w:val="19"/>
              </w:rPr>
              <w:t>27 Sep 1996</w:t>
            </w:r>
          </w:p>
        </w:tc>
        <w:tc>
          <w:tcPr>
            <w:tcW w:w="2540" w:type="dxa"/>
          </w:tcPr>
          <w:p>
            <w:pPr>
              <w:pStyle w:val="nTable"/>
              <w:spacing w:after="40"/>
              <w:rPr>
                <w:sz w:val="19"/>
              </w:rPr>
            </w:pPr>
            <w:r>
              <w:rPr>
                <w:sz w:val="19"/>
              </w:rPr>
              <w:t>Act other than Pt 2: 27 Sep 1996 (see s. 2(1));</w:t>
            </w:r>
            <w:r>
              <w:rPr>
                <w:sz w:val="19"/>
              </w:rPr>
              <w:br/>
              <w:t xml:space="preserve">Pt. 2: 13 Nov 1996 (see s. 2(2) and </w:t>
            </w:r>
            <w:r>
              <w:rPr>
                <w:i/>
                <w:sz w:val="19"/>
              </w:rPr>
              <w:t>Gazette</w:t>
            </w:r>
            <w:r>
              <w:rPr>
                <w:sz w:val="19"/>
              </w:rPr>
              <w:t xml:space="preserve"> 12 Nov 1996 p. 6301) </w:t>
            </w:r>
          </w:p>
        </w:tc>
      </w:tr>
      <w:tr>
        <w:trPr>
          <w:gridBefore w:val="1"/>
          <w:gridAfter w:val="1"/>
          <w:wBefore w:w="6" w:type="dxa"/>
          <w:wAfter w:w="16" w:type="dxa"/>
          <w:cantSplit/>
        </w:trPr>
        <w:tc>
          <w:tcPr>
            <w:tcW w:w="2262" w:type="dxa"/>
          </w:tcPr>
          <w:p>
            <w:pPr>
              <w:pStyle w:val="nTable"/>
              <w:spacing w:after="40"/>
              <w:ind w:right="113"/>
              <w:rPr>
                <w:sz w:val="19"/>
              </w:rPr>
            </w:pPr>
            <w:r>
              <w:rPr>
                <w:i/>
                <w:sz w:val="19"/>
              </w:rPr>
              <w:t>Financial Legislation Amendment Act 1996</w:t>
            </w:r>
            <w:r>
              <w:rPr>
                <w:sz w:val="19"/>
              </w:rPr>
              <w:t xml:space="preserve"> s. 52 and 64</w:t>
            </w:r>
          </w:p>
        </w:tc>
        <w:tc>
          <w:tcPr>
            <w:tcW w:w="1133"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40" w:type="dxa"/>
          </w:tcPr>
          <w:p>
            <w:pPr>
              <w:pStyle w:val="nTable"/>
              <w:spacing w:after="40"/>
              <w:rPr>
                <w:sz w:val="19"/>
              </w:rPr>
            </w:pPr>
            <w:r>
              <w:rPr>
                <w:sz w:val="19"/>
              </w:rPr>
              <w:t>25 Oct 1996 (see s. 2(1))</w:t>
            </w:r>
          </w:p>
        </w:tc>
      </w:tr>
      <w:tr>
        <w:trPr>
          <w:gridBefore w:val="1"/>
          <w:gridAfter w:val="1"/>
          <w:wBefore w:w="6" w:type="dxa"/>
          <w:wAfter w:w="16" w:type="dxa"/>
          <w:cantSplit/>
        </w:trPr>
        <w:tc>
          <w:tcPr>
            <w:tcW w:w="2262" w:type="dxa"/>
          </w:tcPr>
          <w:p>
            <w:pPr>
              <w:pStyle w:val="nTable"/>
              <w:spacing w:after="40"/>
              <w:ind w:right="113"/>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0" w:type="dxa"/>
          </w:tcPr>
          <w:p>
            <w:pPr>
              <w:pStyle w:val="nTable"/>
              <w:spacing w:after="40"/>
              <w:rPr>
                <w:sz w:val="19"/>
              </w:rPr>
            </w:pPr>
            <w:r>
              <w:rPr>
                <w:sz w:val="19"/>
              </w:rPr>
              <w:t>6 May 1997</w:t>
            </w:r>
          </w:p>
        </w:tc>
        <w:tc>
          <w:tcPr>
            <w:tcW w:w="2540"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(Land Administration) Act 1997</w:t>
            </w:r>
            <w:r>
              <w:rPr>
                <w:sz w:val="19"/>
              </w:rPr>
              <w:t xml:space="preserve"> Pt. 20</w:t>
            </w:r>
          </w:p>
        </w:tc>
        <w:tc>
          <w:tcPr>
            <w:tcW w:w="1133" w:type="dxa"/>
          </w:tcPr>
          <w:p>
            <w:pPr>
              <w:pStyle w:val="nTable"/>
              <w:spacing w:after="40"/>
              <w:rPr>
                <w:sz w:val="19"/>
              </w:rPr>
            </w:pPr>
            <w:r>
              <w:rPr>
                <w:sz w:val="19"/>
              </w:rPr>
              <w:t>31 of 1997</w:t>
            </w:r>
          </w:p>
        </w:tc>
        <w:tc>
          <w:tcPr>
            <w:tcW w:w="1130" w:type="dxa"/>
          </w:tcPr>
          <w:p>
            <w:pPr>
              <w:pStyle w:val="nTable"/>
              <w:spacing w:after="40"/>
              <w:rPr>
                <w:sz w:val="19"/>
              </w:rPr>
            </w:pPr>
            <w:r>
              <w:rPr>
                <w:sz w:val="19"/>
              </w:rPr>
              <w:t>3 Oct 1997</w:t>
            </w:r>
          </w:p>
        </w:tc>
        <w:tc>
          <w:tcPr>
            <w:tcW w:w="254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gridAfter w:val="1"/>
          <w:wBefore w:w="6" w:type="dxa"/>
          <w:wAfter w:w="16" w:type="dxa"/>
          <w:cantSplit/>
        </w:trPr>
        <w:tc>
          <w:tcPr>
            <w:tcW w:w="2262" w:type="dxa"/>
          </w:tcPr>
          <w:p>
            <w:pPr>
              <w:pStyle w:val="nTable"/>
              <w:spacing w:after="40"/>
              <w:ind w:right="113"/>
              <w:rPr>
                <w:i/>
                <w:sz w:val="19"/>
              </w:rPr>
            </w:pPr>
            <w:r>
              <w:rPr>
                <w:i/>
                <w:sz w:val="19"/>
              </w:rPr>
              <w:t>Curtin University of Technology Amendment Act 1998</w:t>
            </w:r>
          </w:p>
        </w:tc>
        <w:tc>
          <w:tcPr>
            <w:tcW w:w="1133" w:type="dxa"/>
          </w:tcPr>
          <w:p>
            <w:pPr>
              <w:pStyle w:val="nTable"/>
              <w:spacing w:after="40"/>
              <w:rPr>
                <w:sz w:val="19"/>
              </w:rPr>
            </w:pPr>
            <w:r>
              <w:rPr>
                <w:sz w:val="19"/>
              </w:rPr>
              <w:t>43 of 1998</w:t>
            </w:r>
          </w:p>
        </w:tc>
        <w:tc>
          <w:tcPr>
            <w:tcW w:w="1130" w:type="dxa"/>
          </w:tcPr>
          <w:p>
            <w:pPr>
              <w:pStyle w:val="nTable"/>
              <w:spacing w:after="40"/>
              <w:rPr>
                <w:sz w:val="19"/>
              </w:rPr>
            </w:pPr>
            <w:r>
              <w:rPr>
                <w:sz w:val="19"/>
              </w:rPr>
              <w:t>5 Nov 1998</w:t>
            </w:r>
          </w:p>
        </w:tc>
        <w:tc>
          <w:tcPr>
            <w:tcW w:w="2540" w:type="dxa"/>
          </w:tcPr>
          <w:p>
            <w:pPr>
              <w:pStyle w:val="nTable"/>
              <w:spacing w:after="40"/>
              <w:rPr>
                <w:sz w:val="19"/>
              </w:rPr>
            </w:pPr>
            <w:r>
              <w:rPr>
                <w:sz w:val="19"/>
              </w:rPr>
              <w:t>5 Nov 1998 (see s. 2)</w:t>
            </w:r>
          </w:p>
        </w:tc>
      </w:tr>
      <w:tr>
        <w:trPr>
          <w:gridBefore w:val="1"/>
          <w:gridAfter w:val="1"/>
          <w:wBefore w:w="6" w:type="dxa"/>
          <w:wAfter w:w="16" w:type="dxa"/>
          <w:cantSplit/>
        </w:trPr>
        <w:tc>
          <w:tcPr>
            <w:tcW w:w="7065" w:type="dxa"/>
            <w:gridSpan w:val="4"/>
          </w:tcPr>
          <w:p>
            <w:pPr>
              <w:pStyle w:val="nTable"/>
              <w:spacing w:after="40"/>
              <w:rPr>
                <w:sz w:val="19"/>
              </w:rPr>
            </w:pPr>
            <w:r>
              <w:rPr>
                <w:b/>
                <w:bCs/>
                <w:iCs/>
                <w:sz w:val="19"/>
              </w:rPr>
              <w:t>Reprint of the</w:t>
            </w:r>
            <w:r>
              <w:rPr>
                <w:b/>
                <w:bCs/>
                <w:i/>
                <w:sz w:val="19"/>
              </w:rPr>
              <w:t xml:space="preserve"> Curtin University of Technology Act 1966</w:t>
            </w:r>
            <w:r>
              <w:rPr>
                <w:b/>
                <w:bCs/>
                <w:iCs/>
                <w:sz w:val="19"/>
              </w:rPr>
              <w:t> as at 28 Jul 1999</w:t>
            </w:r>
            <w:r>
              <w:rPr>
                <w:iCs/>
                <w:sz w:val="19"/>
              </w:rPr>
              <w:t xml:space="preserve"> (includes amendments listed above)</w:t>
            </w:r>
          </w:p>
        </w:tc>
      </w:tr>
      <w:tr>
        <w:trPr>
          <w:gridBefore w:val="1"/>
          <w:gridAfter w:val="1"/>
          <w:wBefore w:w="6" w:type="dxa"/>
          <w:wAfter w:w="16" w:type="dxa"/>
          <w:cantSplit/>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0" w:type="dxa"/>
          </w:tcPr>
          <w:p>
            <w:pPr>
              <w:pStyle w:val="nTable"/>
              <w:spacing w:after="40"/>
              <w:rPr>
                <w:sz w:val="19"/>
              </w:rPr>
            </w:pPr>
            <w:r>
              <w:rPr>
                <w:sz w:val="19"/>
              </w:rPr>
              <w:t>2 Nov 1999</w:t>
            </w:r>
          </w:p>
        </w:tc>
        <w:tc>
          <w:tcPr>
            <w:tcW w:w="254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(Student Guilds and Associations) Act 2002</w:t>
            </w:r>
            <w:r>
              <w:rPr>
                <w:sz w:val="19"/>
              </w:rPr>
              <w:t xml:space="preserve"> Pt. 2</w:t>
            </w:r>
          </w:p>
        </w:tc>
        <w:tc>
          <w:tcPr>
            <w:tcW w:w="1133" w:type="dxa"/>
          </w:tcPr>
          <w:p>
            <w:pPr>
              <w:pStyle w:val="nTable"/>
              <w:spacing w:after="40"/>
              <w:rPr>
                <w:sz w:val="19"/>
              </w:rPr>
            </w:pPr>
            <w:r>
              <w:rPr>
                <w:sz w:val="19"/>
              </w:rPr>
              <w:t>44 of 2002</w:t>
            </w:r>
          </w:p>
        </w:tc>
        <w:tc>
          <w:tcPr>
            <w:tcW w:w="1130" w:type="dxa"/>
          </w:tcPr>
          <w:p>
            <w:pPr>
              <w:pStyle w:val="nTable"/>
              <w:spacing w:after="40"/>
              <w:rPr>
                <w:sz w:val="19"/>
              </w:rPr>
            </w:pPr>
            <w:r>
              <w:rPr>
                <w:sz w:val="19"/>
              </w:rPr>
              <w:t>3 Jan 2003</w:t>
            </w:r>
          </w:p>
        </w:tc>
        <w:tc>
          <w:tcPr>
            <w:tcW w:w="2540" w:type="dxa"/>
          </w:tcPr>
          <w:p>
            <w:pPr>
              <w:pStyle w:val="nTable"/>
              <w:spacing w:after="40"/>
              <w:rPr>
                <w:i/>
                <w:sz w:val="19"/>
              </w:rPr>
            </w:pPr>
            <w:r>
              <w:rPr>
                <w:sz w:val="19"/>
              </w:rPr>
              <w:t xml:space="preserve">25 Jan 2003 (see s. 2 and </w:t>
            </w:r>
            <w:r>
              <w:rPr>
                <w:i/>
                <w:sz w:val="19"/>
              </w:rPr>
              <w:t xml:space="preserve">Gazette </w:t>
            </w:r>
            <w:r>
              <w:rPr>
                <w:sz w:val="19"/>
              </w:rPr>
              <w:t>24 Jan 2003 p. 141)</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(Equality of Status) Act 2003</w:t>
            </w:r>
            <w:r>
              <w:rPr>
                <w:sz w:val="19"/>
              </w:rPr>
              <w:t xml:space="preserve"> Pt. 16</w:t>
            </w:r>
          </w:p>
        </w:tc>
        <w:tc>
          <w:tcPr>
            <w:tcW w:w="1133" w:type="dxa"/>
          </w:tcPr>
          <w:p>
            <w:pPr>
              <w:pStyle w:val="nTable"/>
              <w:spacing w:after="40"/>
              <w:rPr>
                <w:sz w:val="19"/>
              </w:rPr>
            </w:pPr>
            <w:r>
              <w:rPr>
                <w:sz w:val="19"/>
              </w:rPr>
              <w:t>28 of 2003</w:t>
            </w:r>
          </w:p>
        </w:tc>
        <w:tc>
          <w:tcPr>
            <w:tcW w:w="1130" w:type="dxa"/>
          </w:tcPr>
          <w:p>
            <w:pPr>
              <w:pStyle w:val="nTable"/>
              <w:spacing w:after="40"/>
              <w:rPr>
                <w:sz w:val="19"/>
              </w:rPr>
            </w:pPr>
            <w:r>
              <w:rPr>
                <w:sz w:val="19"/>
              </w:rPr>
              <w:t>22 May 2003</w:t>
            </w:r>
          </w:p>
        </w:tc>
        <w:tc>
          <w:tcPr>
            <w:tcW w:w="254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6" w:type="dxa"/>
          <w:wAfter w:w="16" w:type="dxa"/>
          <w:cantSplit/>
        </w:trPr>
        <w:tc>
          <w:tcPr>
            <w:tcW w:w="2262" w:type="dxa"/>
          </w:tcPr>
          <w:p>
            <w:pPr>
              <w:pStyle w:val="nTable"/>
              <w:spacing w:after="40"/>
              <w:ind w:right="113"/>
              <w:rPr>
                <w:i/>
                <w:sz w:val="19"/>
              </w:rPr>
            </w:pPr>
            <w:r>
              <w:rPr>
                <w:i/>
                <w:iCs/>
                <w:snapToGrid w:val="0"/>
                <w:sz w:val="19"/>
              </w:rPr>
              <w:t>Criminal Procedure and Appeals (Consequential and Other Provisions) Act 2004</w:t>
            </w:r>
            <w:r>
              <w:rPr>
                <w:snapToGrid w:val="0"/>
                <w:sz w:val="19"/>
              </w:rPr>
              <w:t xml:space="preserve"> s. 80</w:t>
            </w:r>
          </w:p>
        </w:tc>
        <w:tc>
          <w:tcPr>
            <w:tcW w:w="1133" w:type="dxa"/>
          </w:tcPr>
          <w:p>
            <w:pPr>
              <w:pStyle w:val="nTable"/>
              <w:spacing w:after="40"/>
              <w:rPr>
                <w:sz w:val="19"/>
              </w:rPr>
            </w:pPr>
            <w:r>
              <w:rPr>
                <w:snapToGrid w:val="0"/>
                <w:sz w:val="19"/>
              </w:rPr>
              <w:t>84 of 2004</w:t>
            </w:r>
          </w:p>
        </w:tc>
        <w:tc>
          <w:tcPr>
            <w:tcW w:w="1130" w:type="dxa"/>
          </w:tcPr>
          <w:p>
            <w:pPr>
              <w:pStyle w:val="nTable"/>
              <w:spacing w:after="40"/>
              <w:rPr>
                <w:sz w:val="19"/>
              </w:rPr>
            </w:pPr>
            <w:r>
              <w:rPr>
                <w:sz w:val="19"/>
              </w:rPr>
              <w:t>16 Dec 2004</w:t>
            </w:r>
          </w:p>
        </w:tc>
        <w:tc>
          <w:tcPr>
            <w:tcW w:w="2540" w:type="dxa"/>
          </w:tcPr>
          <w:p>
            <w:pPr>
              <w:pStyle w:val="nTable"/>
              <w:spacing w:after="40"/>
              <w:rPr>
                <w:b/>
                <w:bCs/>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gridBefore w:val="1"/>
          <w:gridAfter w:val="1"/>
          <w:wBefore w:w="6" w:type="dxa"/>
          <w:wAfter w:w="16" w:type="dxa"/>
          <w:cantSplit/>
        </w:trPr>
        <w:tc>
          <w:tcPr>
            <w:tcW w:w="2262" w:type="dxa"/>
          </w:tcPr>
          <w:p>
            <w:pPr>
              <w:pStyle w:val="nTable"/>
              <w:spacing w:after="40"/>
              <w:ind w:right="113"/>
              <w:rPr>
                <w:i/>
                <w:iCs/>
                <w:snapToGrid w:val="0"/>
                <w:sz w:val="19"/>
              </w:rPr>
            </w:pPr>
            <w:r>
              <w:rPr>
                <w:i/>
                <w:snapToGrid w:val="0"/>
                <w:sz w:val="19"/>
              </w:rPr>
              <w:t xml:space="preserve">Universities Legislation Amendment Act 2005 </w:t>
            </w:r>
            <w:r>
              <w:rPr>
                <w:iCs/>
                <w:snapToGrid w:val="0"/>
                <w:sz w:val="19"/>
              </w:rPr>
              <w:t>Pt. 2 </w:t>
            </w:r>
            <w:r>
              <w:rPr>
                <w:iCs/>
                <w:snapToGrid w:val="0"/>
                <w:sz w:val="19"/>
                <w:vertAlign w:val="superscript"/>
              </w:rPr>
              <w:t>13</w:t>
            </w:r>
          </w:p>
        </w:tc>
        <w:tc>
          <w:tcPr>
            <w:tcW w:w="1133" w:type="dxa"/>
          </w:tcPr>
          <w:p>
            <w:pPr>
              <w:pStyle w:val="nTable"/>
              <w:spacing w:after="40"/>
              <w:rPr>
                <w:snapToGrid w:val="0"/>
                <w:sz w:val="19"/>
              </w:rPr>
            </w:pPr>
            <w:r>
              <w:rPr>
                <w:iCs/>
                <w:snapToGrid w:val="0"/>
                <w:sz w:val="19"/>
              </w:rPr>
              <w:t>8 of 2005</w:t>
            </w:r>
          </w:p>
        </w:tc>
        <w:tc>
          <w:tcPr>
            <w:tcW w:w="1130" w:type="dxa"/>
          </w:tcPr>
          <w:p>
            <w:pPr>
              <w:pStyle w:val="nTable"/>
              <w:spacing w:after="40"/>
              <w:rPr>
                <w:sz w:val="19"/>
              </w:rPr>
            </w:pPr>
            <w:r>
              <w:rPr>
                <w:iCs/>
                <w:snapToGrid w:val="0"/>
                <w:sz w:val="19"/>
              </w:rPr>
              <w:t>7 Jul 2005</w:t>
            </w:r>
          </w:p>
        </w:tc>
        <w:tc>
          <w:tcPr>
            <w:tcW w:w="2540" w:type="dxa"/>
          </w:tcPr>
          <w:p>
            <w:pPr>
              <w:pStyle w:val="nTable"/>
              <w:spacing w:after="40"/>
              <w:rPr>
                <w:snapToGrid w:val="0"/>
                <w:sz w:val="19"/>
              </w:rPr>
            </w:pPr>
            <w:r>
              <w:rPr>
                <w:snapToGrid w:val="0"/>
                <w:sz w:val="19"/>
              </w:rPr>
              <w:t xml:space="preserve">13 Aug 2005 (see s. 2 and </w:t>
            </w:r>
            <w:r>
              <w:rPr>
                <w:i/>
                <w:iCs/>
                <w:snapToGrid w:val="0"/>
                <w:sz w:val="19"/>
              </w:rPr>
              <w:t xml:space="preserve">Gazette </w:t>
            </w:r>
            <w:r>
              <w:rPr>
                <w:snapToGrid w:val="0"/>
                <w:sz w:val="19"/>
              </w:rPr>
              <w:t>12 Aug 2005 p. 3651)</w:t>
            </w:r>
          </w:p>
        </w:tc>
      </w:tr>
      <w:tr>
        <w:trPr>
          <w:gridBefore w:val="1"/>
          <w:gridAfter w:val="1"/>
          <w:wBefore w:w="6" w:type="dxa"/>
          <w:wAfter w:w="16" w:type="dxa"/>
          <w:cantSplit/>
        </w:trPr>
        <w:tc>
          <w:tcPr>
            <w:tcW w:w="7065" w:type="dxa"/>
            <w:gridSpan w:val="4"/>
          </w:tcPr>
          <w:p>
            <w:pPr>
              <w:pStyle w:val="nTable"/>
              <w:spacing w:after="40"/>
              <w:rPr>
                <w:snapToGrid w:val="0"/>
                <w:sz w:val="19"/>
              </w:rPr>
            </w:pPr>
            <w:r>
              <w:rPr>
                <w:b/>
                <w:bCs/>
                <w:iCs/>
                <w:sz w:val="19"/>
              </w:rPr>
              <w:t>Reprint 4: The</w:t>
            </w:r>
            <w:r>
              <w:rPr>
                <w:b/>
                <w:bCs/>
                <w:i/>
                <w:sz w:val="19"/>
              </w:rPr>
              <w:t xml:space="preserve"> Curtin University of Technology Act 1966</w:t>
            </w:r>
            <w:r>
              <w:rPr>
                <w:b/>
                <w:bCs/>
                <w:iCs/>
                <w:sz w:val="19"/>
              </w:rPr>
              <w:t> as at 14 Oct 2005</w:t>
            </w:r>
            <w:r>
              <w:rPr>
                <w:iCs/>
                <w:sz w:val="19"/>
              </w:rPr>
              <w:t xml:space="preserve"> (includes amendments listed above)</w:t>
            </w:r>
          </w:p>
        </w:tc>
      </w:tr>
      <w:tr>
        <w:trPr>
          <w:gridBefore w:val="1"/>
          <w:gridAfter w:val="1"/>
          <w:wBefore w:w="6" w:type="dxa"/>
          <w:wAfter w:w="16" w:type="dxa"/>
          <w:cantSplit/>
        </w:trPr>
        <w:tc>
          <w:tcPr>
            <w:tcW w:w="2262" w:type="dxa"/>
          </w:tcPr>
          <w:p>
            <w:pPr>
              <w:pStyle w:val="nTable"/>
              <w:spacing w:after="40"/>
              <w:ind w:right="113"/>
              <w:rPr>
                <w:i/>
                <w:iCs/>
                <w:snapToGrid w:val="0"/>
                <w:sz w:val="19"/>
              </w:rPr>
            </w:pPr>
            <w:r>
              <w:rPr>
                <w:i/>
                <w:snapToGrid w:val="0"/>
                <w:sz w:val="19"/>
              </w:rPr>
              <w:t xml:space="preserve">Financial Legislation Amendment and Repeal Act 2006 </w:t>
            </w:r>
            <w:r>
              <w:rPr>
                <w:iCs/>
                <w:snapToGrid w:val="0"/>
                <w:sz w:val="19"/>
              </w:rPr>
              <w:t>s. 4 and 17</w:t>
            </w:r>
          </w:p>
        </w:tc>
        <w:tc>
          <w:tcPr>
            <w:tcW w:w="1133" w:type="dxa"/>
          </w:tcPr>
          <w:p>
            <w:pPr>
              <w:pStyle w:val="nTable"/>
              <w:spacing w:after="40"/>
              <w:rPr>
                <w:snapToGrid w:val="0"/>
                <w:sz w:val="19"/>
              </w:rPr>
            </w:pPr>
            <w:r>
              <w:rPr>
                <w:snapToGrid w:val="0"/>
                <w:sz w:val="19"/>
              </w:rPr>
              <w:t xml:space="preserve">77 of 2006 </w:t>
            </w:r>
          </w:p>
        </w:tc>
        <w:tc>
          <w:tcPr>
            <w:tcW w:w="1130" w:type="dxa"/>
          </w:tcPr>
          <w:p>
            <w:pPr>
              <w:pStyle w:val="nTable"/>
              <w:spacing w:after="40"/>
              <w:rPr>
                <w:sz w:val="19"/>
              </w:rPr>
            </w:pPr>
            <w:r>
              <w:rPr>
                <w:snapToGrid w:val="0"/>
                <w:sz w:val="19"/>
              </w:rPr>
              <w:t>21 Dec 2006</w:t>
            </w:r>
          </w:p>
        </w:tc>
        <w:tc>
          <w:tcPr>
            <w:tcW w:w="2540" w:type="dxa"/>
          </w:tcPr>
          <w:p>
            <w:pPr>
              <w:pStyle w:val="nTable"/>
              <w:spacing w:after="40"/>
              <w:rPr>
                <w:snapToGrid w:val="0"/>
                <w:sz w:val="19"/>
              </w:rPr>
            </w:pPr>
            <w:r>
              <w:rPr>
                <w:snapToGrid w:val="0"/>
                <w:sz w:val="19"/>
              </w:rPr>
              <w:t xml:space="preserve">1 Feb 2007 (see s. 2 and </w:t>
            </w:r>
            <w:r>
              <w:rPr>
                <w:i/>
                <w:iCs/>
                <w:snapToGrid w:val="0"/>
                <w:sz w:val="19"/>
              </w:rPr>
              <w:t>Gazette</w:t>
            </w:r>
            <w:r>
              <w:rPr>
                <w:snapToGrid w:val="0"/>
                <w:sz w:val="19"/>
              </w:rPr>
              <w:t xml:space="preserve"> 19 Jan 2007 p. 137)</w:t>
            </w:r>
          </w:p>
        </w:tc>
      </w:tr>
      <w:tr>
        <w:trPr>
          <w:gridBefore w:val="1"/>
          <w:wBefore w:w="6"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28</w:t>
            </w:r>
          </w:p>
        </w:tc>
        <w:tc>
          <w:tcPr>
            <w:tcW w:w="1133" w:type="dxa"/>
          </w:tcPr>
          <w:p>
            <w:pPr>
              <w:pStyle w:val="nTable"/>
              <w:spacing w:after="40"/>
              <w:rPr>
                <w:sz w:val="19"/>
              </w:rPr>
            </w:pPr>
            <w:r>
              <w:rPr>
                <w:sz w:val="19"/>
              </w:rPr>
              <w:t>18 of 2009</w:t>
            </w:r>
          </w:p>
        </w:tc>
        <w:tc>
          <w:tcPr>
            <w:tcW w:w="1130" w:type="dxa"/>
          </w:tcPr>
          <w:p>
            <w:pPr>
              <w:pStyle w:val="nTable"/>
              <w:spacing w:after="40"/>
              <w:rPr>
                <w:sz w:val="19"/>
              </w:rPr>
            </w:pPr>
            <w:r>
              <w:rPr>
                <w:sz w:val="19"/>
              </w:rPr>
              <w:t>16 Sep 2009</w:t>
            </w:r>
          </w:p>
        </w:tc>
        <w:tc>
          <w:tcPr>
            <w:tcW w:w="2556" w:type="dxa"/>
            <w:gridSpan w:val="2"/>
          </w:tcPr>
          <w:p>
            <w:pPr>
              <w:pStyle w:val="nTable"/>
              <w:spacing w:after="40"/>
              <w:rPr>
                <w:sz w:val="19"/>
              </w:rPr>
            </w:pPr>
            <w:r>
              <w:rPr>
                <w:sz w:val="19"/>
              </w:rPr>
              <w:t>17 Sep 2009 (see s. 2(b))</w:t>
            </w:r>
          </w:p>
        </w:tc>
      </w:tr>
      <w:tr>
        <w:trPr>
          <w:cantSplit/>
          <w:ins w:id="783" w:author="svcMRProcess" w:date="2018-08-23T16:37:00Z"/>
        </w:trPr>
        <w:tc>
          <w:tcPr>
            <w:tcW w:w="2268" w:type="dxa"/>
            <w:gridSpan w:val="2"/>
            <w:tcBorders>
              <w:bottom w:val="single" w:sz="4" w:space="0" w:color="auto"/>
            </w:tcBorders>
          </w:tcPr>
          <w:p>
            <w:pPr>
              <w:pStyle w:val="nTable"/>
              <w:spacing w:after="40"/>
              <w:ind w:right="113"/>
              <w:rPr>
                <w:ins w:id="784" w:author="svcMRProcess" w:date="2018-08-23T16:37:00Z"/>
                <w:iCs/>
                <w:snapToGrid w:val="0"/>
                <w:sz w:val="19"/>
              </w:rPr>
            </w:pPr>
            <w:ins w:id="785" w:author="svcMRProcess" w:date="2018-08-23T16:37:00Z">
              <w:r>
                <w:rPr>
                  <w:i/>
                  <w:snapToGrid w:val="0"/>
                  <w:sz w:val="19"/>
                </w:rPr>
                <w:t>Standardisation of Formatting Act 2010</w:t>
              </w:r>
              <w:r>
                <w:rPr>
                  <w:iCs/>
                  <w:snapToGrid w:val="0"/>
                  <w:sz w:val="19"/>
                </w:rPr>
                <w:t xml:space="preserve"> s. 4 and 43(2)</w:t>
              </w:r>
            </w:ins>
          </w:p>
        </w:tc>
        <w:tc>
          <w:tcPr>
            <w:tcW w:w="1133" w:type="dxa"/>
            <w:tcBorders>
              <w:bottom w:val="single" w:sz="4" w:space="0" w:color="auto"/>
            </w:tcBorders>
          </w:tcPr>
          <w:p>
            <w:pPr>
              <w:pStyle w:val="nTable"/>
              <w:spacing w:after="40"/>
              <w:rPr>
                <w:ins w:id="786" w:author="svcMRProcess" w:date="2018-08-23T16:37:00Z"/>
                <w:snapToGrid w:val="0"/>
                <w:sz w:val="19"/>
              </w:rPr>
            </w:pPr>
            <w:ins w:id="787" w:author="svcMRProcess" w:date="2018-08-23T16:37:00Z">
              <w:r>
                <w:rPr>
                  <w:snapToGrid w:val="0"/>
                  <w:sz w:val="19"/>
                </w:rPr>
                <w:t>19 of 2010</w:t>
              </w:r>
            </w:ins>
          </w:p>
        </w:tc>
        <w:tc>
          <w:tcPr>
            <w:tcW w:w="1130" w:type="dxa"/>
            <w:tcBorders>
              <w:bottom w:val="single" w:sz="4" w:space="0" w:color="auto"/>
            </w:tcBorders>
          </w:tcPr>
          <w:p>
            <w:pPr>
              <w:pStyle w:val="nTable"/>
              <w:spacing w:after="40"/>
              <w:rPr>
                <w:ins w:id="788" w:author="svcMRProcess" w:date="2018-08-23T16:37:00Z"/>
                <w:snapToGrid w:val="0"/>
                <w:sz w:val="19"/>
              </w:rPr>
            </w:pPr>
            <w:ins w:id="789" w:author="svcMRProcess" w:date="2018-08-23T16:37:00Z">
              <w:r>
                <w:rPr>
                  <w:snapToGrid w:val="0"/>
                  <w:sz w:val="19"/>
                </w:rPr>
                <w:t>28 Jun 2010</w:t>
              </w:r>
            </w:ins>
          </w:p>
        </w:tc>
        <w:tc>
          <w:tcPr>
            <w:tcW w:w="2556" w:type="dxa"/>
            <w:gridSpan w:val="2"/>
            <w:tcBorders>
              <w:bottom w:val="single" w:sz="4" w:space="0" w:color="auto"/>
            </w:tcBorders>
          </w:tcPr>
          <w:p>
            <w:pPr>
              <w:pStyle w:val="nTable"/>
              <w:spacing w:after="40"/>
              <w:rPr>
                <w:ins w:id="790" w:author="svcMRProcess" w:date="2018-08-23T16:37:00Z"/>
                <w:snapToGrid w:val="0"/>
                <w:sz w:val="19"/>
              </w:rPr>
            </w:pPr>
            <w:ins w:id="791" w:author="svcMRProcess" w:date="2018-08-23T16:37:00Z">
              <w:r>
                <w:rPr>
                  <w:snapToGrid w:val="0"/>
                  <w:sz w:val="19"/>
                </w:rPr>
                <w:t xml:space="preserve">11 Sep 2010 (see s. 2(b) and </w:t>
              </w:r>
              <w:r>
                <w:rPr>
                  <w:i/>
                  <w:iCs/>
                  <w:snapToGrid w:val="0"/>
                  <w:sz w:val="19"/>
                </w:rPr>
                <w:t>Gazette</w:t>
              </w:r>
              <w:r>
                <w:rPr>
                  <w:snapToGrid w:val="0"/>
                  <w:sz w:val="19"/>
                </w:rPr>
                <w:t xml:space="preserve"> 10 Sep 2010 p. 4341)</w:t>
              </w:r>
            </w:ins>
          </w:p>
        </w:tc>
      </w:tr>
    </w:tbl>
    <w:p>
      <w:pPr>
        <w:pStyle w:val="nSubsection"/>
        <w:keepNext/>
        <w:keepLines/>
        <w:spacing w:before="360"/>
        <w:ind w:left="482" w:hanging="482"/>
      </w:pPr>
      <w:r>
        <w:rPr>
          <w:vertAlign w:val="superscript"/>
        </w:rPr>
        <w:t>1a</w:t>
      </w:r>
      <w:r>
        <w:tab/>
        <w:t>On the date as at which thi</w:t>
      </w:r>
      <w:bookmarkStart w:id="792" w:name="_Hlt507390729"/>
      <w:bookmarkEnd w:id="792"/>
      <w:r>
        <w:t>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793" w:name="UpToHere"/>
      <w:bookmarkStart w:id="794" w:name="_Toc378163046"/>
      <w:bookmarkStart w:id="795" w:name="_Toc268096492"/>
      <w:bookmarkEnd w:id="793"/>
      <w:r>
        <w:rPr>
          <w:snapToGrid w:val="0"/>
        </w:rPr>
        <w:t>Provisions that have not come into operation</w:t>
      </w:r>
      <w:bookmarkEnd w:id="794"/>
      <w:bookmarkEnd w:id="795"/>
    </w:p>
    <w:tbl>
      <w:tblPr>
        <w:tblW w:w="7088" w:type="dxa"/>
        <w:tblInd w:w="26" w:type="dxa"/>
        <w:tblLayout w:type="fixed"/>
        <w:tblCellMar>
          <w:left w:w="56" w:type="dxa"/>
          <w:right w:w="56" w:type="dxa"/>
        </w:tblCellMar>
        <w:tblLook w:val="0000" w:firstRow="0" w:lastRow="0" w:firstColumn="0" w:lastColumn="0" w:noHBand="0" w:noVBand="0"/>
      </w:tblPr>
      <w:tblGrid>
        <w:gridCol w:w="2268"/>
        <w:gridCol w:w="1136"/>
        <w:gridCol w:w="1133"/>
        <w:gridCol w:w="2551"/>
      </w:tblGrid>
      <w:tr>
        <w:trPr>
          <w:cantSplit/>
          <w:tblHeader/>
        </w:trPr>
        <w:tc>
          <w:tcPr>
            <w:tcW w:w="2267"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47"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7"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38 </w:t>
            </w:r>
            <w:r>
              <w:rPr>
                <w:snapToGrid w:val="0"/>
                <w:sz w:val="19"/>
                <w:vertAlign w:val="superscript"/>
              </w:rPr>
              <w:t>14</w:t>
            </w:r>
          </w:p>
        </w:tc>
        <w:tc>
          <w:tcPr>
            <w:tcW w:w="1136" w:type="dxa"/>
            <w:tcBorders>
              <w:top w:val="single" w:sz="8" w:space="0" w:color="auto"/>
              <w:bottom w:val="single" w:sz="4" w:space="0" w:color="auto"/>
            </w:tcBorders>
          </w:tcPr>
          <w:p>
            <w:pPr>
              <w:pStyle w:val="nTable"/>
              <w:keepNext/>
              <w:spacing w:after="40"/>
              <w:rPr>
                <w:sz w:val="19"/>
              </w:rPr>
            </w:pPr>
            <w:r>
              <w:rPr>
                <w:sz w:val="19"/>
              </w:rPr>
              <w:t>43 of 2000</w:t>
            </w:r>
          </w:p>
        </w:tc>
        <w:tc>
          <w:tcPr>
            <w:tcW w:w="1133" w:type="dxa"/>
            <w:tcBorders>
              <w:top w:val="single" w:sz="8" w:space="0" w:color="auto"/>
              <w:bottom w:val="single" w:sz="4" w:space="0" w:color="auto"/>
            </w:tcBorders>
          </w:tcPr>
          <w:p>
            <w:pPr>
              <w:pStyle w:val="nTable"/>
              <w:keepNext/>
              <w:spacing w:after="40"/>
              <w:rPr>
                <w:sz w:val="19"/>
              </w:rPr>
            </w:pPr>
            <w:r>
              <w:rPr>
                <w:sz w:val="19"/>
              </w:rPr>
              <w:t>2 Nov 2000</w:t>
            </w:r>
          </w:p>
        </w:tc>
        <w:tc>
          <w:tcPr>
            <w:tcW w:w="2547" w:type="dxa"/>
            <w:tcBorders>
              <w:top w:val="single" w:sz="8" w:space="0" w:color="auto"/>
              <w:bottom w:val="single" w:sz="4" w:space="0" w:color="auto"/>
            </w:tcBorders>
          </w:tcPr>
          <w:p>
            <w:pPr>
              <w:pStyle w:val="nTable"/>
              <w:keepNext/>
              <w:spacing w:after="40"/>
              <w:rPr>
                <w:sz w:val="19"/>
              </w:rPr>
            </w:pPr>
            <w:r>
              <w:rPr>
                <w:sz w:val="19"/>
              </w:rPr>
              <w:t>To be proclaimed (see s. 2(2))</w:t>
            </w:r>
          </w:p>
        </w:tc>
      </w:tr>
      <w:tr>
        <w:trPr>
          <w:cantSplit/>
          <w:del w:id="796" w:author="svcMRProcess" w:date="2018-08-23T16:37:00Z"/>
        </w:trPr>
        <w:tc>
          <w:tcPr>
            <w:tcW w:w="2267" w:type="dxa"/>
            <w:tcBorders>
              <w:bottom w:val="single" w:sz="4" w:space="0" w:color="auto"/>
            </w:tcBorders>
          </w:tcPr>
          <w:p>
            <w:pPr>
              <w:pStyle w:val="nTable"/>
              <w:spacing w:after="40"/>
              <w:ind w:right="113"/>
              <w:rPr>
                <w:del w:id="797" w:author="svcMRProcess" w:date="2018-08-23T16:37:00Z"/>
                <w:iCs/>
                <w:snapToGrid w:val="0"/>
                <w:sz w:val="19"/>
                <w:lang w:val="en-US"/>
              </w:rPr>
            </w:pPr>
            <w:del w:id="798" w:author="svcMRProcess" w:date="2018-08-23T16:37:00Z">
              <w:r>
                <w:rPr>
                  <w:i/>
                  <w:snapToGrid w:val="0"/>
                  <w:sz w:val="19"/>
                  <w:lang w:val="en-US"/>
                </w:rPr>
                <w:delText>Standardisation of Formatting Act 2010</w:delText>
              </w:r>
              <w:r>
                <w:rPr>
                  <w:iCs/>
                  <w:snapToGrid w:val="0"/>
                  <w:sz w:val="19"/>
                  <w:lang w:val="en-US"/>
                </w:rPr>
                <w:delText xml:space="preserve"> s. 4 and 43 </w:delText>
              </w:r>
              <w:r>
                <w:rPr>
                  <w:iCs/>
                  <w:snapToGrid w:val="0"/>
                  <w:sz w:val="19"/>
                  <w:vertAlign w:val="superscript"/>
                  <w:lang w:val="en-US"/>
                </w:rPr>
                <w:delText>15</w:delText>
              </w:r>
            </w:del>
          </w:p>
        </w:tc>
        <w:tc>
          <w:tcPr>
            <w:tcW w:w="1132" w:type="dxa"/>
            <w:tcBorders>
              <w:bottom w:val="single" w:sz="4" w:space="0" w:color="auto"/>
            </w:tcBorders>
          </w:tcPr>
          <w:p>
            <w:pPr>
              <w:pStyle w:val="nTable"/>
              <w:spacing w:after="40"/>
              <w:rPr>
                <w:del w:id="799" w:author="svcMRProcess" w:date="2018-08-23T16:37:00Z"/>
                <w:snapToGrid w:val="0"/>
                <w:sz w:val="19"/>
                <w:lang w:val="en-US"/>
              </w:rPr>
            </w:pPr>
            <w:del w:id="800" w:author="svcMRProcess" w:date="2018-08-23T16:37:00Z">
              <w:r>
                <w:rPr>
                  <w:snapToGrid w:val="0"/>
                  <w:sz w:val="19"/>
                  <w:lang w:val="en-US"/>
                </w:rPr>
                <w:delText>19 of 2010</w:delText>
              </w:r>
            </w:del>
          </w:p>
        </w:tc>
        <w:tc>
          <w:tcPr>
            <w:tcW w:w="1133" w:type="dxa"/>
            <w:tcBorders>
              <w:bottom w:val="single" w:sz="4" w:space="0" w:color="auto"/>
            </w:tcBorders>
          </w:tcPr>
          <w:p>
            <w:pPr>
              <w:pStyle w:val="nTable"/>
              <w:spacing w:after="40"/>
              <w:rPr>
                <w:del w:id="801" w:author="svcMRProcess" w:date="2018-08-23T16:37:00Z"/>
                <w:snapToGrid w:val="0"/>
                <w:sz w:val="19"/>
                <w:lang w:val="en-US"/>
              </w:rPr>
            </w:pPr>
            <w:del w:id="802" w:author="svcMRProcess" w:date="2018-08-23T16:37:00Z">
              <w:r>
                <w:rPr>
                  <w:snapToGrid w:val="0"/>
                  <w:sz w:val="19"/>
                  <w:lang w:val="en-US"/>
                </w:rPr>
                <w:delText>28 Jun 2010</w:delText>
              </w:r>
            </w:del>
          </w:p>
        </w:tc>
        <w:tc>
          <w:tcPr>
            <w:tcW w:w="2551" w:type="dxa"/>
            <w:tcBorders>
              <w:bottom w:val="single" w:sz="4" w:space="0" w:color="auto"/>
            </w:tcBorders>
          </w:tcPr>
          <w:p>
            <w:pPr>
              <w:pStyle w:val="nTable"/>
              <w:spacing w:after="40"/>
              <w:rPr>
                <w:del w:id="803" w:author="svcMRProcess" w:date="2018-08-23T16:37:00Z"/>
                <w:snapToGrid w:val="0"/>
                <w:sz w:val="19"/>
                <w:lang w:val="en-US"/>
              </w:rPr>
            </w:pPr>
            <w:del w:id="804" w:author="svcMRProcess" w:date="2018-08-23T16:37:00Z">
              <w:r>
                <w:rPr>
                  <w:snapToGrid w:val="0"/>
                  <w:sz w:val="19"/>
                  <w:lang w:val="en-US"/>
                </w:rPr>
                <w:delText>To be proclaimed (see s. 2(b))</w:delText>
              </w:r>
            </w:del>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Industrial Relations Act 1979.</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14</w:t>
      </w:r>
      <w:r>
        <w:rPr>
          <w:snapToGrid w:val="0"/>
        </w:rPr>
        <w:t>.</w:t>
      </w:r>
    </w:p>
    <w:p>
      <w:pPr>
        <w:pStyle w:val="nSubsection"/>
        <w:rPr>
          <w:snapToGrid w:val="0"/>
        </w:rPr>
      </w:pPr>
      <w:r>
        <w:rPr>
          <w:snapToGrid w:val="0"/>
          <w:vertAlign w:val="superscript"/>
        </w:rPr>
        <w:t>5</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p>
    <w:p>
      <w:pPr>
        <w:pStyle w:val="nSubsection"/>
        <w:keepNext/>
        <w:rPr>
          <w:snapToGrid w:val="0"/>
        </w:rPr>
      </w:pPr>
      <w:r>
        <w:rPr>
          <w:vertAlign w:val="superscript"/>
        </w:rPr>
        <w:t>7</w:t>
      </w:r>
      <w:r>
        <w:tab/>
        <w:t xml:space="preserve">Now known as the </w:t>
      </w:r>
      <w:r>
        <w:rPr>
          <w:i/>
          <w:iCs/>
        </w:rPr>
        <w:t>Curtin University of Technology Act 1966</w:t>
      </w:r>
      <w:r>
        <w:t>; short title amended (see note under s. 1</w:t>
      </w: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MiscOpen"/>
        <w:rPr>
          <w:snapToGrid w:val="0"/>
        </w:rPr>
      </w:pPr>
      <w:r>
        <w:rPr>
          <w:snapToGrid w:val="0"/>
        </w:rPr>
        <w:t>“</w:t>
      </w: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Subsection"/>
        <w:rPr>
          <w:i/>
          <w:iCs/>
        </w:rPr>
      </w:pPr>
      <w:r>
        <w:tab/>
      </w:r>
      <w:r>
        <w:tab/>
      </w:r>
      <w:r>
        <w:rPr>
          <w:i/>
          <w:iCs/>
        </w:rPr>
        <w:t>[Section 18 amended by No. 96 of 1986 s. 13.]</w:t>
      </w:r>
    </w:p>
    <w:p>
      <w:pPr>
        <w:pStyle w:val="MiscClose"/>
        <w:ind w:right="8"/>
      </w:pPr>
      <w: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MiscOpen"/>
        <w:spacing w:before="0"/>
        <w:rPr>
          <w:snapToGrid w:val="0"/>
        </w:rPr>
      </w:pPr>
      <w:r>
        <w:rPr>
          <w:snapToGrid w:val="0"/>
        </w:rPr>
        <w:t>“</w:t>
      </w: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MiscClose"/>
        <w:ind w:right="8"/>
      </w:pPr>
      <w:r>
        <w:t>”.</w:t>
      </w:r>
    </w:p>
    <w:p>
      <w:pPr>
        <w:pStyle w:val="nSubsection"/>
        <w:keepNext/>
        <w:rPr>
          <w:snapToGrid w:val="0"/>
        </w:rPr>
      </w:pPr>
      <w:r>
        <w:rPr>
          <w:snapToGrid w:val="0"/>
          <w:vertAlign w:val="superscript"/>
        </w:rPr>
        <w:t>10</w:t>
      </w:r>
      <w:r>
        <w:rPr>
          <w:snapToGrid w:val="0"/>
        </w:rPr>
        <w:tab/>
        <w:t xml:space="preserve">The </w:t>
      </w:r>
      <w:r>
        <w:rPr>
          <w:i/>
          <w:snapToGrid w:val="0"/>
        </w:rPr>
        <w:t>Acts Amendment (Educational Institutions Superannuation) Act 1985</w:t>
      </w:r>
      <w:r>
        <w:rPr>
          <w:snapToGrid w:val="0"/>
        </w:rPr>
        <w:t xml:space="preserve"> s. 8 reads as follows: </w:t>
      </w:r>
    </w:p>
    <w:p>
      <w:pPr>
        <w:pStyle w:val="MiscOpen"/>
        <w:spacing w:before="0"/>
        <w:rPr>
          <w:snapToGrid w:val="0"/>
        </w:rPr>
      </w:pPr>
      <w:r>
        <w:rPr>
          <w:snapToGrid w:val="0"/>
        </w:rPr>
        <w:t>“</w:t>
      </w:r>
    </w:p>
    <w:p>
      <w:pPr>
        <w:pStyle w:val="nzHeading5"/>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MiscClose"/>
        <w:ind w:right="8"/>
      </w:pPr>
      <w:r>
        <w:t>”.</w:t>
      </w:r>
    </w:p>
    <w:p>
      <w:pPr>
        <w:pStyle w:val="nSubsection"/>
        <w:rPr>
          <w:snapToGrid w:val="0"/>
        </w:rPr>
      </w:pPr>
      <w:r>
        <w:rPr>
          <w:snapToGrid w:val="0"/>
          <w:vertAlign w:val="superscript"/>
        </w:rPr>
        <w:t>11</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Subsection"/>
        <w:keepNext/>
        <w:rPr>
          <w:snapToGrid w:val="0"/>
        </w:rPr>
      </w:pPr>
      <w:r>
        <w:rPr>
          <w:snapToGrid w:val="0"/>
          <w:vertAlign w:val="superscript"/>
        </w:rPr>
        <w:t>12</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Subsection"/>
      </w:pPr>
      <w:r>
        <w:rPr>
          <w:snapToGrid w:val="0"/>
          <w:vertAlign w:val="superscript"/>
        </w:rPr>
        <w:t>13</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MiscOpen"/>
        <w:rPr>
          <w:snapToGrid w:val="0"/>
          <w:highlight w:val="cyan"/>
        </w:rPr>
      </w:pPr>
      <w:r>
        <w:rPr>
          <w:snapToGrid w:val="0"/>
        </w:rPr>
        <w:t>“</w:t>
      </w:r>
    </w:p>
    <w:p>
      <w:pPr>
        <w:pStyle w:val="nzHeading5"/>
      </w:pPr>
      <w:bookmarkStart w:id="805" w:name="_Toc101943825"/>
      <w:bookmarkStart w:id="806" w:name="_Toc108232046"/>
      <w:r>
        <w:t>5.</w:t>
      </w:r>
      <w:r>
        <w:tab/>
        <w:t>Transitional provision</w:t>
      </w:r>
      <w:bookmarkEnd w:id="805"/>
      <w:bookmarkEnd w:id="806"/>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MiscClose"/>
      </w:pPr>
      <w:r>
        <w:t>”.</w:t>
      </w:r>
    </w:p>
    <w:p>
      <w:pPr>
        <w:pStyle w:val="nSubsection"/>
        <w:keepNext/>
        <w:keepLines/>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38 had not come into operation. It reads as follows:</w:t>
      </w:r>
    </w:p>
    <w:p>
      <w:pPr>
        <w:pStyle w:val="MiscOpen"/>
        <w:rPr>
          <w:snapToGrid w:val="0"/>
        </w:rPr>
      </w:pPr>
      <w:r>
        <w:rPr>
          <w:snapToGrid w:val="0"/>
        </w:rPr>
        <w:t>“</w:t>
      </w:r>
    </w:p>
    <w:p>
      <w:pPr>
        <w:pStyle w:val="nzHeading5"/>
      </w:pPr>
      <w:r>
        <w:rPr>
          <w:rStyle w:val="CharSectno"/>
        </w:rPr>
        <w:t>38</w:t>
      </w:r>
      <w:r>
        <w:t>.</w:t>
      </w:r>
      <w:r>
        <w:tab/>
      </w:r>
      <w:r>
        <w:rPr>
          <w:i/>
        </w:rPr>
        <w:t>Curtin University of Technology Act 1966</w:t>
      </w:r>
      <w:r>
        <w:t xml:space="preserve"> amended</w:t>
      </w:r>
    </w:p>
    <w:p>
      <w:pPr>
        <w:pStyle w:val="nzSubsection"/>
        <w:keepNext/>
        <w:keepLines/>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ind w:right="498"/>
      </w:pPr>
      <w:r>
        <w:tab/>
        <w:t>(b)</w:t>
      </w:r>
      <w:r>
        <w:tab/>
        <w:t>by repealing section 29(2);</w:t>
      </w:r>
    </w:p>
    <w:p>
      <w:pPr>
        <w:pStyle w:val="nzIndenta"/>
        <w:keepNext/>
        <w:keepLines/>
        <w:ind w:right="498"/>
      </w:pPr>
      <w:r>
        <w:tab/>
        <w:t>(c)</w:t>
      </w:r>
      <w:r>
        <w:tab/>
        <w:t xml:space="preserve">in section 30A(3) by deleting “contributor for pension, superannuation or benefits under the </w:t>
      </w:r>
      <w:r>
        <w:rPr>
          <w:i/>
        </w:rPr>
        <w:t>Superannuation and Family Benefits Act 1938</w:t>
      </w:r>
      <w:r>
        <w:t>.” and inserting instead —</w:t>
      </w:r>
    </w:p>
    <w:p>
      <w:pPr>
        <w:pStyle w:val="MiscOpen"/>
        <w:tabs>
          <w:tab w:val="clear" w:pos="893"/>
        </w:tabs>
        <w:ind w:left="1701" w:right="498"/>
      </w:pPr>
      <w:r>
        <w:t xml:space="preserve">“    </w:t>
      </w:r>
    </w:p>
    <w:p>
      <w:pPr>
        <w:pStyle w:val="nzSubsection"/>
        <w:tabs>
          <w:tab w:val="clear" w:pos="1162"/>
          <w:tab w:val="clear" w:pos="1446"/>
          <w:tab w:val="right" w:pos="1985"/>
        </w:tabs>
        <w:ind w:left="2268"/>
      </w:pPr>
      <w:r>
        <w:tab/>
      </w:r>
      <w:r>
        <w:tab/>
        <w:t xml:space="preserve">Member of a superannuation scheme continued by section 29(c) or (d) of the </w:t>
      </w:r>
      <w:r>
        <w:rPr>
          <w:i/>
        </w:rPr>
        <w:t>State Superannuation Act 2000</w:t>
      </w:r>
      <w:r>
        <w:t>.</w:t>
      </w:r>
    </w:p>
    <w:p>
      <w:pPr>
        <w:pStyle w:val="MiscClose"/>
        <w:ind w:right="378"/>
      </w:pPr>
      <w:r>
        <w:t xml:space="preserve">    ”.</w:t>
      </w:r>
    </w:p>
    <w:p>
      <w:pPr>
        <w:pStyle w:val="MiscClose"/>
      </w:pPr>
      <w:r>
        <w:t>”.</w:t>
      </w:r>
    </w:p>
    <w:p>
      <w:pPr>
        <w:pStyle w:val="nSubsection"/>
        <w:keepNext/>
        <w:keepLines/>
        <w:rPr>
          <w:del w:id="807" w:author="svcMRProcess" w:date="2018-08-23T16:37:00Z"/>
          <w:snapToGrid w:val="0"/>
        </w:rPr>
      </w:pPr>
      <w:del w:id="808" w:author="svcMRProcess" w:date="2018-08-23T16:37:00Z">
        <w:r>
          <w:rPr>
            <w:snapToGrid w:val="0"/>
            <w:vertAlign w:val="superscript"/>
          </w:rPr>
          <w:delText>15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43 had not come into operation.  They read as follows:</w:delText>
        </w:r>
      </w:del>
    </w:p>
    <w:p>
      <w:pPr>
        <w:pStyle w:val="BlankOpen"/>
        <w:rPr>
          <w:del w:id="809" w:author="svcMRProcess" w:date="2018-08-23T16:37:00Z"/>
        </w:rPr>
      </w:pPr>
    </w:p>
    <w:p>
      <w:pPr>
        <w:pStyle w:val="nzHeading5"/>
        <w:rPr>
          <w:del w:id="810" w:author="svcMRProcess" w:date="2018-08-23T16:37:00Z"/>
          <w:rFonts w:eastAsia="MS Mincho"/>
        </w:rPr>
      </w:pPr>
      <w:bookmarkStart w:id="811" w:name="_Toc233107675"/>
      <w:bookmarkStart w:id="812" w:name="_Toc255473698"/>
      <w:bookmarkStart w:id="813" w:name="_Toc265583753"/>
      <w:bookmarkStart w:id="814" w:name="_Toc267907333"/>
      <w:del w:id="815" w:author="svcMRProcess" w:date="2018-08-23T16:37:00Z">
        <w:r>
          <w:rPr>
            <w:rStyle w:val="CharSectno"/>
            <w:rFonts w:eastAsia="MS Mincho"/>
          </w:rPr>
          <w:delText>4</w:delText>
        </w:r>
        <w:r>
          <w:rPr>
            <w:rFonts w:eastAsia="MS Mincho"/>
          </w:rPr>
          <w:delText>.</w:delText>
        </w:r>
        <w:r>
          <w:rPr>
            <w:rFonts w:eastAsia="MS Mincho"/>
          </w:rPr>
          <w:tab/>
          <w:delText>Schedule headings reformatted</w:delText>
        </w:r>
        <w:bookmarkEnd w:id="811"/>
        <w:bookmarkEnd w:id="812"/>
        <w:bookmarkEnd w:id="813"/>
        <w:bookmarkEnd w:id="814"/>
      </w:del>
    </w:p>
    <w:p>
      <w:pPr>
        <w:pStyle w:val="nzSubsection"/>
        <w:rPr>
          <w:del w:id="816" w:author="svcMRProcess" w:date="2018-08-23T16:37:00Z"/>
          <w:rFonts w:eastAsia="MS Mincho"/>
        </w:rPr>
      </w:pPr>
      <w:del w:id="817" w:author="svcMRProcess" w:date="2018-08-23T16:37:00Z">
        <w:r>
          <w:rPr>
            <w:rFonts w:eastAsia="MS Mincho"/>
          </w:rPr>
          <w:tab/>
          <w:delText>(1)</w:delText>
        </w:r>
        <w:r>
          <w:rPr>
            <w:rFonts w:eastAsia="MS Mincho"/>
          </w:rPr>
          <w:tab/>
          <w:delText>This section amends the Acts listed in the Table.</w:delText>
        </w:r>
      </w:del>
    </w:p>
    <w:p>
      <w:pPr>
        <w:pStyle w:val="nzSubsection"/>
        <w:rPr>
          <w:del w:id="818" w:author="svcMRProcess" w:date="2018-08-23T16:37:00Z"/>
        </w:rPr>
      </w:pPr>
      <w:del w:id="819" w:author="svcMRProcess" w:date="2018-08-23T16:37:00Z">
        <w:r>
          <w:rPr>
            <w:rFonts w:eastAsia="MS Mincho"/>
          </w:rPr>
          <w:tab/>
          <w:delText>(2)</w:delText>
        </w:r>
        <w:r>
          <w:rPr>
            <w:rFonts w:eastAsia="MS Mincho"/>
          </w:rPr>
          <w:tab/>
          <w:delText>In each Schedule listed in the Table:</w:delText>
        </w:r>
      </w:del>
    </w:p>
    <w:p>
      <w:pPr>
        <w:pStyle w:val="nzIndenta"/>
        <w:rPr>
          <w:del w:id="820" w:author="svcMRProcess" w:date="2018-08-23T16:37:00Z"/>
        </w:rPr>
      </w:pPr>
      <w:del w:id="821" w:author="svcMRProcess" w:date="2018-08-23T16:37:00Z">
        <w:r>
          <w:tab/>
          <w:delText>(a)</w:delText>
        </w:r>
        <w:r>
          <w:tab/>
          <w:delText>if there is a title set out in the Table for the Schedule — after the identifier for the Schedule insert that title;</w:delText>
        </w:r>
      </w:del>
    </w:p>
    <w:p>
      <w:pPr>
        <w:pStyle w:val="nzIndenta"/>
        <w:rPr>
          <w:del w:id="822" w:author="svcMRProcess" w:date="2018-08-23T16:37:00Z"/>
        </w:rPr>
      </w:pPr>
      <w:del w:id="823" w:author="svcMRProcess" w:date="2018-08-23T16:37:00Z">
        <w:r>
          <w:tab/>
          <w:delText>(b)</w:delText>
        </w:r>
        <w:r>
          <w:tab/>
          <w:delText>if there is a shoulder note set out in the Table for the Schedule — at the end of the heading to the Schedule insert that shoulder note;</w:delText>
        </w:r>
      </w:del>
    </w:p>
    <w:p>
      <w:pPr>
        <w:pStyle w:val="nzIndenta"/>
        <w:rPr>
          <w:del w:id="824" w:author="svcMRProcess" w:date="2018-08-23T16:37:00Z"/>
        </w:rPr>
      </w:pPr>
      <w:del w:id="825" w:author="svcMRProcess" w:date="2018-08-23T16:37:00Z">
        <w:r>
          <w:tab/>
          <w:delText>(c)</w:delText>
        </w:r>
        <w:r>
          <w:tab/>
          <w:delText>reformat the heading to the Schedule, as amended by paragraphs (a) and (b) if applicable, so that it is in the current format.</w:delText>
        </w:r>
      </w:del>
    </w:p>
    <w:p>
      <w:pPr>
        <w:pStyle w:val="nzMiscellaneousHeading"/>
        <w:rPr>
          <w:del w:id="826" w:author="svcMRProcess" w:date="2018-08-23T16:37:00Z"/>
        </w:rPr>
      </w:pPr>
      <w:del w:id="827" w:author="svcMRProcess" w:date="2018-08-23T16:37: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828" w:author="svcMRProcess" w:date="2018-08-23T16:3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29" w:author="svcMRProcess" w:date="2018-08-23T16:37:00Z"/>
                <w:rFonts w:eastAsia="MS Mincho"/>
                <w:b/>
                <w:bCs/>
                <w:sz w:val="18"/>
              </w:rPr>
            </w:pPr>
            <w:del w:id="830" w:author="svcMRProcess" w:date="2018-08-23T16:37: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31" w:author="svcMRProcess" w:date="2018-08-23T16:37:00Z"/>
                <w:b/>
                <w:bCs/>
                <w:sz w:val="18"/>
              </w:rPr>
            </w:pPr>
            <w:del w:id="832" w:author="svcMRProcess" w:date="2018-08-23T16:37: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833" w:author="svcMRProcess" w:date="2018-08-23T16:37:00Z"/>
                <w:b/>
                <w:bCs/>
                <w:sz w:val="18"/>
              </w:rPr>
            </w:pPr>
            <w:del w:id="834" w:author="svcMRProcess" w:date="2018-08-23T16:37: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835" w:author="svcMRProcess" w:date="2018-08-23T16:37:00Z"/>
                <w:b/>
                <w:bCs/>
                <w:sz w:val="18"/>
              </w:rPr>
            </w:pPr>
            <w:del w:id="836" w:author="svcMRProcess" w:date="2018-08-23T16:37:00Z">
              <w:r>
                <w:rPr>
                  <w:b/>
                  <w:bCs/>
                  <w:sz w:val="18"/>
                </w:rPr>
                <w:delText>Shoulder note</w:delText>
              </w:r>
            </w:del>
          </w:p>
        </w:tc>
      </w:tr>
      <w:tr>
        <w:trPr>
          <w:cantSplit/>
          <w:del w:id="837" w:author="svcMRProcess" w:date="2018-08-23T16:37: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838" w:author="svcMRProcess" w:date="2018-08-23T16:37:00Z"/>
                <w:i/>
                <w:iCs/>
                <w:sz w:val="18"/>
              </w:rPr>
            </w:pPr>
            <w:del w:id="839" w:author="svcMRProcess" w:date="2018-08-23T16:37:00Z">
              <w:r>
                <w:rPr>
                  <w:rFonts w:eastAsia="MS Mincho"/>
                  <w:i/>
                  <w:iCs/>
                  <w:sz w:val="18"/>
                </w:rPr>
                <w:delText>Curtin University of Technology Act 1966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840" w:author="svcMRProcess" w:date="2018-08-23T16:37:00Z"/>
                <w:sz w:val="18"/>
              </w:rPr>
            </w:pPr>
            <w:del w:id="841" w:author="svcMRProcess" w:date="2018-08-23T16:37: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842" w:author="svcMRProcess" w:date="2018-08-23T16:37:00Z"/>
                <w:sz w:val="18"/>
              </w:rPr>
            </w:pPr>
            <w:del w:id="843" w:author="svcMRProcess" w:date="2018-08-23T16:37:00Z">
              <w:r>
                <w:rPr>
                  <w:rFonts w:eastAsia="MS Mincho"/>
                  <w:sz w:val="18"/>
                </w:rPr>
                <w:delText>University land</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844" w:author="svcMRProcess" w:date="2018-08-23T16:37:00Z"/>
                <w:sz w:val="18"/>
              </w:rPr>
            </w:pPr>
          </w:p>
        </w:tc>
      </w:tr>
      <w:tr>
        <w:trPr>
          <w:cantSplit/>
          <w:del w:id="845" w:author="svcMRProcess" w:date="2018-08-23T16:3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846" w:author="svcMRProcess" w:date="2018-08-23T16:3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847" w:author="svcMRProcess" w:date="2018-08-23T16:37:00Z"/>
                <w:sz w:val="18"/>
              </w:rPr>
            </w:pPr>
            <w:del w:id="848" w:author="svcMRProcess" w:date="2018-08-23T16:37: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849" w:author="svcMRProcess" w:date="2018-08-23T16:37: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850" w:author="svcMRProcess" w:date="2018-08-23T16:37:00Z"/>
                <w:sz w:val="18"/>
              </w:rPr>
            </w:pPr>
          </w:p>
        </w:tc>
      </w:tr>
    </w:tbl>
    <w:p>
      <w:pPr>
        <w:pStyle w:val="nzHeading5"/>
        <w:spacing w:before="240"/>
        <w:rPr>
          <w:del w:id="851" w:author="svcMRProcess" w:date="2018-08-23T16:37:00Z"/>
        </w:rPr>
      </w:pPr>
      <w:bookmarkStart w:id="852" w:name="_Toc233107838"/>
      <w:bookmarkStart w:id="853" w:name="_Toc255473738"/>
      <w:bookmarkStart w:id="854" w:name="_Toc265583793"/>
      <w:del w:id="855" w:author="svcMRProcess" w:date="2018-08-23T16:37:00Z">
        <w:r>
          <w:rPr>
            <w:rStyle w:val="CharSectno"/>
          </w:rPr>
          <w:delText>43</w:delText>
        </w:r>
        <w:r>
          <w:delText>.</w:delText>
        </w:r>
        <w:r>
          <w:tab/>
          <w:delText>Part heading inserted before section 1</w:delText>
        </w:r>
        <w:bookmarkEnd w:id="852"/>
        <w:bookmarkEnd w:id="853"/>
        <w:bookmarkEnd w:id="854"/>
      </w:del>
    </w:p>
    <w:p>
      <w:pPr>
        <w:pStyle w:val="nzSubsection"/>
        <w:rPr>
          <w:del w:id="856" w:author="svcMRProcess" w:date="2018-08-23T16:37:00Z"/>
        </w:rPr>
      </w:pPr>
      <w:del w:id="857" w:author="svcMRProcess" w:date="2018-08-23T16:37:00Z">
        <w:r>
          <w:tab/>
          <w:delText>(1)</w:delText>
        </w:r>
        <w:r>
          <w:tab/>
          <w:delText>This section amends the Acts listed in Tables 1 and 2.</w:delText>
        </w:r>
      </w:del>
    </w:p>
    <w:p>
      <w:pPr>
        <w:pStyle w:val="nzSubsection"/>
        <w:rPr>
          <w:del w:id="858" w:author="svcMRProcess" w:date="2018-08-23T16:37:00Z"/>
        </w:rPr>
      </w:pPr>
      <w:del w:id="859" w:author="svcMRProcess" w:date="2018-08-23T16:37:00Z">
        <w:r>
          <w:tab/>
          <w:delText>(2)</w:delText>
        </w:r>
        <w:r>
          <w:tab/>
          <w:delText>In the Acts listed in Table 1 before section 1 insert:</w:delText>
        </w:r>
      </w:del>
    </w:p>
    <w:p>
      <w:pPr>
        <w:pStyle w:val="BlankOpen"/>
        <w:rPr>
          <w:del w:id="860" w:author="svcMRProcess" w:date="2018-08-23T16:37:00Z"/>
        </w:rPr>
      </w:pPr>
    </w:p>
    <w:p>
      <w:pPr>
        <w:pStyle w:val="nzHeading2"/>
        <w:rPr>
          <w:del w:id="861" w:author="svcMRProcess" w:date="2018-08-23T16:37:00Z"/>
        </w:rPr>
      </w:pPr>
      <w:bookmarkStart w:id="862" w:name="_Toc232235610"/>
      <w:bookmarkStart w:id="863" w:name="_Toc232235808"/>
      <w:bookmarkStart w:id="864" w:name="_Toc233100678"/>
      <w:bookmarkStart w:id="865" w:name="_Toc233107839"/>
      <w:del w:id="866" w:author="svcMRProcess" w:date="2018-08-23T16:37:00Z">
        <w:r>
          <w:delText>Part IA</w:delText>
        </w:r>
        <w:r>
          <w:rPr>
            <w:b w:val="0"/>
          </w:rPr>
          <w:delText> — </w:delText>
        </w:r>
        <w:r>
          <w:delText>Preliminary</w:delText>
        </w:r>
        <w:bookmarkEnd w:id="862"/>
        <w:bookmarkEnd w:id="863"/>
        <w:bookmarkEnd w:id="864"/>
        <w:bookmarkEnd w:id="865"/>
      </w:del>
    </w:p>
    <w:p>
      <w:pPr>
        <w:pStyle w:val="BlankClose"/>
        <w:rPr>
          <w:del w:id="867" w:author="svcMRProcess" w:date="2018-08-23T16:37:00Z"/>
        </w:rPr>
      </w:pPr>
    </w:p>
    <w:p>
      <w:pPr>
        <w:pStyle w:val="BlankClose"/>
        <w:rPr>
          <w:del w:id="868" w:author="svcMRProcess" w:date="2018-08-23T16:37:00Z"/>
        </w:rPr>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Curtin University of Technology Act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Curtin University of Technology Act 1966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Curtin University of Technology Act 1966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cr/>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cr/>
          </w:r>
          <w:r>
            <w:rPr>
              <w:bCs/>
            </w:rPr>
            <w:fldChar w:fldCharType="end"/>
          </w:r>
        </w:p>
      </w:tc>
      <w:tc>
        <w:tcPr>
          <w:tcW w:w="5715" w:type="dxa"/>
        </w:tcPr>
        <w:p>
          <w:pPr>
            <w:pStyle w:val="HeaderTextLeft"/>
          </w:pPr>
          <w:fldSimple w:instr=" styleref CharSchText ">
            <w:r>
              <w:rPr>
                <w:noProof/>
              </w:rPr>
              <w:t>University land</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Curtin University of Technology Act 1966</w:t>
            </w:r>
          </w:fldSimple>
        </w:p>
      </w:tc>
    </w:tr>
    <w:tr>
      <w:tc>
        <w:tcPr>
          <w:tcW w:w="5715" w:type="dxa"/>
        </w:tcPr>
        <w:p>
          <w:pPr>
            <w:pStyle w:val="HeaderTextRight"/>
          </w:pPr>
          <w:fldSimple w:instr=" styleref CharSchText ">
            <w:r>
              <w:rPr>
                <w:noProof/>
              </w:rPr>
              <w:t>University land</w:t>
            </w:r>
          </w:fldSimple>
        </w:p>
      </w:tc>
      <w:tc>
        <w:tcPr>
          <w:tcW w:w="1445" w:type="dxa"/>
        </w:tcPr>
        <w:p>
          <w:pPr>
            <w:pStyle w:val="HeaderNumberRight"/>
            <w:ind w:right="-64"/>
            <w:rPr>
              <w:b w:val="0"/>
            </w:rPr>
          </w:pPr>
          <w:fldSimple w:instr=" styleref CharSchno ">
            <w:r>
              <w:rPr>
                <w:noProof/>
              </w:rPr>
              <w:cr/>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 w:val="0"/>
            </w:rPr>
          </w:pPr>
          <w:fldSimple w:instr=" styleref CharSchno ">
            <w:r>
              <w:rPr>
                <w:noProof/>
              </w:rPr>
              <w:t>Schedule 1A</w:t>
            </w:r>
          </w:fldSimple>
        </w:p>
      </w:tc>
      <w:tc>
        <w:tcPr>
          <w:tcW w:w="5715" w:type="dxa"/>
          <w:vAlign w:val="bottom"/>
        </w:tcPr>
        <w:p>
          <w:pPr>
            <w:pStyle w:val="HeaderTextLeft"/>
          </w:pPr>
          <w:fldSimple w:instr=" styleref CharSchText ">
            <w:r>
              <w:rPr>
                <w:noProof/>
              </w:rPr>
              <w:t>Council members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Curtin University of Technology Act 1966</w:t>
            </w:r>
          </w:fldSimple>
        </w:p>
      </w:tc>
    </w:tr>
    <w:tr>
      <w:tc>
        <w:tcPr>
          <w:tcW w:w="5715" w:type="dxa"/>
          <w:vAlign w:val="bottom"/>
        </w:tcPr>
        <w:p>
          <w:pPr>
            <w:pStyle w:val="HeaderTextRight"/>
          </w:pPr>
          <w:fldSimple w:instr=" styleref CharSchText ">
            <w:r>
              <w:rPr>
                <w:noProof/>
              </w:rPr>
              <w:t>Council members</w:t>
            </w:r>
          </w:fldSimple>
        </w:p>
      </w:tc>
      <w:tc>
        <w:tcPr>
          <w:tcW w:w="1445" w:type="dxa"/>
        </w:tcPr>
        <w:p>
          <w:pPr>
            <w:pStyle w:val="HeaderNumberRight"/>
            <w:ind w:right="17"/>
            <w:rPr>
              <w:b w:val="0"/>
            </w:rPr>
          </w:pPr>
          <w:fldSimple w:instr=" styleref CharSchno ">
            <w:r>
              <w:rPr>
                <w:noProof/>
              </w:rPr>
              <w:t>Schedule 1A</w:t>
            </w:r>
          </w:fldSimple>
        </w:p>
      </w:tc>
    </w:tr>
    <w:tr>
      <w:tc>
        <w:tcPr>
          <w:tcW w:w="5715" w:type="dxa"/>
        </w:tcPr>
        <w:p>
          <w:pPr>
            <w:pStyle w:val="HeaderTextRight"/>
            <w:tabs>
              <w:tab w:val="left" w:pos="3465"/>
              <w:tab w:val="right" w:pos="5571"/>
            </w:tabs>
            <w:jc w:val="lef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Curtin University of Technology Act 1966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Curtin University of Technology Act 1966</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dnoteitem"/>
      <w:ind w:left="0" w:firstLine="0"/>
      <w:rPr>
        <w:i w:val="0"/>
      </w:rPr>
    </w:pPr>
    <w:r>
      <w:rPr>
        <w:i w:val="0"/>
      </w:rPr>
      <w:fldChar w:fldCharType="begin"/>
    </w:r>
    <w:r>
      <w:rPr>
        <w:i w:val="0"/>
      </w:rPr>
      <w:instrText xml:space="preserve"> Styleref "Name of Act/Reg" </w:instrText>
    </w:r>
    <w:r>
      <w:rPr>
        <w:i w:val="0"/>
      </w:rPr>
      <w:fldChar w:fldCharType="separate"/>
    </w:r>
    <w:r>
      <w:rPr>
        <w:i w:val="0"/>
        <w:noProof/>
      </w:rPr>
      <w:t>Curtin University of Technology Act 1966</w:t>
    </w:r>
    <w:r>
      <w:rPr>
        <w:i w:val="0"/>
      </w:rPr>
      <w:fldChar w:fldCharType="end"/>
    </w:r>
  </w:p>
  <w:p>
    <w:pPr>
      <w:pStyle w:val="Ednoteitem"/>
      <w:ind w:left="0" w:firstLine="0"/>
      <w:rPr>
        <w:b/>
        <w:i w:val="0"/>
      </w:rPr>
    </w:pPr>
  </w:p>
  <w:p>
    <w:pPr>
      <w:pStyle w:val="headerpartodd"/>
    </w:pPr>
  </w:p>
  <w:p>
    <w:pPr>
      <w:pStyle w:val="headerpartodd"/>
    </w:pPr>
  </w:p>
  <w:p>
    <w:pPr>
      <w:pBdr>
        <w:bottom w:val="single" w:sz="6" w:space="1" w:color="auto"/>
      </w:pBdr>
      <w:rPr>
        <w:b/>
      </w:rPr>
    </w:pPr>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dnoteitem"/>
      <w:ind w:left="0" w:firstLine="0"/>
      <w:jc w:val="right"/>
      <w:rPr>
        <w:i w:val="0"/>
      </w:rPr>
    </w:pPr>
    <w:r>
      <w:rPr>
        <w:i w:val="0"/>
      </w:rPr>
      <w:fldChar w:fldCharType="begin"/>
    </w:r>
    <w:r>
      <w:rPr>
        <w:i w:val="0"/>
      </w:rPr>
      <w:instrText xml:space="preserve"> Styleref "Name of Act/Reg" </w:instrText>
    </w:r>
    <w:r>
      <w:rPr>
        <w:i w:val="0"/>
      </w:rPr>
      <w:fldChar w:fldCharType="separate"/>
    </w:r>
    <w:r>
      <w:rPr>
        <w:i w:val="0"/>
        <w:noProof/>
      </w:rPr>
      <w:t>Curtin University of Technology Act 1966</w:t>
    </w:r>
    <w:r>
      <w:rPr>
        <w:i w:val="0"/>
      </w:rPr>
      <w:fldChar w:fldCharType="end"/>
    </w:r>
  </w:p>
  <w:p>
    <w:pPr>
      <w:pStyle w:val="Ednoteitem"/>
      <w:ind w:left="0" w:firstLine="0"/>
      <w:jc w:val="right"/>
      <w:rPr>
        <w:b/>
        <w:i w:val="0"/>
      </w:rPr>
    </w:pPr>
  </w:p>
  <w:p>
    <w:pPr>
      <w:pStyle w:val="headerpartodd"/>
      <w:jc w:val="right"/>
    </w:pPr>
  </w:p>
  <w:p>
    <w:pPr>
      <w:pStyle w:val="headerpartodd"/>
      <w:jc w:val="right"/>
    </w:pPr>
  </w:p>
  <w:p>
    <w:pPr>
      <w:pBdr>
        <w:bottom w:val="single" w:sz="6" w:space="1" w:color="auto"/>
      </w:pBdr>
      <w:jc w:val="right"/>
      <w:rPr>
        <w:b/>
      </w:rP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AF1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18E4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4EE5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C8EE4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95EAE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10EE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729D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0899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52F82A"/>
    <w:lvl w:ilvl="0">
      <w:start w:val="1"/>
      <w:numFmt w:val="decimal"/>
      <w:pStyle w:val="ListNumber"/>
      <w:lvlText w:val="%1."/>
      <w:lvlJc w:val="left"/>
      <w:pPr>
        <w:tabs>
          <w:tab w:val="num" w:pos="360"/>
        </w:tabs>
        <w:ind w:left="360" w:hanging="360"/>
      </w:pPr>
    </w:lvl>
  </w:abstractNum>
  <w:abstractNum w:abstractNumId="9">
    <w:nsid w:val="FFFFFF89"/>
    <w:multiLevelType w:val="singleLevel"/>
    <w:tmpl w:val="F3324F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7684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6D895A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322"/>
    <w:docVar w:name="WAFER_20140122140110" w:val="RemoveTocBookmarks,RemoveUnusedBookmarks,RemoveLanguageTags,UsedStyles,ResetPageSize,UpdateArrangement"/>
    <w:docVar w:name="WAFER_20140122140110_GUID" w:val="4fdb30ab-62f9-4818-aea2-172abaa0c366"/>
    <w:docVar w:name="WAFER_20140122140359" w:val="RemoveTocBookmarks,RunningHeaders"/>
    <w:docVar w:name="WAFER_20140122140359_GUID" w:val="bffb4bf6-dae1-4d07-b320-71b9aa273532"/>
    <w:docVar w:name="WAFER_20151210085322" w:val="RemoveTrackChanges"/>
    <w:docVar w:name="WAFER_20151210085322_GUID" w:val="4d519229-35f8-49e9-b67b-8c4daef6d8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yHeading6">
    <w:name w:val="yHeading 6"/>
    <w:basedOn w:val="Heading6"/>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yHeading6">
    <w:name w:val="yHeading 6"/>
    <w:basedOn w:val="Heading6"/>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17164</Words>
  <Characters>79472</Characters>
  <Application>Microsoft Office Word</Application>
  <DocSecurity>0</DocSecurity>
  <Lines>2207</Lines>
  <Paragraphs>1136</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95500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of Technology Act 1966 04-d0-01 - 04-e0-04</dc:title>
  <dc:subject/>
  <dc:creator/>
  <cp:keywords/>
  <dc:description/>
  <cp:lastModifiedBy>svcMRProcess</cp:lastModifiedBy>
  <cp:revision>2</cp:revision>
  <cp:lastPrinted>2005-11-02T03:55:00Z</cp:lastPrinted>
  <dcterms:created xsi:type="dcterms:W3CDTF">2018-08-23T08:37:00Z</dcterms:created>
  <dcterms:modified xsi:type="dcterms:W3CDTF">2018-08-23T08:37:00Z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201</vt:i4>
  </property>
  <property fmtid="{D5CDD505-2E9C-101B-9397-08002B2CF9AE}" pid="6" name="FromSuffix">
    <vt:lpwstr>04-d0-01</vt:lpwstr>
  </property>
  <property fmtid="{D5CDD505-2E9C-101B-9397-08002B2CF9AE}" pid="7" name="FromAsAtDate">
    <vt:lpwstr>28 Jun 2010</vt:lpwstr>
  </property>
  <property fmtid="{D5CDD505-2E9C-101B-9397-08002B2CF9AE}" pid="8" name="ToSuffix">
    <vt:lpwstr>04-e0-04</vt:lpwstr>
  </property>
  <property fmtid="{D5CDD505-2E9C-101B-9397-08002B2CF9AE}" pid="9" name="ToAsAtDate">
    <vt:lpwstr>11 Sep 2010</vt:lpwstr>
  </property>
</Properties>
</file>