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A</w:t>
      </w:r>
      <w:bookmarkStart w:id="0" w:name="_GoBack"/>
      <w:bookmarkEnd w:id="0"/>
      <w:r>
        <w:rPr>
          <w:snapToGrid w:val="0"/>
        </w:rPr>
        <w:t xml:space="preserve">n Act to provide for the licensing of debt collectors, and for incidental and other purposes. </w:t>
      </w:r>
    </w:p>
    <w:p>
      <w:pPr>
        <w:pStyle w:val="Heading5"/>
        <w:rPr>
          <w:snapToGrid w:val="0"/>
        </w:rPr>
      </w:pPr>
      <w:bookmarkStart w:id="1" w:name="_Toc455638718"/>
      <w:bookmarkStart w:id="2" w:name="_Toc102273802"/>
      <w:bookmarkStart w:id="3" w:name="_Toc272058141"/>
      <w:bookmarkStart w:id="4" w:name="_Toc26764856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5" w:name="_Toc455638719"/>
      <w:bookmarkStart w:id="6" w:name="_Toc102273803"/>
      <w:bookmarkStart w:id="7" w:name="_Toc272058142"/>
      <w:bookmarkStart w:id="8" w:name="_Toc26764856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9" w:name="_Toc455638720"/>
      <w:bookmarkStart w:id="10" w:name="_Toc102273804"/>
      <w:bookmarkStart w:id="11" w:name="_Toc272058143"/>
      <w:bookmarkStart w:id="12" w:name="_Toc26764856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Commissioner</w:t>
      </w:r>
      <w:r>
        <w:t xml:space="preserve"> has the meaning given to that term in section 4(1) of the </w:t>
      </w:r>
      <w:r>
        <w:rPr>
          <w:i/>
        </w:rPr>
        <w:t>Consumer Affairs Act 1971</w:t>
      </w:r>
      <w:r>
        <w:t>;</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3" w:name="_Toc455638721"/>
      <w:bookmarkStart w:id="14" w:name="_Toc102273805"/>
      <w:bookmarkStart w:id="15" w:name="_Toc272058144"/>
      <w:bookmarkStart w:id="16" w:name="_Toc267648564"/>
      <w:r>
        <w:rPr>
          <w:rStyle w:val="CharSectno"/>
        </w:rPr>
        <w:t>4</w:t>
      </w:r>
      <w:r>
        <w:rPr>
          <w:snapToGrid w:val="0"/>
        </w:rPr>
        <w:t>.</w:t>
      </w:r>
      <w:r>
        <w:rPr>
          <w:snapToGrid w:val="0"/>
        </w:rPr>
        <w:tab/>
        <w:t>Application of Act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17" w:name="_Toc455638722"/>
      <w:bookmarkStart w:id="18" w:name="_Toc102273806"/>
      <w:bookmarkStart w:id="19" w:name="_Toc272058145"/>
      <w:bookmarkStart w:id="20" w:name="_Toc267648565"/>
      <w:r>
        <w:rPr>
          <w:rStyle w:val="CharSectno"/>
        </w:rPr>
        <w:t>5</w:t>
      </w:r>
      <w:r>
        <w:rPr>
          <w:snapToGrid w:val="0"/>
        </w:rPr>
        <w:t>.</w:t>
      </w:r>
      <w:r>
        <w:rPr>
          <w:snapToGrid w:val="0"/>
        </w:rPr>
        <w:tab/>
        <w:t>Licensing of debt collectors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21" w:name="_Toc455638723"/>
      <w:bookmarkStart w:id="22" w:name="_Toc102273807"/>
      <w:bookmarkStart w:id="23" w:name="_Toc272058146"/>
      <w:bookmarkStart w:id="24" w:name="_Toc267648566"/>
      <w:r>
        <w:rPr>
          <w:rStyle w:val="CharSectno"/>
        </w:rPr>
        <w:t>6</w:t>
      </w:r>
      <w:r>
        <w:rPr>
          <w:snapToGrid w:val="0"/>
        </w:rPr>
        <w:t>.</w:t>
      </w:r>
      <w:r>
        <w:rPr>
          <w:snapToGrid w:val="0"/>
        </w:rPr>
        <w:tab/>
        <w:t>Licensees not to assume additional powers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25" w:name="_Toc455638724"/>
      <w:bookmarkStart w:id="26" w:name="_Toc102273808"/>
      <w:bookmarkStart w:id="27" w:name="_Toc272058147"/>
      <w:bookmarkStart w:id="28" w:name="_Toc267648567"/>
      <w:r>
        <w:rPr>
          <w:rStyle w:val="CharSectno"/>
        </w:rPr>
        <w:t>7</w:t>
      </w:r>
      <w:r>
        <w:rPr>
          <w:snapToGrid w:val="0"/>
        </w:rPr>
        <w:t>.</w:t>
      </w:r>
      <w:r>
        <w:rPr>
          <w:snapToGrid w:val="0"/>
        </w:rPr>
        <w:tab/>
        <w:t>Licences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9" w:name="_Toc455638725"/>
      <w:bookmarkStart w:id="30" w:name="_Toc102273809"/>
      <w:bookmarkStart w:id="31" w:name="_Toc272058148"/>
      <w:bookmarkStart w:id="32" w:name="_Toc267648568"/>
      <w:r>
        <w:rPr>
          <w:rStyle w:val="CharSectno"/>
        </w:rPr>
        <w:t>8</w:t>
      </w:r>
      <w:r>
        <w:rPr>
          <w:snapToGrid w:val="0"/>
        </w:rPr>
        <w:t>.</w:t>
      </w:r>
      <w:r>
        <w:rPr>
          <w:snapToGrid w:val="0"/>
        </w:rPr>
        <w:tab/>
        <w:t>Application for licences</w:t>
      </w:r>
      <w:bookmarkEnd w:id="29"/>
      <w:bookmarkEnd w:id="30"/>
      <w:bookmarkEnd w:id="31"/>
      <w:bookmarkEnd w:id="32"/>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w:t>
      </w:r>
      <w:del w:id="33" w:author="svcMRProcess" w:date="2015-12-11T06:28:00Z">
        <w:r>
          <w:rPr>
            <w:snapToGrid w:val="0"/>
          </w:rPr>
          <w:delText>2)(a</w:delText>
        </w:r>
      </w:del>
      <w:ins w:id="34" w:author="svcMRProcess" w:date="2015-12-11T06:28:00Z">
        <w:r>
          <w:rPr>
            <w:snapToGrid w:val="0"/>
          </w:rPr>
          <w:t>2A</w:t>
        </w:r>
      </w:ins>
      <w:r>
        <w:rPr>
          <w:snapToGrid w:val="0"/>
        </w:rPr>
        <w:t>)</w:t>
      </w:r>
      <w:r>
        <w:rPr>
          <w:snapToGrid w:val="0"/>
        </w:rPr>
        <w:tab/>
        <w:t>Subject to subsection (10), the application shall be accompanied by — </w:t>
      </w:r>
    </w:p>
    <w:p>
      <w:pPr>
        <w:pStyle w:val="Indenta"/>
        <w:spacing w:after="40"/>
        <w:rPr>
          <w:snapToGrid w:val="0"/>
        </w:rPr>
      </w:pPr>
      <w:r>
        <w:rPr>
          <w:snapToGrid w:val="0"/>
        </w:rPr>
        <w:tab/>
        <w:t>(</w:t>
      </w:r>
      <w:del w:id="35" w:author="svcMRProcess" w:date="2015-12-11T06:28:00Z">
        <w:r>
          <w:rPr>
            <w:snapToGrid w:val="0"/>
          </w:rPr>
          <w:delText>i</w:delText>
        </w:r>
      </w:del>
      <w:ins w:id="36" w:author="svcMRProcess" w:date="2015-12-11T06:28:00Z">
        <w:r>
          <w:rPr>
            <w:snapToGrid w:val="0"/>
          </w:rPr>
          <w:t>a</w:t>
        </w:r>
      </w:ins>
      <w:r>
        <w:rPr>
          <w:snapToGrid w:val="0"/>
        </w:rPr>
        <w:t>)</w:t>
      </w:r>
      <w:r>
        <w:rPr>
          <w:snapToGrid w:val="0"/>
        </w:rPr>
        <w:tab/>
        <w:t>testimonials as to the character of the applicant signed by not less than 3 reputable persons; and</w:t>
      </w:r>
    </w:p>
    <w:p>
      <w:pPr>
        <w:pStyle w:val="Indenta"/>
        <w:spacing w:after="40"/>
        <w:rPr>
          <w:snapToGrid w:val="0"/>
        </w:rPr>
      </w:pPr>
      <w:r>
        <w:rPr>
          <w:snapToGrid w:val="0"/>
        </w:rPr>
        <w:tab/>
        <w:t>(</w:t>
      </w:r>
      <w:del w:id="37" w:author="svcMRProcess" w:date="2015-12-11T06:28:00Z">
        <w:r>
          <w:rPr>
            <w:snapToGrid w:val="0"/>
          </w:rPr>
          <w:delText>ii</w:delText>
        </w:r>
      </w:del>
      <w:ins w:id="38" w:author="svcMRProcess" w:date="2015-12-11T06:28:00Z">
        <w:r>
          <w:rPr>
            <w:snapToGrid w:val="0"/>
          </w:rPr>
          <w:t>b</w:t>
        </w:r>
      </w:ins>
      <w:r>
        <w:rPr>
          <w:snapToGrid w:val="0"/>
        </w:rPr>
        <w:t>)</w:t>
      </w:r>
      <w:r>
        <w:rPr>
          <w:snapToGrid w:val="0"/>
        </w:rPr>
        <w:tab/>
        <w:t>the prescribed fee.</w:t>
      </w:r>
    </w:p>
    <w:p>
      <w:pPr>
        <w:pStyle w:val="Subsection"/>
        <w:spacing w:after="40"/>
        <w:rPr>
          <w:snapToGrid w:val="0"/>
        </w:rPr>
      </w:pPr>
      <w:r>
        <w:rPr>
          <w:snapToGrid w:val="0"/>
        </w:rPr>
        <w:tab/>
        <w:t>(</w:t>
      </w:r>
      <w:del w:id="39" w:author="svcMRProcess" w:date="2015-12-11T06:28:00Z">
        <w:r>
          <w:rPr>
            <w:snapToGrid w:val="0"/>
          </w:rPr>
          <w:delText>b</w:delText>
        </w:r>
      </w:del>
      <w:ins w:id="40" w:author="svcMRProcess" w:date="2015-12-11T06:28:00Z">
        <w:r>
          <w:rPr>
            <w:snapToGrid w:val="0"/>
          </w:rPr>
          <w:t>2B</w:t>
        </w:r>
      </w:ins>
      <w:r>
        <w:rPr>
          <w:snapToGrid w:val="0"/>
        </w:rPr>
        <w:t>)</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w:t>
      </w:r>
      <w:del w:id="41" w:author="svcMRProcess" w:date="2015-12-11T06:28:00Z">
        <w:r>
          <w:rPr>
            <w:snapToGrid w:val="0"/>
          </w:rPr>
          <w:delText>5)(a</w:delText>
        </w:r>
      </w:del>
      <w:ins w:id="42" w:author="svcMRProcess" w:date="2015-12-11T06:28:00Z">
        <w:r>
          <w:rPr>
            <w:snapToGrid w:val="0"/>
          </w:rPr>
          <w:t>5A</w:t>
        </w:r>
      </w:ins>
      <w:r>
        <w:rPr>
          <w:snapToGrid w:val="0"/>
        </w:rPr>
        <w:t>)</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w:t>
      </w:r>
      <w:del w:id="43" w:author="svcMRProcess" w:date="2015-12-11T06:28:00Z">
        <w:r>
          <w:rPr>
            <w:snapToGrid w:val="0"/>
          </w:rPr>
          <w:delText>b</w:delText>
        </w:r>
      </w:del>
      <w:ins w:id="44" w:author="svcMRProcess" w:date="2015-12-11T06:28:00Z">
        <w:r>
          <w:rPr>
            <w:snapToGrid w:val="0"/>
          </w:rPr>
          <w:t>5B</w:t>
        </w:r>
      </w:ins>
      <w:r>
        <w:rPr>
          <w:snapToGrid w:val="0"/>
        </w:rPr>
        <w:t>)</w:t>
      </w:r>
      <w:r>
        <w:rPr>
          <w:snapToGrid w:val="0"/>
        </w:rPr>
        <w:tab/>
        <w:t xml:space="preserve">Any objection made under </w:t>
      </w:r>
      <w:del w:id="45" w:author="svcMRProcess" w:date="2015-12-11T06:28:00Z">
        <w:r>
          <w:rPr>
            <w:snapToGrid w:val="0"/>
          </w:rPr>
          <w:delText>paragraph (a</w:delText>
        </w:r>
      </w:del>
      <w:ins w:id="46" w:author="svcMRProcess" w:date="2015-12-11T06:28:00Z">
        <w:r>
          <w:rPr>
            <w:snapToGrid w:val="0"/>
          </w:rPr>
          <w:t>subsection (5A</w:t>
        </w:r>
      </w:ins>
      <w:r>
        <w:rPr>
          <w:snapToGrid w:val="0"/>
        </w:rPr>
        <w:t xml:space="preserve">), may be made only on one or more of the grounds upon which the </w:t>
      </w:r>
      <w:r>
        <w:t>Commissioner</w:t>
      </w:r>
      <w:r>
        <w:rPr>
          <w:snapToGrid w:val="0"/>
        </w:rPr>
        <w:t xml:space="preserve"> may refuse the grant or renewal of a licence under section 9.</w:t>
      </w:r>
    </w:p>
    <w:p>
      <w:pPr>
        <w:pStyle w:val="Subsection"/>
        <w:spacing w:after="40"/>
      </w:pPr>
      <w:r>
        <w:tab/>
        <w:t>(</w:t>
      </w:r>
      <w:del w:id="47" w:author="svcMRProcess" w:date="2015-12-11T06:28:00Z">
        <w:r>
          <w:delText>c</w:delText>
        </w:r>
      </w:del>
      <w:ins w:id="48" w:author="svcMRProcess" w:date="2015-12-11T06:28:00Z">
        <w:r>
          <w:t>5C</w:t>
        </w:r>
      </w:ins>
      <w:r>
        <w:t>)</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subsection (</w:t>
      </w:r>
      <w:del w:id="49" w:author="svcMRProcess" w:date="2015-12-11T06:28:00Z">
        <w:r>
          <w:rPr>
            <w:snapToGrid w:val="0"/>
          </w:rPr>
          <w:delText>2</w:delText>
        </w:r>
      </w:del>
      <w:ins w:id="50" w:author="svcMRProcess" w:date="2015-12-11T06:28:00Z">
        <w:r>
          <w:rPr>
            <w:rFonts w:eastAsia="MS Mincho"/>
          </w:rPr>
          <w:t>2A</w:t>
        </w:r>
      </w:ins>
      <w:r>
        <w:rPr>
          <w:rFonts w:eastAsia="MS Mincho"/>
        </w:rPr>
        <w:t>)(a</w:t>
      </w:r>
      <w:del w:id="51" w:author="svcMRProcess" w:date="2015-12-11T06:28:00Z">
        <w:r>
          <w:rPr>
            <w:snapToGrid w:val="0"/>
          </w:rPr>
          <w:delText>)(i</w:delText>
        </w:r>
      </w:del>
      <w:r>
        <w:rPr>
          <w:rFonts w:eastAsia="MS Mincho"/>
        </w:rPr>
        <w:t xml:space="preserve">), </w:t>
      </w:r>
      <w:r>
        <w:rPr>
          <w:snapToGrid w:val="0"/>
        </w:rPr>
        <w:t xml:space="preserve">unless the </w:t>
      </w:r>
      <w:r>
        <w:t>Commissioner</w:t>
      </w:r>
      <w:r>
        <w:rPr>
          <w:snapToGrid w:val="0"/>
        </w:rPr>
        <w:t xml:space="preserve"> so requires.</w:t>
      </w:r>
    </w:p>
    <w:p>
      <w:pPr>
        <w:pStyle w:val="Footnotesection"/>
      </w:pPr>
      <w:r>
        <w:tab/>
        <w:t>[Section 8 amended by No. 21 of 1966 s. 2; No. 55 of 2004 s. 221</w:t>
      </w:r>
      <w:ins w:id="52" w:author="svcMRProcess" w:date="2015-12-11T06:28:00Z">
        <w:r>
          <w:t>; No. 19 of 2010 s. 51</w:t>
        </w:r>
      </w:ins>
      <w:r>
        <w:t xml:space="preserve">.] </w:t>
      </w:r>
    </w:p>
    <w:p>
      <w:pPr>
        <w:pStyle w:val="Heading5"/>
        <w:rPr>
          <w:snapToGrid w:val="0"/>
        </w:rPr>
      </w:pPr>
      <w:bookmarkStart w:id="53" w:name="_Toc455638726"/>
      <w:bookmarkStart w:id="54" w:name="_Toc102273810"/>
      <w:bookmarkStart w:id="55" w:name="_Toc272058149"/>
      <w:bookmarkStart w:id="56" w:name="_Toc267648569"/>
      <w:r>
        <w:rPr>
          <w:rStyle w:val="CharSectno"/>
        </w:rPr>
        <w:t>9</w:t>
      </w:r>
      <w:r>
        <w:rPr>
          <w:snapToGrid w:val="0"/>
        </w:rPr>
        <w:t>.</w:t>
      </w:r>
      <w:r>
        <w:rPr>
          <w:snapToGrid w:val="0"/>
        </w:rPr>
        <w:tab/>
        <w:t>Grounds on which licence refused</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57" w:name="_Toc455638727"/>
      <w:bookmarkStart w:id="58" w:name="_Toc102273811"/>
      <w:bookmarkStart w:id="59" w:name="_Toc272058150"/>
      <w:bookmarkStart w:id="60" w:name="_Toc267648570"/>
      <w:r>
        <w:rPr>
          <w:rStyle w:val="CharSectno"/>
        </w:rPr>
        <w:t>10</w:t>
      </w:r>
      <w:r>
        <w:rPr>
          <w:snapToGrid w:val="0"/>
        </w:rPr>
        <w:t>.</w:t>
      </w:r>
      <w:r>
        <w:rPr>
          <w:snapToGrid w:val="0"/>
        </w:rPr>
        <w:tab/>
        <w:t>Cancellation of licence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61" w:name="_Toc102273812"/>
      <w:bookmarkStart w:id="62" w:name="_Toc272058151"/>
      <w:bookmarkStart w:id="63" w:name="_Toc267648571"/>
      <w:bookmarkStart w:id="64" w:name="_Toc455638729"/>
      <w:r>
        <w:rPr>
          <w:rStyle w:val="CharSectno"/>
        </w:rPr>
        <w:t>11</w:t>
      </w:r>
      <w:r>
        <w:t>.</w:t>
      </w:r>
      <w:r>
        <w:tab/>
        <w:t>Review of Commissioner’s decision</w:t>
      </w:r>
      <w:bookmarkEnd w:id="61"/>
      <w:bookmarkEnd w:id="62"/>
      <w:bookmarkEnd w:id="6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65" w:name="_Toc102273813"/>
      <w:bookmarkStart w:id="66" w:name="_Toc272058152"/>
      <w:bookmarkStart w:id="67" w:name="_Toc267648572"/>
      <w:r>
        <w:rPr>
          <w:rStyle w:val="CharSectno"/>
        </w:rPr>
        <w:t>12</w:t>
      </w:r>
      <w:r>
        <w:rPr>
          <w:snapToGrid w:val="0"/>
        </w:rPr>
        <w:t>.</w:t>
      </w:r>
      <w:r>
        <w:rPr>
          <w:snapToGrid w:val="0"/>
        </w:rPr>
        <w:tab/>
        <w:t xml:space="preserve">Register to be kept by </w:t>
      </w:r>
      <w:bookmarkEnd w:id="64"/>
      <w:bookmarkEnd w:id="65"/>
      <w:r>
        <w:rPr>
          <w:snapToGrid w:val="0"/>
        </w:rPr>
        <w:t>Commissioner</w:t>
      </w:r>
      <w:bookmarkEnd w:id="66"/>
      <w:bookmarkEnd w:id="67"/>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68" w:name="_Toc455638730"/>
      <w:r>
        <w:tab/>
        <w:t>[Section 12 amended by No. 55 of 2004 s. 225.]</w:t>
      </w:r>
    </w:p>
    <w:p>
      <w:pPr>
        <w:pStyle w:val="Heading5"/>
      </w:pPr>
      <w:bookmarkStart w:id="69" w:name="_Toc102273814"/>
      <w:bookmarkStart w:id="70" w:name="_Toc272058153"/>
      <w:bookmarkStart w:id="71" w:name="_Toc267648573"/>
      <w:r>
        <w:rPr>
          <w:rStyle w:val="CharSectno"/>
        </w:rPr>
        <w:t>12A</w:t>
      </w:r>
      <w:r>
        <w:t>.</w:t>
      </w:r>
      <w:r>
        <w:tab/>
        <w:t>Matters to be included in annual report</w:t>
      </w:r>
      <w:bookmarkEnd w:id="69"/>
      <w:bookmarkEnd w:id="70"/>
      <w:bookmarkEnd w:id="71"/>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72" w:name="_Toc102273815"/>
      <w:bookmarkStart w:id="73" w:name="_Toc272058154"/>
      <w:bookmarkStart w:id="74" w:name="_Toc267648574"/>
      <w:r>
        <w:rPr>
          <w:rStyle w:val="CharSectno"/>
        </w:rPr>
        <w:t>13</w:t>
      </w:r>
      <w:r>
        <w:rPr>
          <w:snapToGrid w:val="0"/>
        </w:rPr>
        <w:t>.</w:t>
      </w:r>
      <w:r>
        <w:rPr>
          <w:snapToGrid w:val="0"/>
        </w:rPr>
        <w:tab/>
        <w:t>Unlicensed persons not to recover fees, etc.</w:t>
      </w:r>
      <w:bookmarkEnd w:id="68"/>
      <w:bookmarkEnd w:id="72"/>
      <w:bookmarkEnd w:id="73"/>
      <w:bookmarkEnd w:id="74"/>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75" w:name="_Toc455638731"/>
      <w:bookmarkStart w:id="76" w:name="_Toc102273816"/>
      <w:bookmarkStart w:id="77" w:name="_Toc272058155"/>
      <w:bookmarkStart w:id="78" w:name="_Toc267648575"/>
      <w:r>
        <w:rPr>
          <w:rStyle w:val="CharSectno"/>
        </w:rPr>
        <w:t>14</w:t>
      </w:r>
      <w:r>
        <w:rPr>
          <w:snapToGrid w:val="0"/>
        </w:rPr>
        <w:t>.</w:t>
      </w:r>
      <w:r>
        <w:rPr>
          <w:snapToGrid w:val="0"/>
        </w:rPr>
        <w:tab/>
        <w:t>Offence of furnishing incorrect information in applications, etc.</w:t>
      </w:r>
      <w:bookmarkEnd w:id="75"/>
      <w:bookmarkEnd w:id="76"/>
      <w:bookmarkEnd w:id="77"/>
      <w:bookmarkEnd w:id="78"/>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79" w:name="_Toc455638732"/>
      <w:bookmarkStart w:id="80" w:name="_Toc102273817"/>
      <w:bookmarkStart w:id="81" w:name="_Toc272058156"/>
      <w:bookmarkStart w:id="82" w:name="_Toc267648576"/>
      <w:r>
        <w:rPr>
          <w:rStyle w:val="CharSectno"/>
        </w:rPr>
        <w:t>15</w:t>
      </w:r>
      <w:r>
        <w:rPr>
          <w:snapToGrid w:val="0"/>
        </w:rPr>
        <w:t>.</w:t>
      </w:r>
      <w:r>
        <w:rPr>
          <w:snapToGrid w:val="0"/>
        </w:rPr>
        <w:tab/>
        <w:t>Duty of debt collectors in respect of trust money</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83" w:name="_Toc455638733"/>
      <w:r>
        <w:tab/>
        <w:t>[Section 15 amended by No. 55 of 2004 s. 227.]</w:t>
      </w:r>
    </w:p>
    <w:p>
      <w:pPr>
        <w:pStyle w:val="Heading5"/>
        <w:rPr>
          <w:snapToGrid w:val="0"/>
        </w:rPr>
      </w:pPr>
      <w:bookmarkStart w:id="84" w:name="_Toc102273818"/>
      <w:bookmarkStart w:id="85" w:name="_Toc272058157"/>
      <w:bookmarkStart w:id="86" w:name="_Toc267648577"/>
      <w:r>
        <w:rPr>
          <w:rStyle w:val="CharSectno"/>
        </w:rPr>
        <w:t>16</w:t>
      </w:r>
      <w:r>
        <w:rPr>
          <w:snapToGrid w:val="0"/>
        </w:rPr>
        <w:t>.</w:t>
      </w:r>
      <w:r>
        <w:rPr>
          <w:snapToGrid w:val="0"/>
        </w:rPr>
        <w:tab/>
        <w:t>Duty of bank Manager</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87" w:name="_Toc455638734"/>
      <w:bookmarkStart w:id="88" w:name="_Toc102273819"/>
      <w:bookmarkStart w:id="89" w:name="_Toc272058158"/>
      <w:bookmarkStart w:id="90" w:name="_Toc267648578"/>
      <w:r>
        <w:rPr>
          <w:rStyle w:val="CharSectno"/>
        </w:rPr>
        <w:t>17</w:t>
      </w:r>
      <w:r>
        <w:rPr>
          <w:snapToGrid w:val="0"/>
        </w:rPr>
        <w:t>.</w:t>
      </w:r>
      <w:r>
        <w:rPr>
          <w:snapToGrid w:val="0"/>
        </w:rPr>
        <w:tab/>
        <w:t>Duty of debt collector as to accounts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91" w:name="_Toc455638735"/>
      <w:bookmarkStart w:id="92" w:name="_Toc102273820"/>
      <w:bookmarkStart w:id="93" w:name="_Toc272058159"/>
      <w:bookmarkStart w:id="94" w:name="_Toc267648579"/>
      <w:r>
        <w:rPr>
          <w:rStyle w:val="CharSectno"/>
        </w:rPr>
        <w:t>18</w:t>
      </w:r>
      <w:r>
        <w:rPr>
          <w:snapToGrid w:val="0"/>
        </w:rPr>
        <w:t>.</w:t>
      </w:r>
      <w:r>
        <w:rPr>
          <w:snapToGrid w:val="0"/>
        </w:rPr>
        <w:tab/>
        <w:t>Inspection of records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95" w:name="_Toc455638736"/>
      <w:bookmarkStart w:id="96" w:name="_Toc102273821"/>
      <w:bookmarkStart w:id="97" w:name="_Toc272058160"/>
      <w:bookmarkStart w:id="98" w:name="_Toc267648580"/>
      <w:r>
        <w:rPr>
          <w:rStyle w:val="CharSectno"/>
        </w:rPr>
        <w:t>19</w:t>
      </w:r>
      <w:r>
        <w:rPr>
          <w:snapToGrid w:val="0"/>
        </w:rPr>
        <w:t>.</w:t>
      </w:r>
      <w:r>
        <w:rPr>
          <w:snapToGrid w:val="0"/>
        </w:rPr>
        <w:tab/>
        <w:t>Power to Minister to direct audit of trust accounts</w:t>
      </w:r>
      <w:bookmarkEnd w:id="95"/>
      <w:bookmarkEnd w:id="96"/>
      <w:bookmarkEnd w:id="97"/>
      <w:bookmarkEnd w:id="98"/>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99" w:name="_Toc455638737"/>
      <w:bookmarkStart w:id="100" w:name="_Toc102273822"/>
      <w:bookmarkStart w:id="101" w:name="_Toc272058161"/>
      <w:bookmarkStart w:id="102" w:name="_Toc267648581"/>
      <w:r>
        <w:rPr>
          <w:rStyle w:val="CharSectno"/>
        </w:rPr>
        <w:t>20</w:t>
      </w:r>
      <w:r>
        <w:rPr>
          <w:snapToGrid w:val="0"/>
        </w:rPr>
        <w:t>.</w:t>
      </w:r>
      <w:r>
        <w:rPr>
          <w:snapToGrid w:val="0"/>
        </w:rPr>
        <w:tab/>
        <w:t>Fidelity bond</w:t>
      </w:r>
      <w:bookmarkEnd w:id="99"/>
      <w:bookmarkEnd w:id="100"/>
      <w:bookmarkEnd w:id="101"/>
      <w:bookmarkEnd w:id="102"/>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103" w:name="_Toc455638738"/>
      <w:bookmarkStart w:id="104" w:name="_Toc102273823"/>
      <w:bookmarkStart w:id="105" w:name="_Toc272058162"/>
      <w:bookmarkStart w:id="106" w:name="_Toc267648582"/>
      <w:r>
        <w:rPr>
          <w:rStyle w:val="CharSectno"/>
        </w:rPr>
        <w:t>21</w:t>
      </w:r>
      <w:r>
        <w:rPr>
          <w:snapToGrid w:val="0"/>
        </w:rPr>
        <w:t>.</w:t>
      </w:r>
      <w:r>
        <w:rPr>
          <w:snapToGrid w:val="0"/>
        </w:rPr>
        <w:tab/>
        <w:t>Termination of fidelity bond</w:t>
      </w:r>
      <w:bookmarkEnd w:id="103"/>
      <w:bookmarkEnd w:id="104"/>
      <w:bookmarkEnd w:id="105"/>
      <w:bookmarkEnd w:id="106"/>
      <w:r>
        <w:rPr>
          <w:snapToGrid w:val="0"/>
        </w:rPr>
        <w:t xml:space="preserve"> </w:t>
      </w:r>
    </w:p>
    <w:p>
      <w:pPr>
        <w:pStyle w:val="Subsection"/>
        <w:spacing w:after="40"/>
        <w:rPr>
          <w:snapToGrid w:val="0"/>
        </w:rPr>
      </w:pPr>
      <w:r>
        <w:rPr>
          <w:snapToGrid w:val="0"/>
        </w:rPr>
        <w:tab/>
        <w:t>(</w:t>
      </w:r>
      <w:del w:id="107" w:author="svcMRProcess" w:date="2015-12-11T06:28:00Z">
        <w:r>
          <w:rPr>
            <w:snapToGrid w:val="0"/>
          </w:rPr>
          <w:delText>1)(a</w:delText>
        </w:r>
      </w:del>
      <w:ins w:id="108" w:author="svcMRProcess" w:date="2015-12-11T06:28:00Z">
        <w:r>
          <w:rPr>
            <w:snapToGrid w:val="0"/>
          </w:rPr>
          <w:t>1A</w:t>
        </w:r>
      </w:ins>
      <w:r>
        <w:rPr>
          <w:snapToGrid w:val="0"/>
        </w:rPr>
        <w:t>)</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w:t>
      </w:r>
      <w:del w:id="109" w:author="svcMRProcess" w:date="2015-12-11T06:28:00Z">
        <w:r>
          <w:rPr>
            <w:snapToGrid w:val="0"/>
          </w:rPr>
          <w:delText>b</w:delText>
        </w:r>
      </w:del>
      <w:ins w:id="110" w:author="svcMRProcess" w:date="2015-12-11T06:28:00Z">
        <w:r>
          <w:rPr>
            <w:snapToGrid w:val="0"/>
          </w:rPr>
          <w:t>1B</w:t>
        </w:r>
      </w:ins>
      <w:r>
        <w:rPr>
          <w:snapToGrid w:val="0"/>
        </w:rPr>
        <w:t>)</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w:t>
      </w:r>
      <w:del w:id="111" w:author="svcMRProcess" w:date="2015-12-11T06:28:00Z">
        <w:r>
          <w:rPr>
            <w:snapToGrid w:val="0"/>
          </w:rPr>
          <w:delText>c</w:delText>
        </w:r>
      </w:del>
      <w:ins w:id="112" w:author="svcMRProcess" w:date="2015-12-11T06:28:00Z">
        <w:r>
          <w:rPr>
            <w:snapToGrid w:val="0"/>
          </w:rPr>
          <w:t>1C</w:t>
        </w:r>
      </w:ins>
      <w:r>
        <w:rPr>
          <w:snapToGrid w:val="0"/>
        </w:rPr>
        <w:t>)</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w:t>
      </w:r>
      <w:del w:id="113" w:author="svcMRProcess" w:date="2015-12-11T06:28:00Z">
        <w:r>
          <w:rPr>
            <w:snapToGrid w:val="0"/>
          </w:rPr>
          <w:delText>i</w:delText>
        </w:r>
      </w:del>
      <w:ins w:id="114" w:author="svcMRProcess" w:date="2015-12-11T06:28:00Z">
        <w:r>
          <w:rPr>
            <w:snapToGrid w:val="0"/>
          </w:rPr>
          <w:t>a</w:t>
        </w:r>
      </w:ins>
      <w:r>
        <w:rPr>
          <w:snapToGrid w:val="0"/>
        </w:rPr>
        <w:t>)</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w:t>
      </w:r>
      <w:del w:id="115" w:author="svcMRProcess" w:date="2015-12-11T06:28:00Z">
        <w:r>
          <w:rPr>
            <w:snapToGrid w:val="0"/>
          </w:rPr>
          <w:delText>ii</w:delText>
        </w:r>
      </w:del>
      <w:ins w:id="116" w:author="svcMRProcess" w:date="2015-12-11T06:28:00Z">
        <w:r>
          <w:rPr>
            <w:snapToGrid w:val="0"/>
          </w:rPr>
          <w:t>b</w:t>
        </w:r>
      </w:ins>
      <w:r>
        <w:rPr>
          <w:snapToGrid w:val="0"/>
        </w:rPr>
        <w:t>)</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ins w:id="117" w:author="svcMRProcess" w:date="2015-12-11T06:28:00Z">
        <w:r>
          <w:t>; No. 19 of 2010 s. 51</w:t>
        </w:r>
      </w:ins>
      <w:r>
        <w:t>.]</w:t>
      </w:r>
    </w:p>
    <w:p>
      <w:pPr>
        <w:pStyle w:val="Heading5"/>
        <w:rPr>
          <w:snapToGrid w:val="0"/>
        </w:rPr>
      </w:pPr>
      <w:bookmarkStart w:id="118" w:name="_Toc455638739"/>
      <w:bookmarkStart w:id="119" w:name="_Toc102273824"/>
      <w:bookmarkStart w:id="120" w:name="_Toc272058163"/>
      <w:bookmarkStart w:id="121" w:name="_Toc267648583"/>
      <w:r>
        <w:rPr>
          <w:rStyle w:val="CharSectno"/>
        </w:rPr>
        <w:t>22</w:t>
      </w:r>
      <w:r>
        <w:rPr>
          <w:snapToGrid w:val="0"/>
        </w:rPr>
        <w:t>.</w:t>
      </w:r>
      <w:r>
        <w:rPr>
          <w:snapToGrid w:val="0"/>
        </w:rPr>
        <w:tab/>
        <w:t>Penalty for offences generally</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122" w:name="_Toc455638740"/>
      <w:bookmarkStart w:id="123" w:name="_Toc102273825"/>
      <w:bookmarkStart w:id="124" w:name="_Toc272058164"/>
      <w:bookmarkStart w:id="125" w:name="_Toc267648584"/>
      <w:r>
        <w:rPr>
          <w:rStyle w:val="CharSectno"/>
        </w:rPr>
        <w:t>23</w:t>
      </w:r>
      <w:r>
        <w:rPr>
          <w:snapToGrid w:val="0"/>
        </w:rPr>
        <w:t>.</w:t>
      </w:r>
      <w:r>
        <w:rPr>
          <w:snapToGrid w:val="0"/>
        </w:rPr>
        <w:tab/>
        <w:t xml:space="preserve">Offence by </w:t>
      </w:r>
      <w:bookmarkEnd w:id="122"/>
      <w:r>
        <w:rPr>
          <w:snapToGrid w:val="0"/>
        </w:rPr>
        <w:t>corporation</w:t>
      </w:r>
      <w:bookmarkEnd w:id="123"/>
      <w:bookmarkEnd w:id="124"/>
      <w:bookmarkEnd w:id="125"/>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126" w:name="_Toc455638741"/>
      <w:bookmarkStart w:id="127" w:name="_Toc102273826"/>
      <w:bookmarkStart w:id="128" w:name="_Toc272058165"/>
      <w:bookmarkStart w:id="129" w:name="_Toc267648585"/>
      <w:r>
        <w:rPr>
          <w:rStyle w:val="CharSectno"/>
        </w:rPr>
        <w:t>24</w:t>
      </w:r>
      <w:r>
        <w:rPr>
          <w:snapToGrid w:val="0"/>
        </w:rPr>
        <w:t>.</w:t>
      </w:r>
      <w:r>
        <w:rPr>
          <w:snapToGrid w:val="0"/>
        </w:rPr>
        <w:tab/>
        <w:t>Evidentiary provision</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130" w:name="_Toc455638742"/>
      <w:bookmarkStart w:id="131" w:name="_Toc102273827"/>
      <w:bookmarkStart w:id="132" w:name="_Toc272058166"/>
      <w:bookmarkStart w:id="133" w:name="_Toc267648586"/>
      <w:r>
        <w:rPr>
          <w:rStyle w:val="CharSectno"/>
        </w:rPr>
        <w:t>25</w:t>
      </w:r>
      <w:r>
        <w:rPr>
          <w:snapToGrid w:val="0"/>
        </w:rPr>
        <w:t>.</w:t>
      </w:r>
      <w:r>
        <w:rPr>
          <w:snapToGrid w:val="0"/>
        </w:rPr>
        <w:tab/>
        <w:t>Saving of remedies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134" w:name="_Toc455638743"/>
      <w:bookmarkStart w:id="135" w:name="_Toc102273828"/>
      <w:bookmarkStart w:id="136" w:name="_Toc272058167"/>
      <w:bookmarkStart w:id="137" w:name="_Toc267648587"/>
      <w:r>
        <w:rPr>
          <w:rStyle w:val="CharSectno"/>
        </w:rPr>
        <w:t>26</w:t>
      </w:r>
      <w:r>
        <w:rPr>
          <w:snapToGrid w:val="0"/>
        </w:rPr>
        <w:t>.</w:t>
      </w:r>
      <w:r>
        <w:rPr>
          <w:snapToGrid w:val="0"/>
        </w:rPr>
        <w:tab/>
        <w:t>Regulations</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8" w:name="_Toc72573724"/>
      <w:bookmarkStart w:id="139" w:name="_Toc89834318"/>
      <w:bookmarkStart w:id="140" w:name="_Toc92514038"/>
      <w:bookmarkStart w:id="141" w:name="_Toc92514107"/>
      <w:bookmarkStart w:id="142" w:name="_Toc102273781"/>
      <w:bookmarkStart w:id="143" w:name="_Toc102273829"/>
      <w:bookmarkStart w:id="144" w:name="_Toc135016354"/>
      <w:bookmarkStart w:id="145" w:name="_Toc135016384"/>
      <w:bookmarkStart w:id="146" w:name="_Toc135098726"/>
      <w:bookmarkStart w:id="147" w:name="_Toc135098866"/>
      <w:bookmarkStart w:id="148" w:name="_Toc136158967"/>
      <w:bookmarkStart w:id="149" w:name="_Toc137629648"/>
      <w:bookmarkStart w:id="150" w:name="_Toc157848933"/>
      <w:bookmarkStart w:id="151" w:name="_Toc157849032"/>
      <w:bookmarkStart w:id="152" w:name="_Toc196800106"/>
      <w:bookmarkStart w:id="153" w:name="_Toc199753218"/>
      <w:bookmarkStart w:id="154" w:name="_Toc223845333"/>
      <w:bookmarkStart w:id="155" w:name="_Toc268270918"/>
      <w:bookmarkStart w:id="156" w:name="_Toc272058168"/>
      <w:bookmarkStart w:id="157" w:name="_Toc267648588"/>
      <w:r>
        <w:t>Notes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8" w:name="_Toc272058169"/>
      <w:bookmarkStart w:id="159" w:name="_Toc267648589"/>
      <w:r>
        <w:rPr>
          <w:snapToGrid w:val="0"/>
        </w:rPr>
        <w:t>Compilation table</w:t>
      </w:r>
      <w:bookmarkEnd w:id="158"/>
      <w:bookmarkEnd w:id="159"/>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gridSpan w:val="2"/>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2"/>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gridSpan w:val="2"/>
          </w:tcPr>
          <w:p>
            <w:pPr>
              <w:pStyle w:val="nTable"/>
              <w:spacing w:after="40"/>
              <w:rPr>
                <w:sz w:val="19"/>
              </w:rPr>
            </w:pPr>
            <w:r>
              <w:rPr>
                <w:sz w:val="19"/>
              </w:rPr>
              <w:t>17 Oct 1966</w:t>
            </w:r>
          </w:p>
        </w:tc>
      </w:tr>
      <w:tr>
        <w:trPr>
          <w:cantSplit/>
        </w:trPr>
        <w:tc>
          <w:tcPr>
            <w:tcW w:w="7087" w:type="dxa"/>
            <w:gridSpan w:val="5"/>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5"/>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658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8" w:type="dxa"/>
          <w:cantSplit/>
          <w:ins w:id="160" w:author="svcMRProcess" w:date="2015-12-11T06:28:00Z"/>
        </w:trPr>
        <w:tc>
          <w:tcPr>
            <w:tcW w:w="2268" w:type="dxa"/>
            <w:tcBorders>
              <w:bottom w:val="single" w:sz="4" w:space="0" w:color="auto"/>
            </w:tcBorders>
          </w:tcPr>
          <w:p>
            <w:pPr>
              <w:pStyle w:val="nTable"/>
              <w:spacing w:after="40"/>
              <w:ind w:right="113"/>
              <w:rPr>
                <w:ins w:id="161" w:author="svcMRProcess" w:date="2015-12-11T06:28:00Z"/>
                <w:iCs/>
                <w:snapToGrid w:val="0"/>
                <w:sz w:val="19"/>
                <w:lang w:val="en-US"/>
              </w:rPr>
            </w:pPr>
            <w:ins w:id="162" w:author="svcMRProcess" w:date="2015-12-11T06:28:00Z">
              <w:r>
                <w:rPr>
                  <w:i/>
                  <w:snapToGrid w:val="0"/>
                  <w:sz w:val="19"/>
                  <w:lang w:val="en-US"/>
                </w:rPr>
                <w:t>Standardisation of Formatting Act 2010</w:t>
              </w:r>
              <w:r>
                <w:rPr>
                  <w:iCs/>
                  <w:snapToGrid w:val="0"/>
                  <w:sz w:val="19"/>
                  <w:lang w:val="en-US"/>
                </w:rPr>
                <w:t xml:space="preserve"> s. 51</w:t>
              </w:r>
            </w:ins>
          </w:p>
        </w:tc>
        <w:tc>
          <w:tcPr>
            <w:tcW w:w="1134" w:type="dxa"/>
            <w:tcBorders>
              <w:bottom w:val="single" w:sz="4" w:space="0" w:color="auto"/>
            </w:tcBorders>
          </w:tcPr>
          <w:p>
            <w:pPr>
              <w:pStyle w:val="nTable"/>
              <w:spacing w:after="40"/>
              <w:rPr>
                <w:ins w:id="163" w:author="svcMRProcess" w:date="2015-12-11T06:28:00Z"/>
                <w:snapToGrid w:val="0"/>
                <w:sz w:val="19"/>
                <w:lang w:val="en-US"/>
              </w:rPr>
            </w:pPr>
            <w:ins w:id="164" w:author="svcMRProcess" w:date="2015-12-11T06:28:00Z">
              <w:r>
                <w:rPr>
                  <w:snapToGrid w:val="0"/>
                  <w:sz w:val="19"/>
                  <w:lang w:val="en-US"/>
                </w:rPr>
                <w:t>19 of 2010</w:t>
              </w:r>
            </w:ins>
          </w:p>
        </w:tc>
        <w:tc>
          <w:tcPr>
            <w:tcW w:w="1134" w:type="dxa"/>
            <w:tcBorders>
              <w:bottom w:val="single" w:sz="4" w:space="0" w:color="auto"/>
            </w:tcBorders>
          </w:tcPr>
          <w:p>
            <w:pPr>
              <w:pStyle w:val="nTable"/>
              <w:spacing w:after="40"/>
              <w:rPr>
                <w:ins w:id="165" w:author="svcMRProcess" w:date="2015-12-11T06:28:00Z"/>
                <w:snapToGrid w:val="0"/>
                <w:sz w:val="19"/>
                <w:lang w:val="en-US"/>
              </w:rPr>
            </w:pPr>
            <w:ins w:id="166" w:author="svcMRProcess" w:date="2015-12-11T06:28:00Z">
              <w:r>
                <w:rPr>
                  <w:snapToGrid w:val="0"/>
                  <w:sz w:val="19"/>
                  <w:lang w:val="en-US"/>
                </w:rPr>
                <w:t>28 Jun 2010</w:t>
              </w:r>
            </w:ins>
          </w:p>
        </w:tc>
        <w:tc>
          <w:tcPr>
            <w:tcW w:w="2533" w:type="dxa"/>
            <w:tcBorders>
              <w:bottom w:val="single" w:sz="4" w:space="0" w:color="auto"/>
            </w:tcBorders>
          </w:tcPr>
          <w:p>
            <w:pPr>
              <w:pStyle w:val="nTable"/>
              <w:spacing w:after="40"/>
              <w:rPr>
                <w:ins w:id="167" w:author="svcMRProcess" w:date="2015-12-11T06:28:00Z"/>
                <w:snapToGrid w:val="0"/>
                <w:sz w:val="19"/>
                <w:lang w:val="en-US"/>
              </w:rPr>
            </w:pPr>
            <w:ins w:id="168" w:author="svcMRProcess" w:date="2015-12-11T06:28: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169" w:name="_Hlt507390729"/>
      <w:bookmarkEnd w:id="16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0" w:name="_Toc272058170"/>
      <w:bookmarkStart w:id="171" w:name="_Toc267648590"/>
      <w:r>
        <w:rPr>
          <w:snapToGrid w:val="0"/>
        </w:rPr>
        <w:t>Provisions that have not come into operation</w:t>
      </w:r>
      <w:bookmarkEnd w:id="170"/>
      <w:bookmarkEnd w:id="171"/>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gridCol w:w="19"/>
      </w:tblGrid>
      <w:tr>
        <w:trPr>
          <w:gridAfter w:val="1"/>
          <w:wAfter w:w="19"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9" w:type="dxa"/>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gridSpan w:val="2"/>
            <w:tcBorders>
              <w:top w:val="single" w:sz="8" w:space="0" w:color="auto"/>
              <w:bottom w:val="single" w:sz="8" w:space="0" w:color="auto"/>
            </w:tcBorders>
          </w:tcPr>
          <w:p>
            <w:pPr>
              <w:pStyle w:val="nTable"/>
              <w:keepNext/>
              <w:spacing w:after="40"/>
              <w:rPr>
                <w:sz w:val="19"/>
              </w:rPr>
            </w:pPr>
            <w:r>
              <w:rPr>
                <w:sz w:val="19"/>
              </w:rPr>
              <w:t>56 of 1995</w:t>
            </w:r>
          </w:p>
        </w:tc>
        <w:tc>
          <w:tcPr>
            <w:tcW w:w="1134" w:type="dxa"/>
            <w:gridSpan w:val="2"/>
            <w:tcBorders>
              <w:top w:val="single" w:sz="8" w:space="0" w:color="auto"/>
              <w:bottom w:val="single" w:sz="8" w:space="0" w:color="auto"/>
            </w:tcBorders>
          </w:tcPr>
          <w:p>
            <w:pPr>
              <w:pStyle w:val="nTable"/>
              <w:keepNext/>
              <w:spacing w:after="40"/>
              <w:rPr>
                <w:sz w:val="19"/>
              </w:rPr>
            </w:pPr>
            <w:r>
              <w:rPr>
                <w:sz w:val="19"/>
              </w:rPr>
              <w:t>20 Dec 1995</w:t>
            </w:r>
          </w:p>
        </w:tc>
        <w:tc>
          <w:tcPr>
            <w:tcW w:w="2552" w:type="dxa"/>
            <w:gridSpan w:val="2"/>
            <w:tcBorders>
              <w:top w:val="single" w:sz="8" w:space="0" w:color="auto"/>
              <w:bottom w:val="single" w:sz="8" w:space="0" w:color="auto"/>
            </w:tcBorders>
          </w:tcPr>
          <w:p>
            <w:pPr>
              <w:pStyle w:val="nTable"/>
              <w:keepNext/>
              <w:spacing w:after="40"/>
              <w:rPr>
                <w:sz w:val="19"/>
              </w:rPr>
            </w:pPr>
            <w:r>
              <w:rPr>
                <w:sz w:val="19"/>
              </w:rPr>
              <w:t>To be proclaimed (see s. 2(2))</w:t>
            </w:r>
          </w:p>
        </w:tc>
      </w:tr>
      <w:tr>
        <w:trPr>
          <w:cantSplit/>
          <w:del w:id="172" w:author="svcMRProcess" w:date="2015-12-11T06:28:00Z"/>
        </w:trPr>
        <w:tc>
          <w:tcPr>
            <w:tcW w:w="2278" w:type="dxa"/>
            <w:gridSpan w:val="2"/>
            <w:tcBorders>
              <w:bottom w:val="single" w:sz="4" w:space="0" w:color="auto"/>
            </w:tcBorders>
          </w:tcPr>
          <w:p>
            <w:pPr>
              <w:pStyle w:val="nTable"/>
              <w:spacing w:after="40"/>
              <w:ind w:right="113"/>
              <w:rPr>
                <w:del w:id="173" w:author="svcMRProcess" w:date="2015-12-11T06:28:00Z"/>
                <w:iCs/>
                <w:snapToGrid w:val="0"/>
                <w:sz w:val="19"/>
                <w:lang w:val="en-US"/>
              </w:rPr>
            </w:pPr>
            <w:bookmarkStart w:id="174" w:name="UpToHere"/>
            <w:bookmarkEnd w:id="174"/>
            <w:del w:id="175" w:author="svcMRProcess" w:date="2015-12-11T06:28:00Z">
              <w:r>
                <w:rPr>
                  <w:i/>
                  <w:snapToGrid w:val="0"/>
                  <w:sz w:val="19"/>
                  <w:lang w:val="en-US"/>
                </w:rPr>
                <w:delText>Standardisation of Formatting Act 2010</w:delText>
              </w:r>
              <w:r>
                <w:rPr>
                  <w:iCs/>
                  <w:snapToGrid w:val="0"/>
                  <w:sz w:val="19"/>
                  <w:lang w:val="en-US"/>
                </w:rPr>
                <w:delText xml:space="preserve"> s. 51</w:delText>
              </w:r>
              <w:r>
                <w:rPr>
                  <w:iCs/>
                  <w:snapToGrid w:val="0"/>
                  <w:sz w:val="19"/>
                  <w:vertAlign w:val="superscript"/>
                  <w:lang w:val="en-US"/>
                </w:rPr>
                <w:delText> 7</w:delText>
              </w:r>
            </w:del>
          </w:p>
        </w:tc>
        <w:tc>
          <w:tcPr>
            <w:tcW w:w="1139" w:type="dxa"/>
            <w:gridSpan w:val="2"/>
            <w:tcBorders>
              <w:bottom w:val="single" w:sz="4" w:space="0" w:color="auto"/>
            </w:tcBorders>
          </w:tcPr>
          <w:p>
            <w:pPr>
              <w:pStyle w:val="nTable"/>
              <w:spacing w:after="40"/>
              <w:rPr>
                <w:del w:id="176" w:author="svcMRProcess" w:date="2015-12-11T06:28:00Z"/>
                <w:snapToGrid w:val="0"/>
                <w:sz w:val="19"/>
                <w:lang w:val="en-US"/>
              </w:rPr>
            </w:pPr>
            <w:del w:id="177" w:author="svcMRProcess" w:date="2015-12-11T06:28:00Z">
              <w:r>
                <w:rPr>
                  <w:snapToGrid w:val="0"/>
                  <w:sz w:val="19"/>
                  <w:lang w:val="en-US"/>
                </w:rPr>
                <w:delText>19 of 2010</w:delText>
              </w:r>
            </w:del>
          </w:p>
        </w:tc>
        <w:tc>
          <w:tcPr>
            <w:tcW w:w="1136" w:type="dxa"/>
            <w:gridSpan w:val="2"/>
            <w:tcBorders>
              <w:bottom w:val="single" w:sz="4" w:space="0" w:color="auto"/>
            </w:tcBorders>
          </w:tcPr>
          <w:p>
            <w:pPr>
              <w:pStyle w:val="nTable"/>
              <w:spacing w:after="40"/>
              <w:rPr>
                <w:del w:id="178" w:author="svcMRProcess" w:date="2015-12-11T06:28:00Z"/>
                <w:snapToGrid w:val="0"/>
                <w:sz w:val="19"/>
                <w:lang w:val="en-US"/>
              </w:rPr>
            </w:pPr>
            <w:del w:id="179" w:author="svcMRProcess" w:date="2015-12-11T06:28:00Z">
              <w:r>
                <w:rPr>
                  <w:snapToGrid w:val="0"/>
                  <w:sz w:val="19"/>
                  <w:lang w:val="en-US"/>
                </w:rPr>
                <w:delText>28 Jun 2010</w:delText>
              </w:r>
            </w:del>
          </w:p>
        </w:tc>
        <w:tc>
          <w:tcPr>
            <w:tcW w:w="2554" w:type="dxa"/>
            <w:gridSpan w:val="2"/>
            <w:tcBorders>
              <w:bottom w:val="single" w:sz="4" w:space="0" w:color="auto"/>
            </w:tcBorders>
          </w:tcPr>
          <w:p>
            <w:pPr>
              <w:pStyle w:val="nTable"/>
              <w:spacing w:after="40"/>
              <w:rPr>
                <w:del w:id="180" w:author="svcMRProcess" w:date="2015-12-11T06:28:00Z"/>
                <w:snapToGrid w:val="0"/>
                <w:sz w:val="19"/>
                <w:lang w:val="en-US"/>
              </w:rPr>
            </w:pPr>
            <w:del w:id="181" w:author="svcMRProcess" w:date="2015-12-11T06:28:00Z">
              <w:r>
                <w:rPr>
                  <w:snapToGrid w:val="0"/>
                  <w:sz w:val="19"/>
                  <w:lang w:val="en-US"/>
                </w:rPr>
                <w:delText>To be proclaimed (see s. 2(b))</w:delText>
              </w:r>
            </w:del>
          </w:p>
        </w:tc>
      </w:tr>
    </w:tbl>
    <w:p>
      <w:pPr>
        <w:pStyle w:val="nSubsection"/>
        <w:rPr>
          <w:del w:id="182" w:author="svcMRProcess" w:date="2015-12-11T06:28:00Z"/>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Pr>
        <w:pStyle w:val="nSubsection"/>
        <w:rPr>
          <w:del w:id="183" w:author="svcMRProcess" w:date="2015-12-11T06:28:00Z"/>
          <w:snapToGrid w:val="0"/>
        </w:rPr>
      </w:pPr>
      <w:del w:id="184" w:author="svcMRProcess" w:date="2015-12-11T06:28: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85" w:author="svcMRProcess" w:date="2015-12-11T06:28:00Z"/>
        </w:rPr>
      </w:pPr>
    </w:p>
    <w:p>
      <w:pPr>
        <w:pStyle w:val="nzHeading5"/>
        <w:rPr>
          <w:del w:id="186" w:author="svcMRProcess" w:date="2015-12-11T06:28:00Z"/>
        </w:rPr>
      </w:pPr>
      <w:bookmarkStart w:id="187" w:name="_Toc233107854"/>
      <w:bookmarkStart w:id="188" w:name="_Toc255473747"/>
      <w:bookmarkStart w:id="189" w:name="_Toc265583802"/>
      <w:del w:id="190" w:author="svcMRProcess" w:date="2015-12-11T06:28:00Z">
        <w:r>
          <w:rPr>
            <w:rStyle w:val="CharSectno"/>
          </w:rPr>
          <w:delText>51</w:delText>
        </w:r>
        <w:r>
          <w:delText>.</w:delText>
        </w:r>
        <w:r>
          <w:tab/>
          <w:delText>Various written laws amended</w:delText>
        </w:r>
        <w:bookmarkEnd w:id="187"/>
        <w:bookmarkEnd w:id="188"/>
        <w:bookmarkEnd w:id="189"/>
      </w:del>
    </w:p>
    <w:p>
      <w:pPr>
        <w:pStyle w:val="nzSubsection"/>
        <w:rPr>
          <w:del w:id="191" w:author="svcMRProcess" w:date="2015-12-11T06:28:00Z"/>
        </w:rPr>
      </w:pPr>
      <w:del w:id="192" w:author="svcMRProcess" w:date="2015-12-11T06:28:00Z">
        <w:r>
          <w:tab/>
          <w:delText>(1)</w:delText>
        </w:r>
        <w:r>
          <w:tab/>
          <w:delText>This section amends the written laws listed in the Table.</w:delText>
        </w:r>
      </w:del>
    </w:p>
    <w:p>
      <w:pPr>
        <w:pStyle w:val="nzSubsection"/>
        <w:rPr>
          <w:del w:id="193" w:author="svcMRProcess" w:date="2015-12-11T06:28:00Z"/>
        </w:rPr>
      </w:pPr>
      <w:del w:id="194" w:author="svcMRProcess" w:date="2015-12-11T06:28: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95" w:author="svcMRProcess" w:date="2015-12-11T06:28:00Z"/>
        </w:trPr>
        <w:tc>
          <w:tcPr>
            <w:tcW w:w="6804" w:type="dxa"/>
            <w:gridSpan w:val="3"/>
          </w:tcPr>
          <w:p>
            <w:pPr>
              <w:pStyle w:val="TableAm"/>
              <w:keepNext/>
              <w:ind w:left="567" w:hanging="567"/>
              <w:rPr>
                <w:del w:id="196" w:author="svcMRProcess" w:date="2015-12-11T06:28:00Z"/>
                <w:b/>
                <w:bCs/>
                <w:iCs/>
              </w:rPr>
            </w:pPr>
            <w:del w:id="197" w:author="svcMRProcess" w:date="2015-12-11T06:28:00Z">
              <w:r>
                <w:rPr>
                  <w:b/>
                  <w:bCs/>
                </w:rPr>
                <w:delText>17.</w:delText>
              </w:r>
              <w:r>
                <w:rPr>
                  <w:b/>
                  <w:bCs/>
                </w:rPr>
                <w:tab/>
              </w:r>
              <w:r>
                <w:rPr>
                  <w:b/>
                  <w:bCs/>
                  <w:i/>
                  <w:iCs/>
                </w:rPr>
                <w:delText>Debt Collectors Licensing Act 1964</w:delText>
              </w:r>
            </w:del>
          </w:p>
        </w:tc>
      </w:tr>
      <w:tr>
        <w:trPr>
          <w:jc w:val="center"/>
          <w:del w:id="198" w:author="svcMRProcess" w:date="2015-12-11T06:28:00Z"/>
        </w:trPr>
        <w:tc>
          <w:tcPr>
            <w:tcW w:w="1702" w:type="dxa"/>
          </w:tcPr>
          <w:p>
            <w:pPr>
              <w:pStyle w:val="TableAm"/>
              <w:rPr>
                <w:del w:id="199" w:author="svcMRProcess" w:date="2015-12-11T06:28:00Z"/>
              </w:rPr>
            </w:pPr>
            <w:del w:id="200" w:author="svcMRProcess" w:date="2015-12-11T06:28:00Z">
              <w:r>
                <w:delText>s. 8(2)</w:delText>
              </w:r>
            </w:del>
          </w:p>
        </w:tc>
        <w:tc>
          <w:tcPr>
            <w:tcW w:w="2551" w:type="dxa"/>
          </w:tcPr>
          <w:p>
            <w:pPr>
              <w:pStyle w:val="TableAm"/>
              <w:rPr>
                <w:del w:id="201" w:author="svcMRProcess" w:date="2015-12-11T06:28:00Z"/>
                <w:snapToGrid w:val="0"/>
              </w:rPr>
            </w:pPr>
            <w:del w:id="202" w:author="svcMRProcess" w:date="2015-12-11T06:28:00Z">
              <w:r>
                <w:rPr>
                  <w:snapToGrid w:val="0"/>
                </w:rPr>
                <w:delText>(2)(a)</w:delText>
              </w:r>
              <w:r>
                <w:rPr>
                  <w:snapToGrid w:val="0"/>
                </w:rPr>
                <w:tab/>
                <w:delText>Subject</w:delText>
              </w:r>
            </w:del>
          </w:p>
          <w:p>
            <w:pPr>
              <w:pStyle w:val="TableAm"/>
              <w:rPr>
                <w:del w:id="203" w:author="svcMRProcess" w:date="2015-12-11T06:28:00Z"/>
                <w:snapToGrid w:val="0"/>
              </w:rPr>
            </w:pPr>
            <w:del w:id="204" w:author="svcMRProcess" w:date="2015-12-11T06:28:00Z">
              <w:r>
                <w:rPr>
                  <w:snapToGrid w:val="0"/>
                </w:rPr>
                <w:delText>(i)</w:delText>
              </w:r>
              <w:r>
                <w:rPr>
                  <w:snapToGrid w:val="0"/>
                </w:rPr>
                <w:tab/>
                <w:delText>testimonials</w:delText>
              </w:r>
            </w:del>
          </w:p>
          <w:p>
            <w:pPr>
              <w:pStyle w:val="TableAm"/>
              <w:rPr>
                <w:del w:id="205" w:author="svcMRProcess" w:date="2015-12-11T06:28:00Z"/>
                <w:snapToGrid w:val="0"/>
              </w:rPr>
            </w:pPr>
            <w:del w:id="206" w:author="svcMRProcess" w:date="2015-12-11T06:28:00Z">
              <w:r>
                <w:rPr>
                  <w:snapToGrid w:val="0"/>
                </w:rPr>
                <w:delText>(ii)</w:delText>
              </w:r>
              <w:r>
                <w:rPr>
                  <w:snapToGrid w:val="0"/>
                </w:rPr>
                <w:tab/>
                <w:delText>the</w:delText>
              </w:r>
            </w:del>
          </w:p>
          <w:p>
            <w:pPr>
              <w:pStyle w:val="TableAm"/>
              <w:rPr>
                <w:del w:id="207" w:author="svcMRProcess" w:date="2015-12-11T06:28:00Z"/>
              </w:rPr>
            </w:pPr>
            <w:del w:id="208" w:author="svcMRProcess" w:date="2015-12-11T06:28:00Z">
              <w:r>
                <w:rPr>
                  <w:snapToGrid w:val="0"/>
                </w:rPr>
                <w:delText>(b)</w:delText>
              </w:r>
              <w:r>
                <w:rPr>
                  <w:snapToGrid w:val="0"/>
                </w:rPr>
                <w:tab/>
                <w:delText>The prescribed</w:delText>
              </w:r>
            </w:del>
          </w:p>
        </w:tc>
        <w:tc>
          <w:tcPr>
            <w:tcW w:w="2551" w:type="dxa"/>
          </w:tcPr>
          <w:p>
            <w:pPr>
              <w:pStyle w:val="TableAm"/>
              <w:rPr>
                <w:del w:id="209" w:author="svcMRProcess" w:date="2015-12-11T06:28:00Z"/>
                <w:snapToGrid w:val="0"/>
              </w:rPr>
            </w:pPr>
            <w:del w:id="210" w:author="svcMRProcess" w:date="2015-12-11T06:28:00Z">
              <w:r>
                <w:rPr>
                  <w:snapToGrid w:val="0"/>
                </w:rPr>
                <w:delText>(2A)</w:delText>
              </w:r>
              <w:r>
                <w:rPr>
                  <w:snapToGrid w:val="0"/>
                </w:rPr>
                <w:tab/>
                <w:delText>Subject</w:delText>
              </w:r>
            </w:del>
          </w:p>
          <w:p>
            <w:pPr>
              <w:pStyle w:val="TableAm"/>
              <w:rPr>
                <w:del w:id="211" w:author="svcMRProcess" w:date="2015-12-11T06:28:00Z"/>
                <w:snapToGrid w:val="0"/>
              </w:rPr>
            </w:pPr>
            <w:del w:id="212" w:author="svcMRProcess" w:date="2015-12-11T06:28:00Z">
              <w:r>
                <w:rPr>
                  <w:snapToGrid w:val="0"/>
                </w:rPr>
                <w:delText>(a)</w:delText>
              </w:r>
              <w:r>
                <w:rPr>
                  <w:snapToGrid w:val="0"/>
                </w:rPr>
                <w:tab/>
                <w:delText>testimonials</w:delText>
              </w:r>
            </w:del>
          </w:p>
          <w:p>
            <w:pPr>
              <w:pStyle w:val="TableAm"/>
              <w:rPr>
                <w:del w:id="213" w:author="svcMRProcess" w:date="2015-12-11T06:28:00Z"/>
                <w:snapToGrid w:val="0"/>
              </w:rPr>
            </w:pPr>
            <w:del w:id="214" w:author="svcMRProcess" w:date="2015-12-11T06:28:00Z">
              <w:r>
                <w:rPr>
                  <w:snapToGrid w:val="0"/>
                </w:rPr>
                <w:delText>(b)</w:delText>
              </w:r>
              <w:r>
                <w:rPr>
                  <w:snapToGrid w:val="0"/>
                </w:rPr>
                <w:tab/>
                <w:delText>the</w:delText>
              </w:r>
            </w:del>
          </w:p>
          <w:p>
            <w:pPr>
              <w:pStyle w:val="TableAm"/>
              <w:rPr>
                <w:del w:id="215" w:author="svcMRProcess" w:date="2015-12-11T06:28:00Z"/>
              </w:rPr>
            </w:pPr>
            <w:del w:id="216" w:author="svcMRProcess" w:date="2015-12-11T06:28:00Z">
              <w:r>
                <w:rPr>
                  <w:snapToGrid w:val="0"/>
                </w:rPr>
                <w:delText>(2B)</w:delText>
              </w:r>
              <w:r>
                <w:rPr>
                  <w:snapToGrid w:val="0"/>
                </w:rPr>
                <w:tab/>
                <w:delText>The prescribed</w:delText>
              </w:r>
            </w:del>
          </w:p>
        </w:tc>
      </w:tr>
      <w:tr>
        <w:trPr>
          <w:jc w:val="center"/>
          <w:del w:id="217" w:author="svcMRProcess" w:date="2015-12-11T06:28:00Z"/>
        </w:trPr>
        <w:tc>
          <w:tcPr>
            <w:tcW w:w="1702" w:type="dxa"/>
          </w:tcPr>
          <w:p>
            <w:pPr>
              <w:pStyle w:val="TableAm"/>
              <w:rPr>
                <w:del w:id="218" w:author="svcMRProcess" w:date="2015-12-11T06:28:00Z"/>
              </w:rPr>
            </w:pPr>
            <w:del w:id="219" w:author="svcMRProcess" w:date="2015-12-11T06:28:00Z">
              <w:r>
                <w:delText>s. 8(5)</w:delText>
              </w:r>
            </w:del>
          </w:p>
        </w:tc>
        <w:tc>
          <w:tcPr>
            <w:tcW w:w="2551" w:type="dxa"/>
          </w:tcPr>
          <w:p>
            <w:pPr>
              <w:pStyle w:val="TableAm"/>
              <w:rPr>
                <w:del w:id="220" w:author="svcMRProcess" w:date="2015-12-11T06:28:00Z"/>
                <w:snapToGrid w:val="0"/>
              </w:rPr>
            </w:pPr>
            <w:del w:id="221" w:author="svcMRProcess" w:date="2015-12-11T06:28:00Z">
              <w:r>
                <w:rPr>
                  <w:snapToGrid w:val="0"/>
                </w:rPr>
                <w:delText>(5)(a)</w:delText>
              </w:r>
              <w:r>
                <w:rPr>
                  <w:snapToGrid w:val="0"/>
                </w:rPr>
                <w:tab/>
                <w:delText>The</w:delText>
              </w:r>
            </w:del>
          </w:p>
          <w:p>
            <w:pPr>
              <w:pStyle w:val="TableAm"/>
              <w:rPr>
                <w:del w:id="222" w:author="svcMRProcess" w:date="2015-12-11T06:28:00Z"/>
                <w:snapToGrid w:val="0"/>
              </w:rPr>
            </w:pPr>
            <w:del w:id="223" w:author="svcMRProcess" w:date="2015-12-11T06:28:00Z">
              <w:r>
                <w:rPr>
                  <w:snapToGrid w:val="0"/>
                </w:rPr>
                <w:delText>(b)</w:delText>
              </w:r>
              <w:r>
                <w:rPr>
                  <w:snapToGrid w:val="0"/>
                </w:rPr>
                <w:tab/>
                <w:delText>Any</w:delText>
              </w:r>
            </w:del>
          </w:p>
          <w:p>
            <w:pPr>
              <w:pStyle w:val="TableAm"/>
              <w:rPr>
                <w:del w:id="224" w:author="svcMRProcess" w:date="2015-12-11T06:28:00Z"/>
                <w:snapToGrid w:val="0"/>
              </w:rPr>
            </w:pPr>
            <w:del w:id="225" w:author="svcMRProcess" w:date="2015-12-11T06:28:00Z">
              <w:r>
                <w:rPr>
                  <w:snapToGrid w:val="0"/>
                </w:rPr>
                <w:delText>paragraph (a),</w:delText>
              </w:r>
            </w:del>
          </w:p>
          <w:p>
            <w:pPr>
              <w:pStyle w:val="TableAm"/>
              <w:rPr>
                <w:del w:id="226" w:author="svcMRProcess" w:date="2015-12-11T06:28:00Z"/>
              </w:rPr>
            </w:pPr>
            <w:del w:id="227" w:author="svcMRProcess" w:date="2015-12-11T06:28:00Z">
              <w:r>
                <w:delText>(c)</w:delText>
              </w:r>
              <w:r>
                <w:tab/>
                <w:delText>Where</w:delText>
              </w:r>
            </w:del>
          </w:p>
        </w:tc>
        <w:tc>
          <w:tcPr>
            <w:tcW w:w="2551" w:type="dxa"/>
          </w:tcPr>
          <w:p>
            <w:pPr>
              <w:pStyle w:val="TableAm"/>
              <w:rPr>
                <w:del w:id="228" w:author="svcMRProcess" w:date="2015-12-11T06:28:00Z"/>
                <w:snapToGrid w:val="0"/>
              </w:rPr>
            </w:pPr>
            <w:del w:id="229" w:author="svcMRProcess" w:date="2015-12-11T06:28:00Z">
              <w:r>
                <w:rPr>
                  <w:snapToGrid w:val="0"/>
                </w:rPr>
                <w:delText>(5A)</w:delText>
              </w:r>
              <w:r>
                <w:rPr>
                  <w:snapToGrid w:val="0"/>
                </w:rPr>
                <w:tab/>
                <w:delText>The</w:delText>
              </w:r>
            </w:del>
          </w:p>
          <w:p>
            <w:pPr>
              <w:pStyle w:val="TableAm"/>
              <w:rPr>
                <w:del w:id="230" w:author="svcMRProcess" w:date="2015-12-11T06:28:00Z"/>
                <w:snapToGrid w:val="0"/>
              </w:rPr>
            </w:pPr>
            <w:del w:id="231" w:author="svcMRProcess" w:date="2015-12-11T06:28:00Z">
              <w:r>
                <w:rPr>
                  <w:snapToGrid w:val="0"/>
                </w:rPr>
                <w:delText>(5B)</w:delText>
              </w:r>
              <w:r>
                <w:rPr>
                  <w:snapToGrid w:val="0"/>
                </w:rPr>
                <w:tab/>
                <w:delText>Any</w:delText>
              </w:r>
            </w:del>
          </w:p>
          <w:p>
            <w:pPr>
              <w:pStyle w:val="TableAm"/>
              <w:rPr>
                <w:del w:id="232" w:author="svcMRProcess" w:date="2015-12-11T06:28:00Z"/>
                <w:rFonts w:eastAsia="MS Mincho"/>
              </w:rPr>
            </w:pPr>
            <w:del w:id="233" w:author="svcMRProcess" w:date="2015-12-11T06:28:00Z">
              <w:r>
                <w:rPr>
                  <w:rFonts w:eastAsia="MS Mincho"/>
                </w:rPr>
                <w:delText>subsection (5A),</w:delText>
              </w:r>
            </w:del>
          </w:p>
          <w:p>
            <w:pPr>
              <w:pStyle w:val="TableAm"/>
              <w:rPr>
                <w:del w:id="234" w:author="svcMRProcess" w:date="2015-12-11T06:28:00Z"/>
              </w:rPr>
            </w:pPr>
            <w:del w:id="235" w:author="svcMRProcess" w:date="2015-12-11T06:28:00Z">
              <w:r>
                <w:delText>(5C)</w:delText>
              </w:r>
              <w:r>
                <w:tab/>
                <w:delText>Where</w:delText>
              </w:r>
            </w:del>
          </w:p>
        </w:tc>
      </w:tr>
      <w:tr>
        <w:trPr>
          <w:jc w:val="center"/>
          <w:del w:id="236" w:author="svcMRProcess" w:date="2015-12-11T06:28:00Z"/>
        </w:trPr>
        <w:tc>
          <w:tcPr>
            <w:tcW w:w="1702" w:type="dxa"/>
          </w:tcPr>
          <w:p>
            <w:pPr>
              <w:pStyle w:val="TableAm"/>
              <w:rPr>
                <w:del w:id="237" w:author="svcMRProcess" w:date="2015-12-11T06:28:00Z"/>
              </w:rPr>
            </w:pPr>
            <w:del w:id="238" w:author="svcMRProcess" w:date="2015-12-11T06:28:00Z">
              <w:r>
                <w:delText>s. 8(10)</w:delText>
              </w:r>
            </w:del>
          </w:p>
        </w:tc>
        <w:tc>
          <w:tcPr>
            <w:tcW w:w="2551" w:type="dxa"/>
          </w:tcPr>
          <w:p>
            <w:pPr>
              <w:pStyle w:val="TableAm"/>
              <w:rPr>
                <w:del w:id="239" w:author="svcMRProcess" w:date="2015-12-11T06:28:00Z"/>
              </w:rPr>
            </w:pPr>
            <w:del w:id="240" w:author="svcMRProcess" w:date="2015-12-11T06:28:00Z">
              <w:r>
                <w:rPr>
                  <w:snapToGrid w:val="0"/>
                </w:rPr>
                <w:delText>subsection (2)(a)(i),</w:delText>
              </w:r>
            </w:del>
          </w:p>
        </w:tc>
        <w:tc>
          <w:tcPr>
            <w:tcW w:w="2551" w:type="dxa"/>
          </w:tcPr>
          <w:p>
            <w:pPr>
              <w:pStyle w:val="TableAm"/>
              <w:rPr>
                <w:del w:id="241" w:author="svcMRProcess" w:date="2015-12-11T06:28:00Z"/>
              </w:rPr>
            </w:pPr>
            <w:del w:id="242" w:author="svcMRProcess" w:date="2015-12-11T06:28:00Z">
              <w:r>
                <w:rPr>
                  <w:rFonts w:eastAsia="MS Mincho"/>
                </w:rPr>
                <w:delText>subsection (2A)(a),</w:delText>
              </w:r>
            </w:del>
          </w:p>
        </w:tc>
      </w:tr>
      <w:tr>
        <w:trPr>
          <w:jc w:val="center"/>
          <w:del w:id="243" w:author="svcMRProcess" w:date="2015-12-11T06:28:00Z"/>
        </w:trPr>
        <w:tc>
          <w:tcPr>
            <w:tcW w:w="1702" w:type="dxa"/>
          </w:tcPr>
          <w:p>
            <w:pPr>
              <w:pStyle w:val="TableAm"/>
              <w:rPr>
                <w:del w:id="244" w:author="svcMRProcess" w:date="2015-12-11T06:28:00Z"/>
              </w:rPr>
            </w:pPr>
            <w:del w:id="245" w:author="svcMRProcess" w:date="2015-12-11T06:28:00Z">
              <w:r>
                <w:delText>s. 21(1)</w:delText>
              </w:r>
            </w:del>
          </w:p>
        </w:tc>
        <w:tc>
          <w:tcPr>
            <w:tcW w:w="2551" w:type="dxa"/>
          </w:tcPr>
          <w:p>
            <w:pPr>
              <w:pStyle w:val="TableAm"/>
              <w:rPr>
                <w:del w:id="246" w:author="svcMRProcess" w:date="2015-12-11T06:28:00Z"/>
                <w:snapToGrid w:val="0"/>
              </w:rPr>
            </w:pPr>
            <w:del w:id="247" w:author="svcMRProcess" w:date="2015-12-11T06:28:00Z">
              <w:r>
                <w:rPr>
                  <w:snapToGrid w:val="0"/>
                </w:rPr>
                <w:delText>(1)(a)</w:delText>
              </w:r>
              <w:r>
                <w:rPr>
                  <w:snapToGrid w:val="0"/>
                </w:rPr>
                <w:tab/>
                <w:delText>A fidelity</w:delText>
              </w:r>
            </w:del>
          </w:p>
          <w:p>
            <w:pPr>
              <w:pStyle w:val="TableAm"/>
              <w:rPr>
                <w:del w:id="248" w:author="svcMRProcess" w:date="2015-12-11T06:28:00Z"/>
                <w:snapToGrid w:val="0"/>
              </w:rPr>
            </w:pPr>
            <w:del w:id="249" w:author="svcMRProcess" w:date="2015-12-11T06:28:00Z">
              <w:r>
                <w:rPr>
                  <w:snapToGrid w:val="0"/>
                </w:rPr>
                <w:delText>(b)</w:delText>
              </w:r>
              <w:r>
                <w:rPr>
                  <w:snapToGrid w:val="0"/>
                </w:rPr>
                <w:tab/>
                <w:delText>The notice</w:delText>
              </w:r>
            </w:del>
          </w:p>
          <w:p>
            <w:pPr>
              <w:pStyle w:val="TableAm"/>
              <w:rPr>
                <w:del w:id="250" w:author="svcMRProcess" w:date="2015-12-11T06:28:00Z"/>
                <w:snapToGrid w:val="0"/>
              </w:rPr>
            </w:pPr>
            <w:del w:id="251" w:author="svcMRProcess" w:date="2015-12-11T06:28:00Z">
              <w:r>
                <w:rPr>
                  <w:snapToGrid w:val="0"/>
                </w:rPr>
                <w:delText>(c)</w:delText>
              </w:r>
              <w:r>
                <w:rPr>
                  <w:snapToGrid w:val="0"/>
                </w:rPr>
                <w:tab/>
                <w:delText>The obligation</w:delText>
              </w:r>
            </w:del>
          </w:p>
          <w:p>
            <w:pPr>
              <w:pStyle w:val="TableAm"/>
              <w:rPr>
                <w:del w:id="252" w:author="svcMRProcess" w:date="2015-12-11T06:28:00Z"/>
                <w:snapToGrid w:val="0"/>
              </w:rPr>
            </w:pPr>
            <w:del w:id="253" w:author="svcMRProcess" w:date="2015-12-11T06:28:00Z">
              <w:r>
                <w:rPr>
                  <w:snapToGrid w:val="0"/>
                </w:rPr>
                <w:delText>(i)</w:delText>
              </w:r>
              <w:r>
                <w:rPr>
                  <w:snapToGrid w:val="0"/>
                </w:rPr>
                <w:tab/>
                <w:delText>in respect</w:delText>
              </w:r>
            </w:del>
          </w:p>
          <w:p>
            <w:pPr>
              <w:pStyle w:val="TableAm"/>
              <w:rPr>
                <w:del w:id="254" w:author="svcMRProcess" w:date="2015-12-11T06:28:00Z"/>
              </w:rPr>
            </w:pPr>
            <w:del w:id="255" w:author="svcMRProcess" w:date="2015-12-11T06:28:00Z">
              <w:r>
                <w:rPr>
                  <w:snapToGrid w:val="0"/>
                </w:rPr>
                <w:delText>(ii)</w:delText>
              </w:r>
              <w:r>
                <w:rPr>
                  <w:snapToGrid w:val="0"/>
                </w:rPr>
                <w:tab/>
                <w:delText>for the</w:delText>
              </w:r>
            </w:del>
          </w:p>
        </w:tc>
        <w:tc>
          <w:tcPr>
            <w:tcW w:w="2551" w:type="dxa"/>
          </w:tcPr>
          <w:p>
            <w:pPr>
              <w:pStyle w:val="TableAm"/>
              <w:rPr>
                <w:del w:id="256" w:author="svcMRProcess" w:date="2015-12-11T06:28:00Z"/>
                <w:snapToGrid w:val="0"/>
              </w:rPr>
            </w:pPr>
            <w:del w:id="257" w:author="svcMRProcess" w:date="2015-12-11T06:28:00Z">
              <w:r>
                <w:rPr>
                  <w:snapToGrid w:val="0"/>
                </w:rPr>
                <w:delText>(1A)</w:delText>
              </w:r>
              <w:r>
                <w:rPr>
                  <w:snapToGrid w:val="0"/>
                </w:rPr>
                <w:tab/>
                <w:delText>A fidelity</w:delText>
              </w:r>
            </w:del>
          </w:p>
          <w:p>
            <w:pPr>
              <w:pStyle w:val="TableAm"/>
              <w:rPr>
                <w:del w:id="258" w:author="svcMRProcess" w:date="2015-12-11T06:28:00Z"/>
                <w:snapToGrid w:val="0"/>
              </w:rPr>
            </w:pPr>
            <w:del w:id="259" w:author="svcMRProcess" w:date="2015-12-11T06:28:00Z">
              <w:r>
                <w:rPr>
                  <w:snapToGrid w:val="0"/>
                </w:rPr>
                <w:delText>(1B)</w:delText>
              </w:r>
              <w:r>
                <w:rPr>
                  <w:snapToGrid w:val="0"/>
                </w:rPr>
                <w:tab/>
                <w:delText>The notice</w:delText>
              </w:r>
            </w:del>
          </w:p>
          <w:p>
            <w:pPr>
              <w:pStyle w:val="TableAm"/>
              <w:rPr>
                <w:del w:id="260" w:author="svcMRProcess" w:date="2015-12-11T06:28:00Z"/>
                <w:snapToGrid w:val="0"/>
              </w:rPr>
            </w:pPr>
            <w:del w:id="261" w:author="svcMRProcess" w:date="2015-12-11T06:28:00Z">
              <w:r>
                <w:rPr>
                  <w:snapToGrid w:val="0"/>
                </w:rPr>
                <w:delText>(1C)</w:delText>
              </w:r>
              <w:r>
                <w:rPr>
                  <w:snapToGrid w:val="0"/>
                </w:rPr>
                <w:tab/>
                <w:delText>The obligation</w:delText>
              </w:r>
            </w:del>
          </w:p>
          <w:p>
            <w:pPr>
              <w:pStyle w:val="TableAm"/>
              <w:rPr>
                <w:del w:id="262" w:author="svcMRProcess" w:date="2015-12-11T06:28:00Z"/>
                <w:snapToGrid w:val="0"/>
              </w:rPr>
            </w:pPr>
            <w:del w:id="263" w:author="svcMRProcess" w:date="2015-12-11T06:28:00Z">
              <w:r>
                <w:rPr>
                  <w:snapToGrid w:val="0"/>
                </w:rPr>
                <w:delText>(a)</w:delText>
              </w:r>
              <w:r>
                <w:rPr>
                  <w:snapToGrid w:val="0"/>
                </w:rPr>
                <w:tab/>
                <w:delText>in respect</w:delText>
              </w:r>
            </w:del>
          </w:p>
          <w:p>
            <w:pPr>
              <w:pStyle w:val="TableAm"/>
              <w:rPr>
                <w:del w:id="264" w:author="svcMRProcess" w:date="2015-12-11T06:28:00Z"/>
              </w:rPr>
            </w:pPr>
            <w:del w:id="265" w:author="svcMRProcess" w:date="2015-12-11T06:28:00Z">
              <w:r>
                <w:rPr>
                  <w:snapToGrid w:val="0"/>
                </w:rPr>
                <w:delText>(b)</w:delText>
              </w:r>
              <w:r>
                <w:rPr>
                  <w:snapToGrid w:val="0"/>
                </w:rPr>
                <w:tab/>
                <w:delText>for the</w:delText>
              </w:r>
            </w:del>
          </w:p>
        </w:tc>
      </w:tr>
    </w:tbl>
    <w:p>
      <w:pPr>
        <w:pStyle w:val="BlankClose"/>
        <w:rPr>
          <w:del w:id="266" w:author="svcMRProcess" w:date="2015-12-11T06:28: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C7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D229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4000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20D3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pStyle w:val="ListNumber"/>
      <w:lvlText w:val="%1."/>
      <w:lvlJc w:val="left"/>
      <w:pPr>
        <w:tabs>
          <w:tab w:val="num" w:pos="360"/>
        </w:tabs>
        <w:ind w:left="360" w:hanging="360"/>
      </w:pPr>
    </w:lvl>
  </w:abstractNum>
  <w:abstractNum w:abstractNumId="9">
    <w:nsid w:val="FFFFFF89"/>
    <w:multiLevelType w:val="singleLevel"/>
    <w:tmpl w:val="C5BA0C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C90B7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86D15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11"/>
    <w:docVar w:name="WAFER_20151210111311" w:val="RemoveTrackChanges"/>
    <w:docVar w:name="WAFER_20151210111311_GUID" w:val="ab10279a-00bc-47c1-ade0-09dcfeb2d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6798</Words>
  <Characters>31272</Characters>
  <Application>Microsoft Office Word</Application>
  <DocSecurity>0</DocSecurity>
  <Lines>893</Lines>
  <Paragraphs>437</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37633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03-g0-02 - 03-h0-02</dc:title>
  <dc:subject/>
  <dc:creator/>
  <cp:keywords/>
  <dc:description/>
  <cp:lastModifiedBy>svcMRProcess</cp:lastModifiedBy>
  <cp:revision>2</cp:revision>
  <cp:lastPrinted>2006-05-30T01:33:00Z</cp:lastPrinted>
  <dcterms:created xsi:type="dcterms:W3CDTF">2015-12-10T22:28:00Z</dcterms:created>
  <dcterms:modified xsi:type="dcterms:W3CDTF">2015-12-10T22:28:00Z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212</vt:i4>
  </property>
  <property fmtid="{D5CDD505-2E9C-101B-9397-08002B2CF9AE}" pid="6" name="FromSuffix">
    <vt:lpwstr>03-g0-02</vt:lpwstr>
  </property>
  <property fmtid="{D5CDD505-2E9C-101B-9397-08002B2CF9AE}" pid="7" name="FromAsAtDate">
    <vt:lpwstr>28 Jun 2010</vt:lpwstr>
  </property>
  <property fmtid="{D5CDD505-2E9C-101B-9397-08002B2CF9AE}" pid="8" name="ToSuffix">
    <vt:lpwstr>03-h0-02</vt:lpwstr>
  </property>
  <property fmtid="{D5CDD505-2E9C-101B-9397-08002B2CF9AE}" pid="9" name="ToAsAtDate">
    <vt:lpwstr>11 Sep 2010</vt:lpwstr>
  </property>
</Properties>
</file>