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Geraldton Sailors and Soldiers’ Memorial Institute Enabling Act 1934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Geraldton Sailors and Soldiers’ Memorial Institute Enabling Act 1934 </w:t>
      </w:r>
    </w:p>
    <w:p>
      <w:pPr>
        <w:pStyle w:val="LongTitle"/>
        <w:rPr>
          <w:snapToGrid w:val="0"/>
        </w:rPr>
      </w:pPr>
      <w:r>
        <w:rPr>
          <w:snapToGrid w:val="0"/>
        </w:rPr>
        <w:t>A</w:t>
      </w:r>
      <w:bookmarkStart w:id="1" w:name="_GoBack"/>
      <w:bookmarkEnd w:id="1"/>
      <w:r>
        <w:rPr>
          <w:snapToGrid w:val="0"/>
        </w:rPr>
        <w:t xml:space="preserve">n Act to enable the body corporate styled The Trustees of the Geraldton Sailors and Soldiers’ Memorial Institute to exercise certain powers of sale, mortgaging, and leasing in regard to certain lands vested or which may hereafter be vested in that body. </w:t>
      </w:r>
    </w:p>
    <w:p>
      <w:pPr>
        <w:pStyle w:val="Heading5"/>
        <w:rPr>
          <w:snapToGrid w:val="0"/>
        </w:rPr>
      </w:pPr>
      <w:bookmarkStart w:id="2" w:name="_Toc378258843"/>
      <w:bookmarkStart w:id="3" w:name="_Toc418866639"/>
      <w:bookmarkStart w:id="4" w:name="_Toc40254498"/>
      <w:bookmarkStart w:id="5" w:name="_Toc41817685"/>
      <w:bookmarkStart w:id="6" w:name="_Toc41818220"/>
      <w:bookmarkStart w:id="7" w:name="_Toc42423589"/>
      <w:bookmarkStart w:id="8" w:name="_Toc42423877"/>
      <w:bookmarkStart w:id="9" w:name="_Toc43174196"/>
      <w:bookmarkStart w:id="10" w:name="_Toc267650788"/>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Geraldton Sailors and Soldiers’ Memorial Institute Enabling Act 1934</w:t>
      </w:r>
      <w:r>
        <w:rPr>
          <w:snapToGrid w:val="0"/>
        </w:rPr>
        <w:t xml:space="preserve">, and shall be read as one with the </w:t>
      </w:r>
      <w:r>
        <w:rPr>
          <w:i/>
          <w:snapToGrid w:val="0"/>
        </w:rPr>
        <w:t>Geraldton Sailors and Soldiers’ Memorial Institute Act 1929</w:t>
      </w:r>
      <w:r>
        <w:rPr>
          <w:snapToGrid w:val="0"/>
          <w:vertAlign w:val="superscript"/>
        </w:rPr>
        <w:t> 1</w:t>
      </w:r>
      <w:r>
        <w:rPr>
          <w:snapToGrid w:val="0"/>
        </w:rPr>
        <w:t>.</w:t>
      </w:r>
    </w:p>
    <w:p>
      <w:pPr>
        <w:pStyle w:val="Heading5"/>
        <w:rPr>
          <w:snapToGrid w:val="0"/>
        </w:rPr>
      </w:pPr>
      <w:bookmarkStart w:id="11" w:name="_Toc378258844"/>
      <w:bookmarkStart w:id="12" w:name="_Toc418866640"/>
      <w:bookmarkStart w:id="13" w:name="_Toc40254499"/>
      <w:bookmarkStart w:id="14" w:name="_Toc41817686"/>
      <w:bookmarkStart w:id="15" w:name="_Toc41818221"/>
      <w:bookmarkStart w:id="16" w:name="_Toc42423590"/>
      <w:bookmarkStart w:id="17" w:name="_Toc42423878"/>
      <w:bookmarkStart w:id="18" w:name="_Toc43174197"/>
      <w:bookmarkStart w:id="19" w:name="_Toc267650789"/>
      <w:r>
        <w:rPr>
          <w:rStyle w:val="CharSectno"/>
        </w:rPr>
        <w:t>2</w:t>
      </w:r>
      <w:r>
        <w:rPr>
          <w:snapToGrid w:val="0"/>
        </w:rPr>
        <w:t>.</w:t>
      </w:r>
      <w:r>
        <w:rPr>
          <w:snapToGrid w:val="0"/>
        </w:rPr>
        <w:tab/>
        <w:t>Definitions</w:t>
      </w:r>
      <w:bookmarkEnd w:id="11"/>
      <w:bookmarkEnd w:id="12"/>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principal Act</w:t>
      </w:r>
      <w:r>
        <w:t xml:space="preserve"> means the </w:t>
      </w:r>
      <w:r>
        <w:rPr>
          <w:i/>
        </w:rPr>
        <w:t>Geraldton Sailors and Soldiers’ Memorial Institute Act 1929</w:t>
      </w:r>
      <w:r>
        <w:t>.</w:t>
      </w:r>
    </w:p>
    <w:p>
      <w:pPr>
        <w:pStyle w:val="Defstart"/>
      </w:pPr>
      <w:r>
        <w:rPr>
          <w:b/>
        </w:rPr>
        <w:tab/>
      </w:r>
      <w:r>
        <w:rPr>
          <w:rStyle w:val="CharDefText"/>
        </w:rPr>
        <w:t>The Trustees</w:t>
      </w:r>
      <w:r>
        <w:t xml:space="preserve"> means the Trustees of the Geraldton Sailors and Soldiers’ Memorial Institute, a body corporate incorporated under the principal Act.</w:t>
      </w:r>
    </w:p>
    <w:p>
      <w:pPr>
        <w:pStyle w:val="Heading5"/>
        <w:rPr>
          <w:snapToGrid w:val="0"/>
        </w:rPr>
      </w:pPr>
      <w:bookmarkStart w:id="20" w:name="_Toc378258845"/>
      <w:bookmarkStart w:id="21" w:name="_Toc418866641"/>
      <w:bookmarkStart w:id="22" w:name="_Toc40254500"/>
      <w:bookmarkStart w:id="23" w:name="_Toc41817687"/>
      <w:bookmarkStart w:id="24" w:name="_Toc41818222"/>
      <w:bookmarkStart w:id="25" w:name="_Toc42423591"/>
      <w:bookmarkStart w:id="26" w:name="_Toc42423879"/>
      <w:bookmarkStart w:id="27" w:name="_Toc43174198"/>
      <w:bookmarkStart w:id="28" w:name="_Toc267650790"/>
      <w:r>
        <w:rPr>
          <w:rStyle w:val="CharSectno"/>
        </w:rPr>
        <w:t>3</w:t>
      </w:r>
      <w:r>
        <w:rPr>
          <w:snapToGrid w:val="0"/>
        </w:rPr>
        <w:t>.</w:t>
      </w:r>
      <w:r>
        <w:rPr>
          <w:snapToGrid w:val="0"/>
        </w:rPr>
        <w:tab/>
        <w:t>Powers of sale in principal Act extended to other lands</w:t>
      </w:r>
      <w:bookmarkEnd w:id="20"/>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powers of sale, mortgaging, and leasing vested in the Trustees by the principal Act shall extend to and be exercisable by the Trustees, subject to the provisions of the principal Act in relation to the following lands: — </w:t>
      </w:r>
    </w:p>
    <w:p>
      <w:pPr>
        <w:pStyle w:val="Indenta"/>
        <w:rPr>
          <w:snapToGrid w:val="0"/>
        </w:rPr>
      </w:pPr>
      <w:r>
        <w:rPr>
          <w:snapToGrid w:val="0"/>
        </w:rPr>
        <w:lastRenderedPageBreak/>
        <w:tab/>
      </w:r>
      <w:del w:id="29" w:author="svcMRProcess" w:date="2019-01-21T14:33:00Z">
        <w:r>
          <w:rPr>
            <w:snapToGrid w:val="0"/>
          </w:rPr>
          <w:delText xml:space="preserve">1. </w:delText>
        </w:r>
        <w:r>
          <w:rPr>
            <w:snapToGrid w:val="0"/>
          </w:rPr>
          <w:tab/>
          <w:delText>All</w:delText>
        </w:r>
      </w:del>
      <w:ins w:id="30" w:author="svcMRProcess" w:date="2019-01-21T14:33:00Z">
        <w:r>
          <w:rPr>
            <w:snapToGrid w:val="0"/>
          </w:rPr>
          <w:t>(a)</w:t>
        </w:r>
        <w:r>
          <w:rPr>
            <w:snapToGrid w:val="0"/>
          </w:rPr>
          <w:tab/>
          <w:t>all</w:t>
        </w:r>
      </w:ins>
      <w:r>
        <w:rPr>
          <w:snapToGrid w:val="0"/>
        </w:rPr>
        <w:t xml:space="preserve"> that piece of land, being Geraldton lot 1118, the subject of Crown grant volume 1035, folio</w:t>
      </w:r>
      <w:del w:id="31" w:author="svcMRProcess" w:date="2019-01-21T14:33:00Z">
        <w:r>
          <w:rPr>
            <w:snapToGrid w:val="0"/>
          </w:rPr>
          <w:delText xml:space="preserve"> </w:delText>
        </w:r>
      </w:del>
      <w:ins w:id="32" w:author="svcMRProcess" w:date="2019-01-21T14:33:00Z">
        <w:r>
          <w:rPr>
            <w:snapToGrid w:val="0"/>
          </w:rPr>
          <w:t> </w:t>
        </w:r>
      </w:ins>
      <w:r>
        <w:rPr>
          <w:snapToGrid w:val="0"/>
        </w:rPr>
        <w:t>737</w:t>
      </w:r>
      <w:del w:id="33" w:author="svcMRProcess" w:date="2019-01-21T14:33:00Z">
        <w:r>
          <w:rPr>
            <w:snapToGrid w:val="0"/>
          </w:rPr>
          <w:delText>.</w:delText>
        </w:r>
      </w:del>
      <w:ins w:id="34" w:author="svcMRProcess" w:date="2019-01-21T14:33:00Z">
        <w:r>
          <w:rPr>
            <w:snapToGrid w:val="0"/>
          </w:rPr>
          <w:t>;</w:t>
        </w:r>
      </w:ins>
    </w:p>
    <w:p>
      <w:pPr>
        <w:pStyle w:val="Indenta"/>
        <w:rPr>
          <w:snapToGrid w:val="0"/>
        </w:rPr>
      </w:pPr>
      <w:r>
        <w:rPr>
          <w:snapToGrid w:val="0"/>
        </w:rPr>
        <w:tab/>
      </w:r>
      <w:del w:id="35" w:author="svcMRProcess" w:date="2019-01-21T14:33:00Z">
        <w:r>
          <w:rPr>
            <w:snapToGrid w:val="0"/>
          </w:rPr>
          <w:delText xml:space="preserve">2. </w:delText>
        </w:r>
        <w:r>
          <w:rPr>
            <w:snapToGrid w:val="0"/>
          </w:rPr>
          <w:tab/>
          <w:delText>All</w:delText>
        </w:r>
      </w:del>
      <w:ins w:id="36" w:author="svcMRProcess" w:date="2019-01-21T14:33:00Z">
        <w:r>
          <w:rPr>
            <w:snapToGrid w:val="0"/>
          </w:rPr>
          <w:t>(b)</w:t>
        </w:r>
        <w:r>
          <w:rPr>
            <w:snapToGrid w:val="0"/>
          </w:rPr>
          <w:tab/>
          <w:t>all</w:t>
        </w:r>
      </w:ins>
      <w:r>
        <w:rPr>
          <w:snapToGrid w:val="0"/>
        </w:rPr>
        <w:t xml:space="preserve"> those pieces of land, being portions of Geraldton suburban lots 158, 161, and 162 and being lots 8, 9, 10, 28, 29, 30, 43, 44, 45, and 46 on Plan 3476, and being the balance of the land the subject of Crown grant certificate of title volume 1038, folio 90</w:t>
      </w:r>
      <w:del w:id="37" w:author="svcMRProcess" w:date="2019-01-21T14:33:00Z">
        <w:r>
          <w:rPr>
            <w:snapToGrid w:val="0"/>
          </w:rPr>
          <w:delText>.</w:delText>
        </w:r>
      </w:del>
      <w:ins w:id="38" w:author="svcMRProcess" w:date="2019-01-21T14:33:00Z">
        <w:r>
          <w:rPr>
            <w:snapToGrid w:val="0"/>
          </w:rPr>
          <w:t>;</w:t>
        </w:r>
      </w:ins>
    </w:p>
    <w:p>
      <w:pPr>
        <w:pStyle w:val="Indenta"/>
        <w:rPr>
          <w:snapToGrid w:val="0"/>
        </w:rPr>
      </w:pPr>
      <w:r>
        <w:rPr>
          <w:snapToGrid w:val="0"/>
        </w:rPr>
        <w:tab/>
      </w:r>
      <w:del w:id="39" w:author="svcMRProcess" w:date="2019-01-21T14:33:00Z">
        <w:r>
          <w:rPr>
            <w:snapToGrid w:val="0"/>
          </w:rPr>
          <w:delText xml:space="preserve">3. </w:delText>
        </w:r>
        <w:r>
          <w:rPr>
            <w:snapToGrid w:val="0"/>
          </w:rPr>
          <w:tab/>
          <w:delText>Any</w:delText>
        </w:r>
      </w:del>
      <w:ins w:id="40" w:author="svcMRProcess" w:date="2019-01-21T14:33:00Z">
        <w:r>
          <w:rPr>
            <w:snapToGrid w:val="0"/>
          </w:rPr>
          <w:t>(c)</w:t>
        </w:r>
        <w:r>
          <w:rPr>
            <w:snapToGrid w:val="0"/>
          </w:rPr>
          <w:tab/>
          <w:t>any</w:t>
        </w:r>
      </w:ins>
      <w:r>
        <w:rPr>
          <w:snapToGrid w:val="0"/>
        </w:rPr>
        <w:t xml:space="preserve"> other lands which may from time to time be vested in the Trustees.</w:t>
      </w:r>
    </w:p>
    <w:p>
      <w:pPr>
        <w:pStyle w:val="Footnotesection"/>
        <w:rPr>
          <w:ins w:id="41" w:author="svcMRProcess" w:date="2019-01-21T14:33:00Z"/>
        </w:rPr>
      </w:pPr>
      <w:ins w:id="42" w:author="svcMRProcess" w:date="2019-01-21T14:33:00Z">
        <w:r>
          <w:tab/>
          <w:t>[Section 3 amended: No. 19 of 2010 s. 51.]</w:t>
        </w:r>
      </w:ins>
    </w:p>
    <w:p>
      <w:pPr>
        <w:pStyle w:val="Heading5"/>
        <w:rPr>
          <w:snapToGrid w:val="0"/>
        </w:rPr>
      </w:pPr>
      <w:bookmarkStart w:id="43" w:name="_Toc378258846"/>
      <w:bookmarkStart w:id="44" w:name="_Toc418866642"/>
      <w:bookmarkStart w:id="45" w:name="_Toc40254501"/>
      <w:bookmarkStart w:id="46" w:name="_Toc41817688"/>
      <w:bookmarkStart w:id="47" w:name="_Toc41818223"/>
      <w:bookmarkStart w:id="48" w:name="_Toc42423592"/>
      <w:bookmarkStart w:id="49" w:name="_Toc42423880"/>
      <w:bookmarkStart w:id="50" w:name="_Toc43174199"/>
      <w:bookmarkStart w:id="51" w:name="_Toc267650791"/>
      <w:r>
        <w:rPr>
          <w:rStyle w:val="CharSectno"/>
        </w:rPr>
        <w:t>4</w:t>
      </w:r>
      <w:r>
        <w:rPr>
          <w:snapToGrid w:val="0"/>
        </w:rPr>
        <w:t>.</w:t>
      </w:r>
      <w:r>
        <w:rPr>
          <w:snapToGrid w:val="0"/>
        </w:rPr>
        <w:tab/>
        <w:t>Trustees, power to mortgage</w:t>
      </w:r>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ins w:id="52" w:author="svcMRProcess" w:date="2019-01-21T14:33:00Z">
        <w:r>
          <w:rPr>
            <w:snapToGrid w:val="0"/>
          </w:rPr>
          <w:t>(1)</w:t>
        </w:r>
      </w:ins>
      <w:r>
        <w:rPr>
          <w:snapToGrid w:val="0"/>
        </w:rPr>
        <w:tab/>
        <w:t>Without limiting the generality of the preceding section, it is hereby declared that the Trustees may, with the approval of the Governor, borrow by way of mortgage such sum or sums of money, at such rate of interest and on such terms and conditions as the Trustees may think fit.</w:t>
      </w:r>
    </w:p>
    <w:p>
      <w:pPr>
        <w:pStyle w:val="Subsection"/>
        <w:rPr>
          <w:ins w:id="53" w:author="svcMRProcess" w:date="2019-01-21T14:33:00Z"/>
        </w:rPr>
      </w:pPr>
      <w:r>
        <w:tab/>
      </w:r>
      <w:ins w:id="54" w:author="svcMRProcess" w:date="2019-01-21T14:33:00Z">
        <w:r>
          <w:t>(2)</w:t>
        </w:r>
      </w:ins>
      <w:r>
        <w:tab/>
        <w:t>For the purpose of securing payment of any moneys so borrowed, the Trustees may mortgage all or any of the</w:t>
      </w:r>
      <w:bookmarkStart w:id="55" w:name="RuleErr_11"/>
      <w:r>
        <w:t xml:space="preserve"> said</w:t>
      </w:r>
      <w:bookmarkEnd w:id="55"/>
      <w:r>
        <w:t xml:space="preserve"> lands, or any of the lands vested in the Trustees under the principal Act, and any mortgage executed by the Trustees may contain such covenants, provisos, conditions, and powers as the mortgagee may require; and, in the case of the mortgagee being an incorporated bank, may be on the basis of a current account, and contain all such covenants, provisos, conditions, and powers as are usual in securities of a like nature given to the bank, or as the bank and the Trustees may mutually agree.</w:t>
      </w:r>
      <w:del w:id="56" w:author="svcMRProcess" w:date="2019-01-21T14:33:00Z">
        <w:r>
          <w:delText xml:space="preserve"> </w:delText>
        </w:r>
      </w:del>
    </w:p>
    <w:p>
      <w:pPr>
        <w:pStyle w:val="Subsection"/>
        <w:rPr>
          <w:ins w:id="57" w:author="svcMRProcess" w:date="2019-01-21T14:33:00Z"/>
        </w:rPr>
      </w:pPr>
      <w:ins w:id="58" w:author="svcMRProcess" w:date="2019-01-21T14:33:00Z">
        <w:r>
          <w:tab/>
          <w:t>(3)</w:t>
        </w:r>
        <w:r>
          <w:tab/>
        </w:r>
      </w:ins>
      <w:r>
        <w:t>On any sale or lease of the mortgaged land which may be made by the mortgagee, or by a receiver appointed by the mortgagee, in exercise of its powers as mortgagee, any purchaser or lessee from the mortgagee or such receiver shall hold</w:t>
      </w:r>
      <w:bookmarkStart w:id="59" w:name="RuleErr_10"/>
      <w:r>
        <w:t xml:space="preserve"> the said</w:t>
      </w:r>
      <w:bookmarkEnd w:id="59"/>
      <w:r>
        <w:t xml:space="preserve"> land free and absolutely discharged from any trusts or restrictions, as to the use thereof, to which the same may have been subject prior to the date of such sale or lease.</w:t>
      </w:r>
      <w:del w:id="60" w:author="svcMRProcess" w:date="2019-01-21T14:33:00Z">
        <w:r>
          <w:delText xml:space="preserve"> </w:delText>
        </w:r>
      </w:del>
    </w:p>
    <w:p>
      <w:pPr>
        <w:pStyle w:val="Subsection"/>
      </w:pPr>
      <w:ins w:id="61" w:author="svcMRProcess" w:date="2019-01-21T14:33:00Z">
        <w:r>
          <w:tab/>
          <w:t>(4)</w:t>
        </w:r>
        <w:r>
          <w:tab/>
        </w:r>
      </w:ins>
      <w:r>
        <w:t>It shall not be necessary for any mortgagee to see to the application of any moneys borrowed by the Trustees, nor shall the mortgagee be affected by notice, actual or constructive, of the misapplication of any such moneys by the Trustees.</w:t>
      </w:r>
    </w:p>
    <w:p>
      <w:pPr>
        <w:pStyle w:val="Footnotesection"/>
        <w:rPr>
          <w:ins w:id="62" w:author="svcMRProcess" w:date="2019-01-21T14:33:00Z"/>
        </w:rPr>
      </w:pPr>
      <w:ins w:id="63" w:author="svcMRProcess" w:date="2019-01-21T14:33:00Z">
        <w:r>
          <w:tab/>
          <w:t>[Section 4 amended: No. 19 of 2010 s. 51.]</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7"/>
          <w:cols w:space="720"/>
          <w:noEndnote/>
          <w:titlePg/>
          <w:docGrid w:linePitch="326"/>
        </w:sectPr>
      </w:pPr>
    </w:p>
    <w:p>
      <w:pPr>
        <w:pStyle w:val="nHeading2"/>
      </w:pPr>
      <w:bookmarkStart w:id="64" w:name="UpToHere"/>
      <w:bookmarkStart w:id="65" w:name="_Toc378258847"/>
      <w:bookmarkStart w:id="66" w:name="_Toc418866643"/>
      <w:bookmarkStart w:id="67" w:name="_Toc267483832"/>
      <w:bookmarkStart w:id="68" w:name="_Toc267650767"/>
      <w:bookmarkStart w:id="69" w:name="_Toc267650792"/>
      <w:bookmarkEnd w:id="64"/>
      <w:r>
        <w:t>Notes</w:t>
      </w:r>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Geraldton Sailors and Soldiers’ Memorial Institute Enabling Act 1934</w:t>
      </w:r>
      <w:del w:id="70" w:author="svcMRProcess" w:date="2019-01-21T14:33:00Z">
        <w:r>
          <w:rPr>
            <w:i/>
            <w:snapToGrid w:val="0"/>
          </w:rPr>
          <w:delText> </w:delText>
        </w:r>
        <w:r>
          <w:rPr>
            <w:iCs/>
            <w:snapToGrid w:val="0"/>
            <w:vertAlign w:val="superscript"/>
          </w:rPr>
          <w:delText xml:space="preserve">1a, </w:delText>
        </w:r>
        <w:r>
          <w:rPr>
            <w:snapToGrid w:val="0"/>
            <w:vertAlign w:val="superscript"/>
          </w:rPr>
          <w:delText>2</w:delText>
        </w:r>
        <w:r>
          <w:rPr>
            <w:snapToGrid w:val="0"/>
          </w:rPr>
          <w:delText xml:space="preserve">.  The </w:delText>
        </w:r>
      </w:del>
      <w:ins w:id="71" w:author="svcMRProcess" w:date="2019-01-21T14:33:00Z">
        <w:r>
          <w:rPr>
            <w:i/>
            <w:noProof/>
            <w:snapToGrid w:val="0"/>
          </w:rPr>
          <w:t xml:space="preserve"> </w:t>
        </w:r>
        <w:r>
          <w:rPr>
            <w:snapToGrid w:val="0"/>
          </w:rPr>
          <w:t xml:space="preserve">and includes the amendments made by the other written laws referred to in the </w:t>
        </w:r>
      </w:ins>
      <w:r>
        <w:rPr>
          <w:snapToGrid w:val="0"/>
        </w:rPr>
        <w:t>following table</w:t>
      </w:r>
      <w:ins w:id="72" w:author="svcMRProcess" w:date="2019-01-21T14:33:00Z">
        <w:r>
          <w:rPr>
            <w:snapToGrid w:val="0"/>
          </w:rPr>
          <w:t>.  The table also</w:t>
        </w:r>
      </w:ins>
      <w:r>
        <w:rPr>
          <w:snapToGrid w:val="0"/>
        </w:rPr>
        <w:t xml:space="preserve"> contains information about</w:t>
      </w:r>
      <w:del w:id="73" w:author="svcMRProcess" w:date="2019-01-21T14:33:00Z">
        <w:r>
          <w:rPr>
            <w:snapToGrid w:val="0"/>
          </w:rPr>
          <w:delText xml:space="preserve"> that Act and</w:delText>
        </w:r>
      </w:del>
      <w:r>
        <w:rPr>
          <w:snapToGrid w:val="0"/>
        </w:rPr>
        <w:t xml:space="preserve"> any reprint.</w:t>
      </w:r>
    </w:p>
    <w:p>
      <w:pPr>
        <w:pStyle w:val="nHeading3"/>
        <w:rPr>
          <w:snapToGrid w:val="0"/>
        </w:rPr>
      </w:pPr>
      <w:bookmarkStart w:id="74" w:name="_Toc378258848"/>
      <w:bookmarkStart w:id="75" w:name="_Toc418866644"/>
      <w:bookmarkStart w:id="76" w:name="_Toc41817689"/>
      <w:bookmarkStart w:id="77" w:name="_Toc41818224"/>
      <w:bookmarkStart w:id="78" w:name="_Toc42423593"/>
      <w:bookmarkStart w:id="79" w:name="_Toc42423881"/>
      <w:bookmarkStart w:id="80" w:name="_Toc43174200"/>
      <w:bookmarkStart w:id="81" w:name="_Toc267650793"/>
      <w:r>
        <w:rPr>
          <w:snapToGrid w:val="0"/>
        </w:rPr>
        <w:t>Compilation table</w:t>
      </w:r>
      <w:bookmarkEnd w:id="74"/>
      <w:bookmarkEnd w:id="75"/>
      <w:bookmarkEnd w:id="76"/>
      <w:bookmarkEnd w:id="77"/>
      <w:bookmarkEnd w:id="78"/>
      <w:bookmarkEnd w:id="79"/>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rPr>
                <w:iCs/>
              </w:rPr>
            </w:pPr>
            <w:r>
              <w:rPr>
                <w:i/>
              </w:rPr>
              <w:t>Geraldton Sailors and Soldiers’ Memorial Institute Enabling Act 1934</w:t>
            </w:r>
            <w:ins w:id="82" w:author="svcMRProcess" w:date="2019-01-21T14:33:00Z">
              <w:r>
                <w:rPr>
                  <w:iCs/>
                </w:rPr>
                <w:t xml:space="preserve"> </w:t>
              </w:r>
              <w:r>
                <w:rPr>
                  <w:iCs/>
                  <w:vertAlign w:val="superscript"/>
                </w:rPr>
                <w:t>2</w:t>
              </w:r>
            </w:ins>
          </w:p>
        </w:tc>
        <w:tc>
          <w:tcPr>
            <w:tcW w:w="1134" w:type="dxa"/>
          </w:tcPr>
          <w:p>
            <w:pPr>
              <w:pStyle w:val="nTable"/>
            </w:pPr>
            <w:r>
              <w:t>37 of 1934</w:t>
            </w:r>
          </w:p>
        </w:tc>
        <w:tc>
          <w:tcPr>
            <w:tcW w:w="1134" w:type="dxa"/>
          </w:tcPr>
          <w:p>
            <w:pPr>
              <w:pStyle w:val="nTable"/>
            </w:pPr>
            <w:r>
              <w:t>4 Jan 1935</w:t>
            </w:r>
          </w:p>
        </w:tc>
        <w:tc>
          <w:tcPr>
            <w:tcW w:w="2551" w:type="dxa"/>
          </w:tcPr>
          <w:p>
            <w:pPr>
              <w:pStyle w:val="nTable"/>
            </w:pPr>
            <w:r>
              <w:t>4 Jan 1935</w:t>
            </w:r>
          </w:p>
        </w:tc>
      </w:tr>
      <w:tr>
        <w:trPr>
          <w:cantSplit/>
        </w:trPr>
        <w:tc>
          <w:tcPr>
            <w:tcW w:w="7087" w:type="dxa"/>
            <w:gridSpan w:val="4"/>
          </w:tcPr>
          <w:p>
            <w:pPr>
              <w:pStyle w:val="nTable"/>
              <w:spacing w:after="40"/>
              <w:rPr>
                <w:b/>
              </w:rPr>
            </w:pPr>
            <w:r>
              <w:rPr>
                <w:b/>
              </w:rPr>
              <w:t xml:space="preserve">Reprint 1: The </w:t>
            </w:r>
            <w:r>
              <w:rPr>
                <w:b/>
                <w:i/>
              </w:rPr>
              <w:t xml:space="preserve">Geraldton Sailors and Soldiers’ Memorial Institute Enabling Act 1934 </w:t>
            </w:r>
            <w:r>
              <w:rPr>
                <w:b/>
              </w:rPr>
              <w:t>as at 9 May 2003</w:t>
            </w:r>
            <w:r>
              <w:rPr>
                <w:b/>
                <w:i/>
              </w:rPr>
              <w:t xml:space="preserve"> </w:t>
            </w:r>
          </w:p>
        </w:tc>
      </w:tr>
    </w:tbl>
    <w:p>
      <w:pPr>
        <w:pStyle w:val="nSubsection"/>
        <w:tabs>
          <w:tab w:val="clear" w:pos="454"/>
          <w:tab w:val="left" w:pos="567"/>
        </w:tabs>
        <w:spacing w:before="120"/>
        <w:ind w:left="567" w:hanging="567"/>
        <w:rPr>
          <w:del w:id="83" w:author="svcMRProcess" w:date="2019-01-21T14:33:00Z"/>
          <w:snapToGrid w:val="0"/>
        </w:rPr>
      </w:pPr>
      <w:del w:id="84" w:author="svcMRProcess" w:date="2019-01-21T14: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 w:author="svcMRProcess" w:date="2019-01-21T14:33:00Z"/>
        </w:rPr>
      </w:pPr>
      <w:bookmarkStart w:id="86" w:name="_Toc7405065"/>
      <w:bookmarkStart w:id="87" w:name="_Toc267650794"/>
      <w:del w:id="88" w:author="svcMRProcess" w:date="2019-01-21T14:33:00Z">
        <w:r>
          <w:delText>Provisions that have not come into operation</w:delText>
        </w:r>
        <w:bookmarkEnd w:id="86"/>
        <w:bookmarkEnd w:id="8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89" w:author="svcMRProcess" w:date="2019-01-21T14:33:00Z"/>
        </w:trPr>
        <w:tc>
          <w:tcPr>
            <w:tcW w:w="2266" w:type="dxa"/>
          </w:tcPr>
          <w:p>
            <w:pPr>
              <w:pStyle w:val="nTable"/>
              <w:spacing w:after="40"/>
              <w:rPr>
                <w:del w:id="90" w:author="svcMRProcess" w:date="2019-01-21T14:33:00Z"/>
                <w:b/>
                <w:snapToGrid w:val="0"/>
                <w:lang w:val="en-US"/>
              </w:rPr>
            </w:pPr>
            <w:del w:id="91" w:author="svcMRProcess" w:date="2019-01-21T14:33:00Z">
              <w:r>
                <w:rPr>
                  <w:b/>
                  <w:snapToGrid w:val="0"/>
                  <w:lang w:val="en-US"/>
                </w:rPr>
                <w:delText>Short title</w:delText>
              </w:r>
            </w:del>
          </w:p>
        </w:tc>
        <w:tc>
          <w:tcPr>
            <w:tcW w:w="1120" w:type="dxa"/>
          </w:tcPr>
          <w:p>
            <w:pPr>
              <w:pStyle w:val="nTable"/>
              <w:spacing w:after="40"/>
              <w:rPr>
                <w:del w:id="92" w:author="svcMRProcess" w:date="2019-01-21T14:33:00Z"/>
                <w:b/>
                <w:snapToGrid w:val="0"/>
                <w:lang w:val="en-US"/>
              </w:rPr>
            </w:pPr>
            <w:del w:id="93" w:author="svcMRProcess" w:date="2019-01-21T14:33:00Z">
              <w:r>
                <w:rPr>
                  <w:b/>
                  <w:snapToGrid w:val="0"/>
                  <w:lang w:val="en-US"/>
                </w:rPr>
                <w:delText>Number and year</w:delText>
              </w:r>
            </w:del>
          </w:p>
        </w:tc>
        <w:tc>
          <w:tcPr>
            <w:tcW w:w="1135" w:type="dxa"/>
          </w:tcPr>
          <w:p>
            <w:pPr>
              <w:pStyle w:val="nTable"/>
              <w:spacing w:after="40"/>
              <w:rPr>
                <w:del w:id="94" w:author="svcMRProcess" w:date="2019-01-21T14:33:00Z"/>
                <w:b/>
                <w:snapToGrid w:val="0"/>
                <w:lang w:val="en-US"/>
              </w:rPr>
            </w:pPr>
            <w:del w:id="95" w:author="svcMRProcess" w:date="2019-01-21T14:33:00Z">
              <w:r>
                <w:rPr>
                  <w:b/>
                  <w:snapToGrid w:val="0"/>
                  <w:lang w:val="en-US"/>
                </w:rPr>
                <w:delText>Assent</w:delText>
              </w:r>
            </w:del>
          </w:p>
        </w:tc>
        <w:tc>
          <w:tcPr>
            <w:tcW w:w="2534" w:type="dxa"/>
          </w:tcPr>
          <w:p>
            <w:pPr>
              <w:pStyle w:val="nTable"/>
              <w:spacing w:after="40"/>
              <w:rPr>
                <w:del w:id="96" w:author="svcMRProcess" w:date="2019-01-21T14:33:00Z"/>
                <w:b/>
                <w:snapToGrid w:val="0"/>
                <w:lang w:val="en-US"/>
              </w:rPr>
            </w:pPr>
            <w:del w:id="97" w:author="svcMRProcess" w:date="2019-01-21T14:3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rPr>
                <w:i/>
              </w:rPr>
            </w:pPr>
            <w:r>
              <w:rPr>
                <w:i/>
                <w:iCs/>
                <w:snapToGrid w:val="0"/>
              </w:rPr>
              <w:t>Standardisation of Formatting Act 2010</w:t>
            </w:r>
            <w:r>
              <w:rPr>
                <w:iCs/>
                <w:snapToGrid w:val="0"/>
              </w:rPr>
              <w:t xml:space="preserve"> s. 51</w:t>
            </w:r>
            <w:del w:id="98" w:author="svcMRProcess" w:date="2019-01-21T14:33:00Z">
              <w:r>
                <w:rPr>
                  <w:iCs/>
                  <w:snapToGrid w:val="0"/>
                  <w:vertAlign w:val="superscript"/>
                  <w:lang w:val="en-US"/>
                </w:rPr>
                <w:delText> 3</w:delText>
              </w:r>
            </w:del>
          </w:p>
        </w:tc>
        <w:tc>
          <w:tcPr>
            <w:tcW w:w="1134" w:type="dxa"/>
            <w:tcBorders>
              <w:bottom w:val="single" w:sz="4" w:space="0" w:color="auto"/>
            </w:tcBorders>
          </w:tcPr>
          <w:p>
            <w:pPr>
              <w:pStyle w:val="nTable"/>
            </w:pPr>
            <w:r>
              <w:rPr>
                <w:snapToGrid w:val="0"/>
              </w:rPr>
              <w:t>19 of 2010</w:t>
            </w:r>
          </w:p>
        </w:tc>
        <w:tc>
          <w:tcPr>
            <w:tcW w:w="1134" w:type="dxa"/>
            <w:tcBorders>
              <w:bottom w:val="single" w:sz="4" w:space="0" w:color="auto"/>
            </w:tcBorders>
          </w:tcPr>
          <w:p>
            <w:pPr>
              <w:pStyle w:val="nTable"/>
            </w:pPr>
            <w:r>
              <w:rPr>
                <w:snapToGrid w:val="0"/>
              </w:rPr>
              <w:t>28 Jun 2010</w:t>
            </w:r>
          </w:p>
        </w:tc>
        <w:tc>
          <w:tcPr>
            <w:tcW w:w="2551" w:type="dxa"/>
            <w:tcBorders>
              <w:bottom w:val="single" w:sz="4" w:space="0" w:color="auto"/>
            </w:tcBorders>
          </w:tcPr>
          <w:p>
            <w:pPr>
              <w:pStyle w:val="nTable"/>
            </w:pPr>
            <w:del w:id="99" w:author="svcMRProcess" w:date="2019-01-21T14:33:00Z">
              <w:r>
                <w:rPr>
                  <w:snapToGrid w:val="0"/>
                  <w:lang w:val="en-US"/>
                </w:rPr>
                <w:delText>To be proclaimed</w:delText>
              </w:r>
            </w:del>
            <w:ins w:id="100" w:author="svcMRProcess" w:date="2019-01-21T14:33:00Z">
              <w:r>
                <w:rPr>
                  <w:snapToGrid w:val="0"/>
                </w:rPr>
                <w:t>11 Sep 2010</w:t>
              </w:r>
            </w:ins>
            <w:r>
              <w:rPr>
                <w:snapToGrid w:val="0"/>
              </w:rPr>
              <w:t xml:space="preserve"> (see s. 2(b</w:t>
            </w:r>
            <w:del w:id="101" w:author="svcMRProcess" w:date="2019-01-21T14:33:00Z">
              <w:r>
                <w:rPr>
                  <w:snapToGrid w:val="0"/>
                  <w:lang w:val="en-US"/>
                </w:rPr>
                <w:delText>))</w:delText>
              </w:r>
            </w:del>
            <w:ins w:id="102" w:author="svcMRProcess" w:date="2019-01-21T14:33:00Z">
              <w:r>
                <w:rPr>
                  <w:snapToGrid w:val="0"/>
                </w:rPr>
                <w:t xml:space="preserve">) and </w:t>
              </w:r>
              <w:r>
                <w:rPr>
                  <w:i/>
                  <w:iCs/>
                  <w:snapToGrid w:val="0"/>
                </w:rPr>
                <w:t>Gazette</w:t>
              </w:r>
              <w:r>
                <w:rPr>
                  <w:snapToGrid w:val="0"/>
                </w:rPr>
                <w:t xml:space="preserve"> 10 Sep 2010 p. 4341)</w:t>
              </w:r>
            </w:ins>
          </w:p>
        </w:tc>
      </w:tr>
    </w:tbl>
    <w:p>
      <w:pPr>
        <w:pStyle w:val="nSubsection"/>
        <w:rPr>
          <w:del w:id="103" w:author="svcMRProcess" w:date="2019-01-21T14:33:00Z"/>
          <w:vertAlign w:val="superscript"/>
        </w:rPr>
      </w:pPr>
    </w:p>
    <w:p>
      <w:pPr>
        <w:pStyle w:val="nSubsection"/>
      </w:pPr>
      <w:r>
        <w:rPr>
          <w:vertAlign w:val="superscript"/>
        </w:rPr>
        <w:t>2</w:t>
      </w:r>
      <w:r>
        <w:rPr>
          <w:vertAlign w:val="superscript"/>
        </w:rPr>
        <w:tab/>
      </w:r>
      <w:r>
        <w:t>This Act is to be read with:</w:t>
      </w:r>
    </w:p>
    <w:p>
      <w:pPr>
        <w:spacing w:before="120"/>
        <w:ind w:left="426" w:hanging="426"/>
        <w:rPr>
          <w:sz w:val="20"/>
        </w:rPr>
      </w:pPr>
      <w:r>
        <w:rPr>
          <w:sz w:val="20"/>
        </w:rPr>
        <w:tab/>
      </w:r>
      <w:r>
        <w:rPr>
          <w:i/>
          <w:sz w:val="20"/>
        </w:rPr>
        <w:t>Geraldton Sailors and Soldiers’ Memorial Institute Act 1929.</w:t>
      </w:r>
    </w:p>
    <w:p>
      <w:pPr>
        <w:spacing w:before="120"/>
        <w:ind w:left="426"/>
        <w:rPr>
          <w:sz w:val="20"/>
        </w:rPr>
      </w:pPr>
      <w:r>
        <w:rPr>
          <w:sz w:val="20"/>
        </w:rPr>
        <w:t>Related Acts:</w:t>
      </w:r>
    </w:p>
    <w:p>
      <w:pPr>
        <w:spacing w:before="120"/>
        <w:ind w:left="426"/>
        <w:rPr>
          <w:sz w:val="20"/>
        </w:rPr>
      </w:pPr>
      <w:r>
        <w:rPr>
          <w:i/>
          <w:sz w:val="20"/>
        </w:rPr>
        <w:t>Geraldton Sailors and Soldiers’ Memorial Institute Lands Vesting Act 1933</w:t>
      </w:r>
      <w:r>
        <w:rPr>
          <w:sz w:val="20"/>
        </w:rPr>
        <w:t>.</w:t>
      </w:r>
    </w:p>
    <w:p>
      <w:pPr>
        <w:spacing w:before="120"/>
        <w:ind w:left="426"/>
        <w:rPr>
          <w:sz w:val="20"/>
        </w:rPr>
      </w:pPr>
      <w:r>
        <w:rPr>
          <w:i/>
          <w:sz w:val="20"/>
        </w:rPr>
        <w:t>Geraldton Sailors and Soldiers’ Memorial Institute (Trust Property Disposition) Act 1938</w:t>
      </w:r>
      <w:r>
        <w:rPr>
          <w:sz w:val="20"/>
        </w:rPr>
        <w:t>.</w:t>
      </w:r>
    </w:p>
    <w:p>
      <w:pPr>
        <w:pStyle w:val="nSubsection"/>
        <w:keepNext/>
        <w:keepLines/>
        <w:rPr>
          <w:del w:id="104" w:author="svcMRProcess" w:date="2019-01-21T14:33:00Z"/>
          <w:snapToGrid w:val="0"/>
        </w:rPr>
      </w:pPr>
      <w:del w:id="105" w:author="svcMRProcess" w:date="2019-01-21T14:3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06" w:author="svcMRProcess" w:date="2019-01-21T14:33:00Z"/>
          <w:snapToGrid w:val="0"/>
        </w:rPr>
      </w:pPr>
    </w:p>
    <w:p>
      <w:pPr>
        <w:pStyle w:val="nzHeading5"/>
        <w:rPr>
          <w:del w:id="107" w:author="svcMRProcess" w:date="2019-01-21T14:33:00Z"/>
        </w:rPr>
      </w:pPr>
      <w:bookmarkStart w:id="108" w:name="_Toc233107854"/>
      <w:bookmarkStart w:id="109" w:name="_Toc255473747"/>
      <w:bookmarkStart w:id="110" w:name="_Toc265583802"/>
      <w:del w:id="111" w:author="svcMRProcess" w:date="2019-01-21T14:33:00Z">
        <w:r>
          <w:rPr>
            <w:rStyle w:val="CharSectno"/>
          </w:rPr>
          <w:delText>51</w:delText>
        </w:r>
        <w:r>
          <w:delText>.</w:delText>
        </w:r>
        <w:r>
          <w:tab/>
          <w:delText>Various written laws amended</w:delText>
        </w:r>
        <w:bookmarkEnd w:id="108"/>
        <w:bookmarkEnd w:id="109"/>
        <w:bookmarkEnd w:id="110"/>
      </w:del>
    </w:p>
    <w:p>
      <w:pPr>
        <w:pStyle w:val="nzSubsection"/>
        <w:rPr>
          <w:del w:id="112" w:author="svcMRProcess" w:date="2019-01-21T14:33:00Z"/>
        </w:rPr>
      </w:pPr>
      <w:del w:id="113" w:author="svcMRProcess" w:date="2019-01-21T14:33:00Z">
        <w:r>
          <w:tab/>
          <w:delText>(1)</w:delText>
        </w:r>
        <w:r>
          <w:tab/>
          <w:delText>This section amends the written laws listed in the Table.</w:delText>
        </w:r>
      </w:del>
    </w:p>
    <w:p>
      <w:pPr>
        <w:pStyle w:val="nzSubsection"/>
        <w:spacing w:after="120"/>
        <w:rPr>
          <w:del w:id="114" w:author="svcMRProcess" w:date="2019-01-21T14:33:00Z"/>
        </w:rPr>
      </w:pPr>
      <w:del w:id="115" w:author="svcMRProcess" w:date="2019-01-21T14:33: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16" w:author="svcMRProcess" w:date="2019-01-21T14:33:00Z"/>
        </w:trPr>
        <w:tc>
          <w:tcPr>
            <w:tcW w:w="6804" w:type="dxa"/>
            <w:gridSpan w:val="3"/>
          </w:tcPr>
          <w:p>
            <w:pPr>
              <w:pStyle w:val="TableAm"/>
              <w:keepNext/>
              <w:ind w:left="567" w:hanging="567"/>
              <w:rPr>
                <w:del w:id="117" w:author="svcMRProcess" w:date="2019-01-21T14:33:00Z"/>
                <w:b/>
                <w:bCs/>
                <w:iCs/>
              </w:rPr>
            </w:pPr>
            <w:del w:id="118" w:author="svcMRProcess" w:date="2019-01-21T14:33:00Z">
              <w:r>
                <w:rPr>
                  <w:b/>
                  <w:bCs/>
                </w:rPr>
                <w:delText>24.</w:delText>
              </w:r>
              <w:r>
                <w:rPr>
                  <w:b/>
                  <w:bCs/>
                </w:rPr>
                <w:tab/>
              </w:r>
              <w:r>
                <w:rPr>
                  <w:b/>
                  <w:bCs/>
                  <w:i/>
                  <w:iCs/>
                </w:rPr>
                <w:delText>Geraldton Sailors and Soldiers’ Memorial Institute Enabling Act 1934</w:delText>
              </w:r>
            </w:del>
          </w:p>
        </w:tc>
      </w:tr>
      <w:tr>
        <w:trPr>
          <w:jc w:val="center"/>
          <w:del w:id="119" w:author="svcMRProcess" w:date="2019-01-21T14:33:00Z"/>
        </w:trPr>
        <w:tc>
          <w:tcPr>
            <w:tcW w:w="1702" w:type="dxa"/>
          </w:tcPr>
          <w:p>
            <w:pPr>
              <w:pStyle w:val="TableAm"/>
              <w:rPr>
                <w:del w:id="120" w:author="svcMRProcess" w:date="2019-01-21T14:33:00Z"/>
              </w:rPr>
            </w:pPr>
            <w:del w:id="121" w:author="svcMRProcess" w:date="2019-01-21T14:33:00Z">
              <w:r>
                <w:delText>s. 3</w:delText>
              </w:r>
            </w:del>
          </w:p>
        </w:tc>
        <w:tc>
          <w:tcPr>
            <w:tcW w:w="2551" w:type="dxa"/>
          </w:tcPr>
          <w:p>
            <w:pPr>
              <w:pStyle w:val="TableAm"/>
              <w:rPr>
                <w:del w:id="122" w:author="svcMRProcess" w:date="2019-01-21T14:33:00Z"/>
                <w:snapToGrid w:val="0"/>
              </w:rPr>
            </w:pPr>
            <w:del w:id="123" w:author="svcMRProcess" w:date="2019-01-21T14:33:00Z">
              <w:r>
                <w:rPr>
                  <w:snapToGrid w:val="0"/>
                </w:rPr>
                <w:delText>1.</w:delText>
              </w:r>
              <w:r>
                <w:rPr>
                  <w:snapToGrid w:val="0"/>
                </w:rPr>
                <w:tab/>
                <w:delText>All</w:delText>
              </w:r>
            </w:del>
          </w:p>
          <w:p>
            <w:pPr>
              <w:pStyle w:val="TableAm"/>
              <w:rPr>
                <w:del w:id="124" w:author="svcMRProcess" w:date="2019-01-21T14:33:00Z"/>
                <w:snapToGrid w:val="0"/>
              </w:rPr>
            </w:pPr>
            <w:del w:id="125" w:author="svcMRProcess" w:date="2019-01-21T14:33:00Z">
              <w:r>
                <w:rPr>
                  <w:snapToGrid w:val="0"/>
                </w:rPr>
                <w:delText>folio 737.</w:delText>
              </w:r>
            </w:del>
          </w:p>
          <w:p>
            <w:pPr>
              <w:pStyle w:val="TableAm"/>
              <w:rPr>
                <w:del w:id="126" w:author="svcMRProcess" w:date="2019-01-21T14:33:00Z"/>
                <w:snapToGrid w:val="0"/>
              </w:rPr>
            </w:pPr>
            <w:del w:id="127" w:author="svcMRProcess" w:date="2019-01-21T14:33:00Z">
              <w:r>
                <w:rPr>
                  <w:snapToGrid w:val="0"/>
                </w:rPr>
                <w:delText>2.</w:delText>
              </w:r>
              <w:r>
                <w:rPr>
                  <w:snapToGrid w:val="0"/>
                </w:rPr>
                <w:tab/>
                <w:delText>All</w:delText>
              </w:r>
            </w:del>
          </w:p>
          <w:p>
            <w:pPr>
              <w:pStyle w:val="TableAm"/>
              <w:rPr>
                <w:del w:id="128" w:author="svcMRProcess" w:date="2019-01-21T14:33:00Z"/>
                <w:snapToGrid w:val="0"/>
              </w:rPr>
            </w:pPr>
            <w:del w:id="129" w:author="svcMRProcess" w:date="2019-01-21T14:33:00Z">
              <w:r>
                <w:rPr>
                  <w:snapToGrid w:val="0"/>
                </w:rPr>
                <w:delText>folio 90.</w:delText>
              </w:r>
            </w:del>
          </w:p>
          <w:p>
            <w:pPr>
              <w:pStyle w:val="TableAm"/>
              <w:rPr>
                <w:del w:id="130" w:author="svcMRProcess" w:date="2019-01-21T14:33:00Z"/>
              </w:rPr>
            </w:pPr>
            <w:del w:id="131" w:author="svcMRProcess" w:date="2019-01-21T14:33:00Z">
              <w:r>
                <w:rPr>
                  <w:snapToGrid w:val="0"/>
                </w:rPr>
                <w:delText>3.</w:delText>
              </w:r>
              <w:r>
                <w:rPr>
                  <w:snapToGrid w:val="0"/>
                </w:rPr>
                <w:tab/>
                <w:delText>Any</w:delText>
              </w:r>
            </w:del>
          </w:p>
        </w:tc>
        <w:tc>
          <w:tcPr>
            <w:tcW w:w="2551" w:type="dxa"/>
          </w:tcPr>
          <w:p>
            <w:pPr>
              <w:pStyle w:val="TableAm"/>
              <w:rPr>
                <w:del w:id="132" w:author="svcMRProcess" w:date="2019-01-21T14:33:00Z"/>
                <w:snapToGrid w:val="0"/>
              </w:rPr>
            </w:pPr>
            <w:del w:id="133" w:author="svcMRProcess" w:date="2019-01-21T14:33:00Z">
              <w:r>
                <w:rPr>
                  <w:snapToGrid w:val="0"/>
                </w:rPr>
                <w:delText>(a)</w:delText>
              </w:r>
              <w:r>
                <w:rPr>
                  <w:snapToGrid w:val="0"/>
                </w:rPr>
                <w:tab/>
                <w:delText>all</w:delText>
              </w:r>
            </w:del>
          </w:p>
          <w:p>
            <w:pPr>
              <w:pStyle w:val="TableAm"/>
              <w:rPr>
                <w:del w:id="134" w:author="svcMRProcess" w:date="2019-01-21T14:33:00Z"/>
                <w:snapToGrid w:val="0"/>
              </w:rPr>
            </w:pPr>
            <w:del w:id="135" w:author="svcMRProcess" w:date="2019-01-21T14:33:00Z">
              <w:r>
                <w:rPr>
                  <w:snapToGrid w:val="0"/>
                </w:rPr>
                <w:delText>folio 737;</w:delText>
              </w:r>
            </w:del>
          </w:p>
          <w:p>
            <w:pPr>
              <w:pStyle w:val="TableAm"/>
              <w:rPr>
                <w:del w:id="136" w:author="svcMRProcess" w:date="2019-01-21T14:33:00Z"/>
                <w:snapToGrid w:val="0"/>
              </w:rPr>
            </w:pPr>
            <w:del w:id="137" w:author="svcMRProcess" w:date="2019-01-21T14:33:00Z">
              <w:r>
                <w:rPr>
                  <w:snapToGrid w:val="0"/>
                </w:rPr>
                <w:delText>(b)</w:delText>
              </w:r>
              <w:r>
                <w:rPr>
                  <w:snapToGrid w:val="0"/>
                </w:rPr>
                <w:tab/>
                <w:delText>all</w:delText>
              </w:r>
            </w:del>
          </w:p>
          <w:p>
            <w:pPr>
              <w:pStyle w:val="TableAm"/>
              <w:rPr>
                <w:del w:id="138" w:author="svcMRProcess" w:date="2019-01-21T14:33:00Z"/>
                <w:snapToGrid w:val="0"/>
              </w:rPr>
            </w:pPr>
            <w:del w:id="139" w:author="svcMRProcess" w:date="2019-01-21T14:33:00Z">
              <w:r>
                <w:rPr>
                  <w:snapToGrid w:val="0"/>
                </w:rPr>
                <w:delText>folio 90;</w:delText>
              </w:r>
            </w:del>
          </w:p>
          <w:p>
            <w:pPr>
              <w:pStyle w:val="TableAm"/>
              <w:rPr>
                <w:del w:id="140" w:author="svcMRProcess" w:date="2019-01-21T14:33:00Z"/>
              </w:rPr>
            </w:pPr>
            <w:del w:id="141" w:author="svcMRProcess" w:date="2019-01-21T14:33:00Z">
              <w:r>
                <w:rPr>
                  <w:snapToGrid w:val="0"/>
                </w:rPr>
                <w:delText>(c)</w:delText>
              </w:r>
              <w:r>
                <w:rPr>
                  <w:snapToGrid w:val="0"/>
                </w:rPr>
                <w:tab/>
                <w:delText>any</w:delText>
              </w:r>
            </w:del>
          </w:p>
        </w:tc>
      </w:tr>
      <w:tr>
        <w:trPr>
          <w:jc w:val="center"/>
          <w:del w:id="142" w:author="svcMRProcess" w:date="2019-01-21T14:33:00Z"/>
        </w:trPr>
        <w:tc>
          <w:tcPr>
            <w:tcW w:w="1702" w:type="dxa"/>
          </w:tcPr>
          <w:p>
            <w:pPr>
              <w:pStyle w:val="TableAm"/>
              <w:keepNext/>
              <w:rPr>
                <w:del w:id="143" w:author="svcMRProcess" w:date="2019-01-21T14:33:00Z"/>
              </w:rPr>
            </w:pPr>
            <w:del w:id="144" w:author="svcMRProcess" w:date="2019-01-21T14:33:00Z">
              <w:r>
                <w:delText>s. 4</w:delText>
              </w:r>
            </w:del>
          </w:p>
        </w:tc>
        <w:tc>
          <w:tcPr>
            <w:tcW w:w="2551" w:type="dxa"/>
          </w:tcPr>
          <w:p>
            <w:pPr>
              <w:pStyle w:val="TableAm"/>
              <w:keepNext/>
              <w:rPr>
                <w:del w:id="145" w:author="svcMRProcess" w:date="2019-01-21T14:33:00Z"/>
                <w:snapToGrid w:val="0"/>
              </w:rPr>
            </w:pPr>
            <w:del w:id="146" w:author="svcMRProcess" w:date="2019-01-21T14:33:00Z">
              <w:r>
                <w:rPr>
                  <w:snapToGrid w:val="0"/>
                </w:rPr>
                <w:delText>Without</w:delText>
              </w:r>
            </w:del>
          </w:p>
          <w:p>
            <w:pPr>
              <w:pStyle w:val="TableAm"/>
              <w:keepNext/>
              <w:rPr>
                <w:del w:id="147" w:author="svcMRProcess" w:date="2019-01-21T14:33:00Z"/>
              </w:rPr>
            </w:pPr>
            <w:del w:id="148" w:author="svcMRProcess" w:date="2019-01-21T14:33:00Z">
              <w:r>
                <w:delText>For the</w:delText>
              </w:r>
            </w:del>
          </w:p>
          <w:p>
            <w:pPr>
              <w:pStyle w:val="TableAm"/>
              <w:keepNext/>
              <w:rPr>
                <w:del w:id="149" w:author="svcMRProcess" w:date="2019-01-21T14:33:00Z"/>
              </w:rPr>
            </w:pPr>
            <w:del w:id="150" w:author="svcMRProcess" w:date="2019-01-21T14:33:00Z">
              <w:r>
                <w:delText>agree. On any sale</w:delText>
              </w:r>
              <w:r>
                <w:br/>
              </w:r>
            </w:del>
          </w:p>
          <w:p>
            <w:pPr>
              <w:pStyle w:val="TableAm"/>
              <w:keepNext/>
              <w:rPr>
                <w:del w:id="151" w:author="svcMRProcess" w:date="2019-01-21T14:33:00Z"/>
              </w:rPr>
            </w:pPr>
            <w:del w:id="152" w:author="svcMRProcess" w:date="2019-01-21T14:33:00Z">
              <w:r>
                <w:delText>lease. It shall not</w:delText>
              </w:r>
            </w:del>
          </w:p>
        </w:tc>
        <w:tc>
          <w:tcPr>
            <w:tcW w:w="2551" w:type="dxa"/>
          </w:tcPr>
          <w:p>
            <w:pPr>
              <w:pStyle w:val="TableAm"/>
              <w:keepNext/>
              <w:rPr>
                <w:del w:id="153" w:author="svcMRProcess" w:date="2019-01-21T14:33:00Z"/>
                <w:snapToGrid w:val="0"/>
              </w:rPr>
            </w:pPr>
            <w:del w:id="154" w:author="svcMRProcess" w:date="2019-01-21T14:33:00Z">
              <w:r>
                <w:rPr>
                  <w:snapToGrid w:val="0"/>
                </w:rPr>
                <w:delText>(1)</w:delText>
              </w:r>
              <w:r>
                <w:rPr>
                  <w:snapToGrid w:val="0"/>
                </w:rPr>
                <w:tab/>
                <w:delText>Without</w:delText>
              </w:r>
            </w:del>
          </w:p>
          <w:p>
            <w:pPr>
              <w:pStyle w:val="TableAm"/>
              <w:keepNext/>
              <w:rPr>
                <w:del w:id="155" w:author="svcMRProcess" w:date="2019-01-21T14:33:00Z"/>
              </w:rPr>
            </w:pPr>
            <w:del w:id="156" w:author="svcMRProcess" w:date="2019-01-21T14:33:00Z">
              <w:r>
                <w:delText>(2)</w:delText>
              </w:r>
              <w:r>
                <w:tab/>
                <w:delText>For the</w:delText>
              </w:r>
            </w:del>
          </w:p>
          <w:p>
            <w:pPr>
              <w:pStyle w:val="TableAm"/>
              <w:keepNext/>
              <w:rPr>
                <w:del w:id="157" w:author="svcMRProcess" w:date="2019-01-21T14:33:00Z"/>
              </w:rPr>
            </w:pPr>
            <w:del w:id="158" w:author="svcMRProcess" w:date="2019-01-21T14:33:00Z">
              <w:r>
                <w:tab/>
                <w:delText>agree.</w:delText>
              </w:r>
            </w:del>
          </w:p>
          <w:p>
            <w:pPr>
              <w:pStyle w:val="TableAm"/>
              <w:keepNext/>
              <w:spacing w:before="0"/>
              <w:rPr>
                <w:del w:id="159" w:author="svcMRProcess" w:date="2019-01-21T14:33:00Z"/>
              </w:rPr>
            </w:pPr>
            <w:del w:id="160" w:author="svcMRProcess" w:date="2019-01-21T14:33:00Z">
              <w:r>
                <w:delText>(3)</w:delText>
              </w:r>
              <w:r>
                <w:tab/>
                <w:delText>On any sale</w:delText>
              </w:r>
            </w:del>
          </w:p>
          <w:p>
            <w:pPr>
              <w:pStyle w:val="TableAm"/>
              <w:keepNext/>
              <w:rPr>
                <w:del w:id="161" w:author="svcMRProcess" w:date="2019-01-21T14:33:00Z"/>
              </w:rPr>
            </w:pPr>
            <w:del w:id="162" w:author="svcMRProcess" w:date="2019-01-21T14:33:00Z">
              <w:r>
                <w:tab/>
                <w:delText>lease.</w:delText>
              </w:r>
            </w:del>
          </w:p>
          <w:p>
            <w:pPr>
              <w:pStyle w:val="TableAm"/>
              <w:keepNext/>
              <w:spacing w:before="0"/>
              <w:rPr>
                <w:del w:id="163" w:author="svcMRProcess" w:date="2019-01-21T14:33:00Z"/>
              </w:rPr>
            </w:pPr>
            <w:del w:id="164" w:author="svcMRProcess" w:date="2019-01-21T14:33:00Z">
              <w:r>
                <w:delText>(4)</w:delText>
              </w:r>
              <w:r>
                <w:tab/>
                <w:delText>It shall not</w:delText>
              </w:r>
            </w:del>
          </w:p>
        </w:tc>
      </w:tr>
    </w:tbl>
    <w:p>
      <w:pPr>
        <w:pStyle w:val="BlankClose"/>
        <w:rPr>
          <w:del w:id="165" w:author="svcMRProcess" w:date="2019-01-21T14:33: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Enabling Act 1934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Enabling Act 1934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Geraldton Sailors and Soldiers’ Memorial Institute Enabling Act 1934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Geraldton Sailors and Soldiers’ Memorial Institute Enabling Act 1934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92228E"/>
    <w:lvl w:ilvl="0">
      <w:start w:val="1"/>
      <w:numFmt w:val="decimal"/>
      <w:lvlText w:val="%1."/>
      <w:lvlJc w:val="left"/>
      <w:pPr>
        <w:tabs>
          <w:tab w:val="num" w:pos="1492"/>
        </w:tabs>
        <w:ind w:left="1492" w:hanging="360"/>
      </w:pPr>
    </w:lvl>
  </w:abstractNum>
  <w:abstractNum w:abstractNumId="1">
    <w:nsid w:val="FFFFFF7D"/>
    <w:multiLevelType w:val="singleLevel"/>
    <w:tmpl w:val="9A5C3656"/>
    <w:lvl w:ilvl="0">
      <w:start w:val="1"/>
      <w:numFmt w:val="decimal"/>
      <w:lvlText w:val="%1."/>
      <w:lvlJc w:val="left"/>
      <w:pPr>
        <w:tabs>
          <w:tab w:val="num" w:pos="1209"/>
        </w:tabs>
        <w:ind w:left="1209" w:hanging="360"/>
      </w:pPr>
    </w:lvl>
  </w:abstractNum>
  <w:abstractNum w:abstractNumId="2">
    <w:nsid w:val="FFFFFF7E"/>
    <w:multiLevelType w:val="singleLevel"/>
    <w:tmpl w:val="29ECBFCC"/>
    <w:lvl w:ilvl="0">
      <w:start w:val="1"/>
      <w:numFmt w:val="decimal"/>
      <w:lvlText w:val="%1."/>
      <w:lvlJc w:val="left"/>
      <w:pPr>
        <w:tabs>
          <w:tab w:val="num" w:pos="926"/>
        </w:tabs>
        <w:ind w:left="926" w:hanging="360"/>
      </w:pPr>
    </w:lvl>
  </w:abstractNum>
  <w:abstractNum w:abstractNumId="3">
    <w:nsid w:val="FFFFFF7F"/>
    <w:multiLevelType w:val="singleLevel"/>
    <w:tmpl w:val="859658CE"/>
    <w:lvl w:ilvl="0">
      <w:start w:val="1"/>
      <w:numFmt w:val="decimal"/>
      <w:lvlText w:val="%1."/>
      <w:lvlJc w:val="left"/>
      <w:pPr>
        <w:tabs>
          <w:tab w:val="num" w:pos="643"/>
        </w:tabs>
        <w:ind w:left="643" w:hanging="360"/>
      </w:pPr>
    </w:lvl>
  </w:abstractNum>
  <w:abstractNum w:abstractNumId="4">
    <w:nsid w:val="FFFFFF80"/>
    <w:multiLevelType w:val="singleLevel"/>
    <w:tmpl w:val="5E3476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AE92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7E2CF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72B97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1CAD58A"/>
    <w:lvl w:ilvl="0">
      <w:start w:val="1"/>
      <w:numFmt w:val="decimal"/>
      <w:lvlText w:val="%1."/>
      <w:lvlJc w:val="left"/>
      <w:pPr>
        <w:tabs>
          <w:tab w:val="num" w:pos="360"/>
        </w:tabs>
        <w:ind w:left="360" w:hanging="360"/>
      </w:pPr>
    </w:lvl>
  </w:abstractNum>
  <w:abstractNum w:abstractNumId="9">
    <w:nsid w:val="FFFFFF89"/>
    <w:multiLevelType w:val="singleLevel"/>
    <w:tmpl w:val="D72673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22A2105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0730"/>
    <w:docVar w:name="WAFER_20140123163751" w:val="RemoveTocBookmarks,RemoveUnusedBookmarks,RemoveLanguageTags,UsedStyles,ResetPageSize,UpdateArrangement"/>
    <w:docVar w:name="WAFER_20140123163751_GUID" w:val="6b84acad-221f-4bc6-83b2-413131422f7d"/>
    <w:docVar w:name="WAFER_20140123163759" w:val="RemoveTocBookmarks,RunningHeaders"/>
    <w:docVar w:name="WAFER_20140123163759_GUID" w:val="8548bf1a-3009-4054-9be0-b2a587cc9cd9"/>
    <w:docVar w:name="WAFER_20150508162919" w:val="ResetPageSize,UpdateArrangement,UpdateNTable"/>
    <w:docVar w:name="WAFER_20150508162919_GUID" w:val="5d47ded8-cf90-46ed-a06e-765013b232d8"/>
    <w:docVar w:name="WAFER_20151105101012" w:val="UpdateStyles,UsedStyles"/>
    <w:docVar w:name="WAFER_20151105101012_GUID" w:val="09eaa319-fccc-4353-9bd1-e40093dea8d2"/>
    <w:docVar w:name="WAFER_20151201090730" w:val="RemoveTrackChanges"/>
    <w:docVar w:name="WAFER_20151201090730_GUID" w:val="0c85f2a7-1bc7-4d36-ad3e-23740d8c84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4580</Characters>
  <Application>Microsoft Office Word</Application>
  <DocSecurity>0</DocSecurity>
  <Lines>147</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5471</CharactersWithSpaces>
  <SharedDoc>false</SharedDoc>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Enabling Act 1934 01-b0-01 - 01-c0-06</dc:title>
  <dc:subject/>
  <dc:creator/>
  <cp:keywords/>
  <dc:description/>
  <cp:lastModifiedBy>svcMRProcess</cp:lastModifiedBy>
  <cp:revision>2</cp:revision>
  <cp:lastPrinted>2003-06-04T02:12:00Z</cp:lastPrinted>
  <dcterms:created xsi:type="dcterms:W3CDTF">2019-01-21T06:33:00Z</dcterms:created>
  <dcterms:modified xsi:type="dcterms:W3CDTF">2019-01-21T06:33:00Z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