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2010</w:t>
      </w:r>
      <w:r>
        <w:fldChar w:fldCharType="end"/>
      </w:r>
      <w:r>
        <w:t xml:space="preserve">, </w:t>
      </w:r>
      <w:r>
        <w:fldChar w:fldCharType="begin"/>
      </w:r>
      <w:r>
        <w:instrText xml:space="preserve"> DocProperty FromSuffix </w:instrText>
      </w:r>
      <w:r>
        <w:fldChar w:fldCharType="separate"/>
      </w:r>
      <w:r>
        <w:t>07-h0-03</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07-i0-02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w:t>
      </w:r>
      <w:bookmarkStart w:id="0" w:name="_GoBack"/>
      <w:bookmarkEnd w:id="0"/>
      <w:r>
        <w:rPr>
          <w:snapToGrid w:val="0"/>
        </w:rPr>
        <w:t>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bookmarkStart w:id="29" w:name="_Toc202172364"/>
      <w:bookmarkStart w:id="30" w:name="_Toc202172437"/>
      <w:bookmarkStart w:id="31" w:name="_Toc241048970"/>
      <w:bookmarkStart w:id="32" w:name="_Toc241051193"/>
      <w:bookmarkStart w:id="33" w:name="_Toc267489682"/>
      <w:bookmarkStart w:id="34" w:name="_Toc268264183"/>
      <w:bookmarkStart w:id="35" w:name="_Toc268264285"/>
      <w:bookmarkStart w:id="36" w:name="_Toc272150676"/>
      <w:bookmarkStart w:id="37" w:name="_Toc26765611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rStyle w:val="CharPartText"/>
        </w:rPr>
        <w:t xml:space="preserve"> </w:t>
      </w:r>
    </w:p>
    <w:p>
      <w:pPr>
        <w:pStyle w:val="Heading5"/>
        <w:rPr>
          <w:snapToGrid w:val="0"/>
        </w:rPr>
      </w:pPr>
      <w:bookmarkStart w:id="38" w:name="_Toc459168235"/>
      <w:bookmarkStart w:id="39" w:name="_Toc71097090"/>
      <w:bookmarkStart w:id="40" w:name="_Toc72200462"/>
      <w:bookmarkStart w:id="41" w:name="_Toc102883424"/>
      <w:bookmarkStart w:id="42" w:name="_Toc128471234"/>
      <w:bookmarkStart w:id="43" w:name="_Toc272150677"/>
      <w:bookmarkStart w:id="44" w:name="_Toc267656117"/>
      <w:r>
        <w:rPr>
          <w:rStyle w:val="CharSectno"/>
        </w:rPr>
        <w:t>1</w:t>
      </w:r>
      <w:r>
        <w:rPr>
          <w:snapToGrid w:val="0"/>
        </w:rPr>
        <w:t>.</w:t>
      </w:r>
      <w:r>
        <w:rPr>
          <w:snapToGrid w:val="0"/>
        </w:rPr>
        <w:tab/>
        <w:t>Short title and commencement</w:t>
      </w:r>
      <w:bookmarkEnd w:id="38"/>
      <w:bookmarkEnd w:id="39"/>
      <w:bookmarkEnd w:id="40"/>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45" w:name="_Toc71097091"/>
      <w:bookmarkStart w:id="46" w:name="_Toc72200463"/>
      <w:bookmarkStart w:id="47" w:name="_Toc102883425"/>
      <w:bookmarkStart w:id="48" w:name="_Toc128471235"/>
      <w:bookmarkStart w:id="49" w:name="_Toc272150678"/>
      <w:bookmarkStart w:id="50" w:name="_Toc267656118"/>
      <w:bookmarkStart w:id="51" w:name="_Toc459168236"/>
      <w:r>
        <w:rPr>
          <w:rStyle w:val="CharSectno"/>
        </w:rPr>
        <w:t>1A</w:t>
      </w:r>
      <w:r>
        <w:t>.</w:t>
      </w:r>
      <w:r>
        <w:tab/>
        <w:t>Application of Act</w:t>
      </w:r>
      <w:bookmarkEnd w:id="45"/>
      <w:bookmarkEnd w:id="46"/>
      <w:bookmarkEnd w:id="47"/>
      <w:bookmarkEnd w:id="48"/>
      <w:bookmarkEnd w:id="49"/>
      <w:bookmarkEnd w:id="50"/>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52" w:name="_Toc71097092"/>
      <w:bookmarkStart w:id="53" w:name="_Toc72200464"/>
      <w:bookmarkStart w:id="54" w:name="_Toc102883426"/>
      <w:bookmarkStart w:id="55" w:name="_Toc128471236"/>
      <w:bookmarkStart w:id="56" w:name="_Toc272150679"/>
      <w:bookmarkStart w:id="57" w:name="_Toc267656119"/>
      <w:r>
        <w:rPr>
          <w:rStyle w:val="CharSectno"/>
        </w:rPr>
        <w:t>2</w:t>
      </w:r>
      <w:r>
        <w:rPr>
          <w:snapToGrid w:val="0"/>
        </w:rPr>
        <w:t>.</w:t>
      </w:r>
      <w:r>
        <w:rPr>
          <w:snapToGrid w:val="0"/>
        </w:rPr>
        <w:tab/>
        <w:t>Interpretation</w:t>
      </w:r>
      <w:bookmarkEnd w:id="51"/>
      <w:bookmarkEnd w:id="52"/>
      <w:bookmarkEnd w:id="53"/>
      <w:bookmarkEnd w:id="54"/>
      <w:bookmarkEnd w:id="55"/>
      <w:bookmarkEnd w:id="56"/>
      <w:bookmarkEnd w:id="57"/>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No. 14 of 2010 s. 11(2).] </w:t>
      </w:r>
    </w:p>
    <w:p>
      <w:pPr>
        <w:pStyle w:val="Heading5"/>
        <w:spacing w:before="240"/>
        <w:rPr>
          <w:snapToGrid w:val="0"/>
        </w:rPr>
      </w:pPr>
      <w:bookmarkStart w:id="58" w:name="_Toc459168237"/>
      <w:bookmarkStart w:id="59" w:name="_Toc71097093"/>
      <w:bookmarkStart w:id="60" w:name="_Toc72200465"/>
      <w:bookmarkStart w:id="61" w:name="_Toc102883427"/>
      <w:bookmarkStart w:id="62" w:name="_Toc128471237"/>
      <w:bookmarkStart w:id="63" w:name="_Toc272150680"/>
      <w:bookmarkStart w:id="64" w:name="_Toc267656120"/>
      <w:r>
        <w:rPr>
          <w:rStyle w:val="CharSectno"/>
        </w:rPr>
        <w:t>2A</w:t>
      </w:r>
      <w:r>
        <w:rPr>
          <w:snapToGrid w:val="0"/>
        </w:rPr>
        <w:t xml:space="preserve">. </w:t>
      </w:r>
      <w:r>
        <w:rPr>
          <w:snapToGrid w:val="0"/>
        </w:rPr>
        <w:tab/>
        <w:t>Orders making Act inapplicable</w:t>
      </w:r>
      <w:bookmarkEnd w:id="58"/>
      <w:bookmarkEnd w:id="59"/>
      <w:bookmarkEnd w:id="60"/>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Ednotesection"/>
      </w:pPr>
      <w:r>
        <w:t>[</w:t>
      </w:r>
      <w:r>
        <w:rPr>
          <w:b/>
          <w:bCs/>
        </w:rPr>
        <w:t>2B.</w:t>
      </w:r>
      <w:r>
        <w:tab/>
        <w:t>Deleted by No. 14 of 2010 s. 11(3).]</w:t>
      </w:r>
    </w:p>
    <w:p>
      <w:pPr>
        <w:pStyle w:val="Heading2"/>
      </w:pPr>
      <w:bookmarkStart w:id="65" w:name="_Toc72200467"/>
      <w:bookmarkStart w:id="66" w:name="_Toc72200535"/>
      <w:bookmarkStart w:id="67" w:name="_Toc77655306"/>
      <w:bookmarkStart w:id="68" w:name="_Toc79372680"/>
      <w:bookmarkStart w:id="69" w:name="_Toc86551110"/>
      <w:bookmarkStart w:id="70" w:name="_Toc89521457"/>
      <w:bookmarkStart w:id="71" w:name="_Toc90954866"/>
      <w:bookmarkStart w:id="72" w:name="_Toc92858025"/>
      <w:bookmarkStart w:id="73" w:name="_Toc97107183"/>
      <w:bookmarkStart w:id="74" w:name="_Toc102365765"/>
      <w:bookmarkStart w:id="75" w:name="_Toc102883429"/>
      <w:bookmarkStart w:id="76" w:name="_Toc106763914"/>
      <w:bookmarkStart w:id="77" w:name="_Toc128471239"/>
      <w:bookmarkStart w:id="78" w:name="_Toc128471312"/>
      <w:bookmarkStart w:id="79" w:name="_Toc129066959"/>
      <w:bookmarkStart w:id="80" w:name="_Toc139355323"/>
      <w:bookmarkStart w:id="81" w:name="_Toc139447591"/>
      <w:bookmarkStart w:id="82" w:name="_Toc139447995"/>
      <w:bookmarkStart w:id="83" w:name="_Toc141245829"/>
      <w:bookmarkStart w:id="84" w:name="_Toc141763306"/>
      <w:bookmarkStart w:id="85" w:name="_Toc143314293"/>
      <w:bookmarkStart w:id="86" w:name="_Toc143405077"/>
      <w:bookmarkStart w:id="87" w:name="_Toc143405152"/>
      <w:bookmarkStart w:id="88" w:name="_Toc143405227"/>
      <w:bookmarkStart w:id="89" w:name="_Toc144024712"/>
      <w:bookmarkStart w:id="90" w:name="_Toc145732152"/>
      <w:bookmarkStart w:id="91" w:name="_Toc196122063"/>
      <w:bookmarkStart w:id="92" w:name="_Toc196801665"/>
      <w:bookmarkStart w:id="93" w:name="_Toc202172370"/>
      <w:bookmarkStart w:id="94" w:name="_Toc202172443"/>
      <w:bookmarkStart w:id="95" w:name="_Toc241048976"/>
      <w:bookmarkStart w:id="96" w:name="_Toc241051199"/>
      <w:bookmarkStart w:id="97" w:name="_Toc267489687"/>
      <w:bookmarkStart w:id="98" w:name="_Toc268264188"/>
      <w:bookmarkStart w:id="99" w:name="_Toc268264290"/>
      <w:bookmarkStart w:id="100" w:name="_Toc272150681"/>
      <w:bookmarkStart w:id="101" w:name="_Toc267656121"/>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Style w:val="CharPartText"/>
        </w:rPr>
        <w:t xml:space="preserve"> </w:t>
      </w:r>
    </w:p>
    <w:p>
      <w:pPr>
        <w:pStyle w:val="Heading5"/>
        <w:rPr>
          <w:snapToGrid w:val="0"/>
        </w:rPr>
      </w:pPr>
      <w:bookmarkStart w:id="102" w:name="_Toc459168239"/>
      <w:bookmarkStart w:id="103" w:name="_Toc71097095"/>
      <w:bookmarkStart w:id="104" w:name="_Toc72200468"/>
      <w:bookmarkStart w:id="105" w:name="_Toc102883430"/>
      <w:bookmarkStart w:id="106" w:name="_Toc128471240"/>
      <w:bookmarkStart w:id="107" w:name="_Toc272150682"/>
      <w:bookmarkStart w:id="108" w:name="_Toc267656122"/>
      <w:r>
        <w:rPr>
          <w:rStyle w:val="CharSectno"/>
        </w:rPr>
        <w:t>3</w:t>
      </w:r>
      <w:r>
        <w:rPr>
          <w:snapToGrid w:val="0"/>
        </w:rPr>
        <w:t>.</w:t>
      </w:r>
      <w:r>
        <w:rPr>
          <w:snapToGrid w:val="0"/>
        </w:rPr>
        <w:tab/>
        <w:t>Summary of proposed hire</w:t>
      </w:r>
      <w:r>
        <w:rPr>
          <w:snapToGrid w:val="0"/>
        </w:rPr>
        <w:noBreakHyphen/>
        <w:t>purchase transaction to be given to prospective hirer</w:t>
      </w:r>
      <w:bookmarkEnd w:id="102"/>
      <w:bookmarkEnd w:id="103"/>
      <w:bookmarkEnd w:id="104"/>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w:t>
      </w:r>
      <w:del w:id="109" w:author="svcMRProcess" w:date="2020-02-17T01:46:00Z">
        <w:r>
          <w:rPr>
            <w:snapToGrid w:val="0"/>
          </w:rPr>
          <w:delText xml:space="preserve">Part of the First </w:delText>
        </w:r>
      </w:del>
      <w:r>
        <w:rPr>
          <w:rFonts w:eastAsia="MS Mincho"/>
        </w:rPr>
        <w:t>Schedule</w:t>
      </w:r>
      <w:ins w:id="110" w:author="svcMRProcess" w:date="2020-02-17T01:46:00Z">
        <w:r>
          <w:rPr>
            <w:rFonts w:eastAsia="MS Mincho"/>
          </w:rPr>
          <w:t xml:space="preserve"> Part 1</w:t>
        </w:r>
      </w:ins>
      <w:r>
        <w:rPr>
          <w:rFonts w:eastAsia="MS Mincho"/>
        </w:rPr>
        <w:t xml:space="preserve">,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w:t>
      </w:r>
      <w:del w:id="111" w:author="svcMRProcess" w:date="2020-02-17T01:46:00Z">
        <w:r>
          <w:rPr>
            <w:snapToGrid w:val="0"/>
          </w:rPr>
          <w:delText xml:space="preserve">Part of the First </w:delText>
        </w:r>
      </w:del>
      <w:r>
        <w:rPr>
          <w:rFonts w:eastAsia="MS Mincho"/>
        </w:rPr>
        <w:t>Schedule</w:t>
      </w:r>
      <w:ins w:id="112" w:author="svcMRProcess" w:date="2020-02-17T01:46:00Z">
        <w:r>
          <w:rPr>
            <w:rFonts w:eastAsia="MS Mincho"/>
          </w:rPr>
          <w:t xml:space="preserve"> Part 1</w:t>
        </w:r>
      </w:ins>
      <w:r>
        <w:rPr>
          <w:rFonts w:eastAsia="MS Mincho"/>
        </w:rPr>
        <w:t>.</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w:t>
      </w:r>
      <w:del w:id="113" w:author="svcMRProcess" w:date="2020-02-17T01:46:00Z">
        <w:r>
          <w:rPr>
            <w:snapToGrid w:val="0"/>
          </w:rPr>
          <w:delText xml:space="preserve">Second Part of the </w:delText>
        </w:r>
      </w:del>
      <w:r>
        <w:rPr>
          <w:rFonts w:eastAsia="MS Mincho"/>
        </w:rPr>
        <w:t>First Schedule</w:t>
      </w:r>
      <w:ins w:id="114" w:author="svcMRProcess" w:date="2020-02-17T01:46:00Z">
        <w:r>
          <w:rPr>
            <w:rFonts w:eastAsia="MS Mincho"/>
          </w:rPr>
          <w:t xml:space="preserve"> Part 2</w:t>
        </w:r>
      </w:ins>
      <w:r>
        <w:rPr>
          <w:rFonts w:eastAsia="MS Mincho"/>
        </w:rPr>
        <w:t xml:space="preserve">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del w:id="115" w:author="svcMRProcess" w:date="2020-02-17T01:46:00Z">
        <w:r>
          <w:rPr>
            <w:snapToGrid w:val="0"/>
          </w:rPr>
          <w:delText>:</w:delText>
        </w:r>
      </w:del>
      <w:ins w:id="116" w:author="svcMRProcess" w:date="2020-02-17T01:46:00Z">
        <w:r>
          <w:rPr>
            <w:snapToGrid w:val="0"/>
          </w:rPr>
          <w:t>.</w:t>
        </w:r>
      </w:ins>
    </w:p>
    <w:p>
      <w:pPr>
        <w:pStyle w:val="Subsection"/>
        <w:rPr>
          <w:snapToGrid w:val="0"/>
        </w:rPr>
      </w:pPr>
      <w:r>
        <w:rPr>
          <w:snapToGrid w:val="0"/>
        </w:rPr>
        <w:tab/>
      </w:r>
      <w:del w:id="117" w:author="svcMRProcess" w:date="2020-02-17T01:46:00Z">
        <w:r>
          <w:rPr>
            <w:snapToGrid w:val="0"/>
          </w:rPr>
          <w:tab/>
          <w:delText xml:space="preserve">Provided that in </w:delText>
        </w:r>
      </w:del>
      <w:ins w:id="118" w:author="svcMRProcess" w:date="2020-02-17T01:46:00Z">
        <w:r>
          <w:rPr>
            <w:snapToGrid w:val="0"/>
          </w:rPr>
          <w:t>(6A)</w:t>
        </w:r>
        <w:r>
          <w:rPr>
            <w:snapToGrid w:val="0"/>
          </w:rPr>
          <w:tab/>
          <w:t xml:space="preserve">In </w:t>
        </w:r>
      </w:ins>
      <w:r>
        <w:rPr>
          <w:snapToGrid w:val="0"/>
        </w:rPr>
        <w:t>each case</w:t>
      </w:r>
      <w:ins w:id="119" w:author="svcMRProcess" w:date="2020-02-17T01:46:00Z">
        <w:r>
          <w:rPr>
            <w:snapToGrid w:val="0"/>
          </w:rPr>
          <w:t xml:space="preserve"> referred to in subsection (6)</w:t>
        </w:r>
      </w:ins>
      <w:r>
        <w:rPr>
          <w:snapToGrid w:val="0"/>
        </w:rPr>
        <w:t>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w:t>
      </w:r>
      <w:del w:id="120" w:author="svcMRProcess" w:date="2020-02-17T01:46:00Z">
        <w:r>
          <w:delText>82</w:delText>
        </w:r>
      </w:del>
      <w:ins w:id="121" w:author="svcMRProcess" w:date="2020-02-17T01:46:00Z">
        <w:r>
          <w:t>82; No. 19 of 2010 s. 19(2)</w:t>
        </w:r>
        <w:r>
          <w:noBreakHyphen/>
          <w:t>(4) and 51</w:t>
        </w:r>
      </w:ins>
      <w:r>
        <w:t>.]</w:t>
      </w:r>
    </w:p>
    <w:p>
      <w:pPr>
        <w:pStyle w:val="Heading5"/>
        <w:rPr>
          <w:snapToGrid w:val="0"/>
        </w:rPr>
      </w:pPr>
      <w:bookmarkStart w:id="122" w:name="_Toc459168240"/>
      <w:bookmarkStart w:id="123" w:name="_Toc71097096"/>
      <w:bookmarkStart w:id="124" w:name="_Toc72200469"/>
      <w:bookmarkStart w:id="125" w:name="_Toc102883431"/>
      <w:bookmarkStart w:id="126" w:name="_Toc128471241"/>
      <w:bookmarkStart w:id="127" w:name="_Toc272150683"/>
      <w:bookmarkStart w:id="128" w:name="_Toc267656123"/>
      <w:r>
        <w:rPr>
          <w:rStyle w:val="CharSectno"/>
        </w:rPr>
        <w:t>4</w:t>
      </w:r>
      <w:r>
        <w:rPr>
          <w:snapToGrid w:val="0"/>
        </w:rPr>
        <w:t>.</w:t>
      </w:r>
      <w:r>
        <w:rPr>
          <w:snapToGrid w:val="0"/>
        </w:rPr>
        <w:tab/>
        <w:t>Certain copy documents to be served on hirer</w:t>
      </w:r>
      <w:bookmarkEnd w:id="122"/>
      <w:bookmarkEnd w:id="123"/>
      <w:bookmarkEnd w:id="124"/>
      <w:bookmarkEnd w:id="125"/>
      <w:bookmarkEnd w:id="126"/>
      <w:bookmarkEnd w:id="127"/>
      <w:bookmarkEnd w:id="128"/>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29" w:name="_Toc72200470"/>
      <w:bookmarkStart w:id="130" w:name="_Toc72200538"/>
      <w:bookmarkStart w:id="131" w:name="_Toc77655309"/>
      <w:bookmarkStart w:id="132" w:name="_Toc79372683"/>
      <w:bookmarkStart w:id="133" w:name="_Toc86551113"/>
      <w:bookmarkStart w:id="134" w:name="_Toc89521460"/>
      <w:bookmarkStart w:id="135" w:name="_Toc90954869"/>
      <w:bookmarkStart w:id="136" w:name="_Toc92858028"/>
      <w:bookmarkStart w:id="137" w:name="_Toc97107186"/>
      <w:bookmarkStart w:id="138" w:name="_Toc102365768"/>
      <w:bookmarkStart w:id="139" w:name="_Toc102883432"/>
      <w:bookmarkStart w:id="140" w:name="_Toc106763917"/>
      <w:bookmarkStart w:id="141" w:name="_Toc128471242"/>
      <w:bookmarkStart w:id="142" w:name="_Toc128471315"/>
      <w:bookmarkStart w:id="143" w:name="_Toc129066962"/>
      <w:bookmarkStart w:id="144" w:name="_Toc139355326"/>
      <w:bookmarkStart w:id="145" w:name="_Toc139447594"/>
      <w:bookmarkStart w:id="146" w:name="_Toc139447998"/>
      <w:bookmarkStart w:id="147" w:name="_Toc141245832"/>
      <w:bookmarkStart w:id="148" w:name="_Toc141763309"/>
      <w:bookmarkStart w:id="149" w:name="_Toc143314296"/>
      <w:bookmarkStart w:id="150" w:name="_Toc143405080"/>
      <w:bookmarkStart w:id="151" w:name="_Toc143405155"/>
      <w:bookmarkStart w:id="152" w:name="_Toc143405230"/>
      <w:bookmarkStart w:id="153" w:name="_Toc144024715"/>
      <w:bookmarkStart w:id="154" w:name="_Toc145732155"/>
      <w:bookmarkStart w:id="155" w:name="_Toc196122066"/>
      <w:bookmarkStart w:id="156" w:name="_Toc196801668"/>
      <w:bookmarkStart w:id="157" w:name="_Toc202172373"/>
      <w:bookmarkStart w:id="158" w:name="_Toc202172446"/>
      <w:bookmarkStart w:id="159" w:name="_Toc241048979"/>
      <w:bookmarkStart w:id="160" w:name="_Toc241051202"/>
      <w:bookmarkStart w:id="161" w:name="_Toc267489690"/>
      <w:bookmarkStart w:id="162" w:name="_Toc268264191"/>
      <w:bookmarkStart w:id="163" w:name="_Toc268264293"/>
      <w:bookmarkStart w:id="164" w:name="_Toc272150684"/>
      <w:bookmarkStart w:id="165" w:name="_Toc267656124"/>
      <w:r>
        <w:rPr>
          <w:rStyle w:val="CharPartNo"/>
        </w:rPr>
        <w:t>Part III</w:t>
      </w:r>
      <w:r>
        <w:t> — </w:t>
      </w:r>
      <w:r>
        <w:rPr>
          <w:rStyle w:val="CharPartText"/>
        </w:rPr>
        <w:t>Protection of hirers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Style w:val="CharPartText"/>
        </w:rPr>
        <w:t xml:space="preserve"> </w:t>
      </w:r>
    </w:p>
    <w:p>
      <w:pPr>
        <w:pStyle w:val="Heading3"/>
        <w:rPr>
          <w:snapToGrid w:val="0"/>
        </w:rPr>
      </w:pPr>
      <w:bookmarkStart w:id="166" w:name="_Toc72200471"/>
      <w:bookmarkStart w:id="167" w:name="_Toc72200539"/>
      <w:bookmarkStart w:id="168" w:name="_Toc77655310"/>
      <w:bookmarkStart w:id="169" w:name="_Toc79372684"/>
      <w:bookmarkStart w:id="170" w:name="_Toc86551114"/>
      <w:bookmarkStart w:id="171" w:name="_Toc89521461"/>
      <w:bookmarkStart w:id="172" w:name="_Toc90954870"/>
      <w:bookmarkStart w:id="173" w:name="_Toc92858029"/>
      <w:bookmarkStart w:id="174" w:name="_Toc97107187"/>
      <w:bookmarkStart w:id="175" w:name="_Toc102365769"/>
      <w:bookmarkStart w:id="176" w:name="_Toc102883433"/>
      <w:bookmarkStart w:id="177" w:name="_Toc106763918"/>
      <w:bookmarkStart w:id="178" w:name="_Toc128471243"/>
      <w:bookmarkStart w:id="179" w:name="_Toc128471316"/>
      <w:bookmarkStart w:id="180" w:name="_Toc129066963"/>
      <w:bookmarkStart w:id="181" w:name="_Toc139355327"/>
      <w:bookmarkStart w:id="182" w:name="_Toc139447595"/>
      <w:bookmarkStart w:id="183" w:name="_Toc139447999"/>
      <w:bookmarkStart w:id="184" w:name="_Toc141245833"/>
      <w:bookmarkStart w:id="185" w:name="_Toc141763310"/>
      <w:bookmarkStart w:id="186" w:name="_Toc143314297"/>
      <w:bookmarkStart w:id="187" w:name="_Toc143405081"/>
      <w:bookmarkStart w:id="188" w:name="_Toc143405156"/>
      <w:bookmarkStart w:id="189" w:name="_Toc143405231"/>
      <w:bookmarkStart w:id="190" w:name="_Toc144024716"/>
      <w:bookmarkStart w:id="191" w:name="_Toc145732156"/>
      <w:bookmarkStart w:id="192" w:name="_Toc196122067"/>
      <w:bookmarkStart w:id="193" w:name="_Toc196801669"/>
      <w:bookmarkStart w:id="194" w:name="_Toc202172374"/>
      <w:bookmarkStart w:id="195" w:name="_Toc202172447"/>
      <w:bookmarkStart w:id="196" w:name="_Toc241048980"/>
      <w:bookmarkStart w:id="197" w:name="_Toc241051203"/>
      <w:bookmarkStart w:id="198" w:name="_Toc267489691"/>
      <w:bookmarkStart w:id="199" w:name="_Toc268264192"/>
      <w:bookmarkStart w:id="200" w:name="_Toc268264294"/>
      <w:bookmarkStart w:id="201" w:name="_Toc272150685"/>
      <w:bookmarkStart w:id="202" w:name="_Toc267656125"/>
      <w:r>
        <w:rPr>
          <w:rStyle w:val="CharDivNo"/>
        </w:rPr>
        <w:t>Division 1</w:t>
      </w:r>
      <w:r>
        <w:rPr>
          <w:snapToGrid w:val="0"/>
        </w:rPr>
        <w:t> — </w:t>
      </w:r>
      <w:r>
        <w:rPr>
          <w:rStyle w:val="CharDivText"/>
        </w:rPr>
        <w:t>Warranties and conditions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rStyle w:val="CharDivText"/>
        </w:rPr>
        <w:t xml:space="preserve"> </w:t>
      </w:r>
    </w:p>
    <w:p>
      <w:pPr>
        <w:pStyle w:val="Heading5"/>
        <w:rPr>
          <w:snapToGrid w:val="0"/>
        </w:rPr>
      </w:pPr>
      <w:bookmarkStart w:id="203" w:name="_Toc459168241"/>
      <w:bookmarkStart w:id="204" w:name="_Toc71097097"/>
      <w:bookmarkStart w:id="205" w:name="_Toc72200472"/>
      <w:bookmarkStart w:id="206" w:name="_Toc102883434"/>
      <w:bookmarkStart w:id="207" w:name="_Toc128471244"/>
      <w:bookmarkStart w:id="208" w:name="_Toc272150686"/>
      <w:bookmarkStart w:id="209" w:name="_Toc267656126"/>
      <w:r>
        <w:rPr>
          <w:rStyle w:val="CharSectno"/>
        </w:rPr>
        <w:t>5</w:t>
      </w:r>
      <w:r>
        <w:rPr>
          <w:snapToGrid w:val="0"/>
        </w:rPr>
        <w:t>.</w:t>
      </w:r>
      <w:r>
        <w:rPr>
          <w:snapToGrid w:val="0"/>
        </w:rPr>
        <w:tab/>
        <w:t>Conditions and warranties to be implied in every hire</w:t>
      </w:r>
      <w:r>
        <w:rPr>
          <w:snapToGrid w:val="0"/>
        </w:rPr>
        <w:noBreakHyphen/>
        <w:t>purchase agreement</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210" w:name="_Toc459168242"/>
      <w:bookmarkStart w:id="211" w:name="_Toc71097098"/>
      <w:bookmarkStart w:id="212" w:name="_Toc72200473"/>
      <w:bookmarkStart w:id="213" w:name="_Toc102883435"/>
      <w:bookmarkStart w:id="214" w:name="_Toc128471245"/>
      <w:bookmarkStart w:id="215" w:name="_Toc272150687"/>
      <w:bookmarkStart w:id="216" w:name="_Toc267656127"/>
      <w:r>
        <w:rPr>
          <w:rStyle w:val="CharSectno"/>
        </w:rPr>
        <w:t>6</w:t>
      </w:r>
      <w:r>
        <w:rPr>
          <w:snapToGrid w:val="0"/>
        </w:rPr>
        <w:t>.</w:t>
      </w:r>
      <w:r>
        <w:rPr>
          <w:snapToGrid w:val="0"/>
        </w:rPr>
        <w:tab/>
        <w:t>As to the liability of the owner and the dealer for misrepresentation</w:t>
      </w:r>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217" w:name="_Toc72200474"/>
      <w:bookmarkStart w:id="218" w:name="_Toc72200542"/>
      <w:bookmarkStart w:id="219" w:name="_Toc77655313"/>
      <w:bookmarkStart w:id="220" w:name="_Toc79372687"/>
      <w:bookmarkStart w:id="221" w:name="_Toc86551117"/>
      <w:bookmarkStart w:id="222" w:name="_Toc89521464"/>
      <w:bookmarkStart w:id="223" w:name="_Toc90954873"/>
      <w:bookmarkStart w:id="224" w:name="_Toc92858032"/>
      <w:bookmarkStart w:id="225" w:name="_Toc97107190"/>
      <w:bookmarkStart w:id="226" w:name="_Toc102365772"/>
      <w:bookmarkStart w:id="227" w:name="_Toc102883436"/>
      <w:bookmarkStart w:id="228" w:name="_Toc106763921"/>
      <w:bookmarkStart w:id="229" w:name="_Toc128471246"/>
      <w:bookmarkStart w:id="230" w:name="_Toc128471319"/>
      <w:bookmarkStart w:id="231" w:name="_Toc129066966"/>
      <w:bookmarkStart w:id="232" w:name="_Toc139355330"/>
      <w:bookmarkStart w:id="233" w:name="_Toc139447598"/>
      <w:bookmarkStart w:id="234" w:name="_Toc139448002"/>
      <w:bookmarkStart w:id="235" w:name="_Toc141245836"/>
      <w:bookmarkStart w:id="236" w:name="_Toc141763313"/>
      <w:bookmarkStart w:id="237" w:name="_Toc143314300"/>
      <w:bookmarkStart w:id="238" w:name="_Toc143405084"/>
      <w:bookmarkStart w:id="239" w:name="_Toc143405159"/>
      <w:bookmarkStart w:id="240" w:name="_Toc143405234"/>
      <w:bookmarkStart w:id="241" w:name="_Toc144024719"/>
      <w:bookmarkStart w:id="242" w:name="_Toc145732159"/>
      <w:bookmarkStart w:id="243" w:name="_Toc196122070"/>
      <w:bookmarkStart w:id="244" w:name="_Toc196801672"/>
      <w:bookmarkStart w:id="245" w:name="_Toc202172377"/>
      <w:bookmarkStart w:id="246" w:name="_Toc202172450"/>
      <w:bookmarkStart w:id="247" w:name="_Toc241048983"/>
      <w:bookmarkStart w:id="248" w:name="_Toc241051206"/>
      <w:bookmarkStart w:id="249" w:name="_Toc267489694"/>
      <w:bookmarkStart w:id="250" w:name="_Toc268264195"/>
      <w:bookmarkStart w:id="251" w:name="_Toc268264297"/>
      <w:bookmarkStart w:id="252" w:name="_Toc272150688"/>
      <w:bookmarkStart w:id="253" w:name="_Toc267656128"/>
      <w:r>
        <w:rPr>
          <w:rStyle w:val="CharDivNo"/>
        </w:rPr>
        <w:t>Division 2</w:t>
      </w:r>
      <w:r>
        <w:rPr>
          <w:snapToGrid w:val="0"/>
        </w:rPr>
        <w:t> — </w:t>
      </w:r>
      <w:r>
        <w:rPr>
          <w:rStyle w:val="CharDivText"/>
        </w:rPr>
        <w:t>Statutory rights of hirers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rStyle w:val="CharDivText"/>
        </w:rPr>
        <w:t xml:space="preserve"> </w:t>
      </w:r>
    </w:p>
    <w:p>
      <w:pPr>
        <w:pStyle w:val="Heading5"/>
        <w:spacing w:before="180"/>
        <w:rPr>
          <w:snapToGrid w:val="0"/>
        </w:rPr>
      </w:pPr>
      <w:bookmarkStart w:id="254" w:name="_Toc459168243"/>
      <w:bookmarkStart w:id="255" w:name="_Toc71097099"/>
      <w:bookmarkStart w:id="256" w:name="_Toc72200475"/>
      <w:bookmarkStart w:id="257" w:name="_Toc102883437"/>
      <w:bookmarkStart w:id="258" w:name="_Toc128471247"/>
      <w:bookmarkStart w:id="259" w:name="_Toc272150689"/>
      <w:bookmarkStart w:id="260" w:name="_Toc267656129"/>
      <w:r>
        <w:rPr>
          <w:rStyle w:val="CharSectno"/>
        </w:rPr>
        <w:t>7</w:t>
      </w:r>
      <w:r>
        <w:rPr>
          <w:snapToGrid w:val="0"/>
        </w:rPr>
        <w:t>.</w:t>
      </w:r>
      <w:r>
        <w:rPr>
          <w:snapToGrid w:val="0"/>
        </w:rPr>
        <w:tab/>
        <w:t>Hirer to be entitled to copy of agreement and statement of his present position</w:t>
      </w:r>
      <w:bookmarkEnd w:id="254"/>
      <w:bookmarkEnd w:id="255"/>
      <w:bookmarkEnd w:id="256"/>
      <w:bookmarkEnd w:id="257"/>
      <w:bookmarkEnd w:id="258"/>
      <w:bookmarkEnd w:id="259"/>
      <w:bookmarkEnd w:id="260"/>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61" w:name="_Toc459168244"/>
      <w:bookmarkStart w:id="262" w:name="_Toc71097100"/>
      <w:bookmarkStart w:id="263" w:name="_Toc72200476"/>
      <w:bookmarkStart w:id="264" w:name="_Toc102883438"/>
      <w:bookmarkStart w:id="265" w:name="_Toc128471248"/>
      <w:bookmarkStart w:id="266" w:name="_Toc272150690"/>
      <w:bookmarkStart w:id="267" w:name="_Toc267656130"/>
      <w:r>
        <w:rPr>
          <w:rStyle w:val="CharSectno"/>
        </w:rPr>
        <w:t>8</w:t>
      </w:r>
      <w:r>
        <w:rPr>
          <w:snapToGrid w:val="0"/>
        </w:rPr>
        <w:t>.</w:t>
      </w:r>
      <w:r>
        <w:rPr>
          <w:snapToGrid w:val="0"/>
        </w:rPr>
        <w:tab/>
        <w:t>As to appropriation of payments when more than one agreement</w:t>
      </w:r>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68" w:name="_Toc459168245"/>
      <w:bookmarkStart w:id="269" w:name="_Toc71097101"/>
      <w:bookmarkStart w:id="270" w:name="_Toc72200477"/>
      <w:bookmarkStart w:id="271" w:name="_Toc102883439"/>
      <w:bookmarkStart w:id="272" w:name="_Toc128471249"/>
      <w:bookmarkStart w:id="273" w:name="_Toc272150691"/>
      <w:bookmarkStart w:id="274" w:name="_Toc267656131"/>
      <w:r>
        <w:rPr>
          <w:rStyle w:val="CharSectno"/>
        </w:rPr>
        <w:t>9</w:t>
      </w:r>
      <w:r>
        <w:rPr>
          <w:snapToGrid w:val="0"/>
        </w:rPr>
        <w:t>.</w:t>
      </w:r>
      <w:r>
        <w:rPr>
          <w:snapToGrid w:val="0"/>
        </w:rPr>
        <w:tab/>
        <w:t>As to assignments of rights under hire</w:t>
      </w:r>
      <w:r>
        <w:rPr>
          <w:snapToGrid w:val="0"/>
        </w:rPr>
        <w:noBreakHyphen/>
        <w:t>purchase agreements</w:t>
      </w:r>
      <w:bookmarkEnd w:id="268"/>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75" w:name="_Toc459168246"/>
      <w:bookmarkStart w:id="276" w:name="_Toc71097102"/>
      <w:bookmarkStart w:id="277" w:name="_Toc72200478"/>
      <w:bookmarkStart w:id="278" w:name="_Toc102883440"/>
      <w:bookmarkStart w:id="279" w:name="_Toc128471250"/>
      <w:bookmarkStart w:id="280" w:name="_Toc272150692"/>
      <w:bookmarkStart w:id="281" w:name="_Toc267656132"/>
      <w:r>
        <w:rPr>
          <w:rStyle w:val="CharSectno"/>
        </w:rPr>
        <w:t>10</w:t>
      </w:r>
      <w:r>
        <w:rPr>
          <w:snapToGrid w:val="0"/>
        </w:rPr>
        <w:t>.</w:t>
      </w:r>
      <w:r>
        <w:rPr>
          <w:snapToGrid w:val="0"/>
        </w:rPr>
        <w:tab/>
        <w:t>Power of court to allow goods to be removed</w:t>
      </w:r>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82" w:name="_Toc72200479"/>
      <w:bookmarkStart w:id="283" w:name="_Toc72200547"/>
      <w:bookmarkStart w:id="284" w:name="_Toc77655318"/>
      <w:bookmarkStart w:id="285" w:name="_Toc79372692"/>
      <w:bookmarkStart w:id="286" w:name="_Toc86551122"/>
      <w:bookmarkStart w:id="287" w:name="_Toc89521469"/>
      <w:bookmarkStart w:id="288" w:name="_Toc90954878"/>
      <w:bookmarkStart w:id="289" w:name="_Toc92858037"/>
      <w:bookmarkStart w:id="290" w:name="_Toc97107195"/>
      <w:bookmarkStart w:id="291" w:name="_Toc102365777"/>
      <w:bookmarkStart w:id="292" w:name="_Toc102883441"/>
      <w:bookmarkStart w:id="293" w:name="_Toc106763926"/>
      <w:bookmarkStart w:id="294" w:name="_Toc128471251"/>
      <w:bookmarkStart w:id="295" w:name="_Toc128471324"/>
      <w:bookmarkStart w:id="296" w:name="_Toc129066971"/>
      <w:bookmarkStart w:id="297" w:name="_Toc139355335"/>
      <w:bookmarkStart w:id="298" w:name="_Toc139447603"/>
      <w:bookmarkStart w:id="299" w:name="_Toc139448007"/>
      <w:bookmarkStart w:id="300" w:name="_Toc141245841"/>
      <w:bookmarkStart w:id="301" w:name="_Toc141763318"/>
      <w:bookmarkStart w:id="302" w:name="_Toc143314305"/>
      <w:bookmarkStart w:id="303" w:name="_Toc143405089"/>
      <w:bookmarkStart w:id="304" w:name="_Toc143405164"/>
      <w:bookmarkStart w:id="305" w:name="_Toc143405239"/>
      <w:bookmarkStart w:id="306" w:name="_Toc144024724"/>
      <w:bookmarkStart w:id="307" w:name="_Toc145732164"/>
      <w:bookmarkStart w:id="308" w:name="_Toc196122075"/>
      <w:bookmarkStart w:id="309" w:name="_Toc196801677"/>
      <w:bookmarkStart w:id="310" w:name="_Toc202172382"/>
      <w:bookmarkStart w:id="311" w:name="_Toc202172455"/>
      <w:bookmarkStart w:id="312" w:name="_Toc241048988"/>
      <w:bookmarkStart w:id="313" w:name="_Toc241051211"/>
      <w:bookmarkStart w:id="314" w:name="_Toc267489699"/>
      <w:bookmarkStart w:id="315" w:name="_Toc268264200"/>
      <w:bookmarkStart w:id="316" w:name="_Toc268264302"/>
      <w:bookmarkStart w:id="317" w:name="_Toc272150693"/>
      <w:bookmarkStart w:id="318" w:name="_Toc267656133"/>
      <w:r>
        <w:rPr>
          <w:rStyle w:val="CharDivNo"/>
        </w:rPr>
        <w:t>Division 3</w:t>
      </w:r>
      <w:r>
        <w:rPr>
          <w:snapToGrid w:val="0"/>
        </w:rPr>
        <w:t> — </w:t>
      </w:r>
      <w:r>
        <w:rPr>
          <w:rStyle w:val="CharDivText"/>
        </w:rPr>
        <w:t>Early completion of agreements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Pr>
          <w:rStyle w:val="CharDivText"/>
        </w:rPr>
        <w:t xml:space="preserve"> </w:t>
      </w:r>
    </w:p>
    <w:p>
      <w:pPr>
        <w:pStyle w:val="Heading5"/>
        <w:rPr>
          <w:snapToGrid w:val="0"/>
        </w:rPr>
      </w:pPr>
      <w:bookmarkStart w:id="319" w:name="_Toc459168247"/>
      <w:bookmarkStart w:id="320" w:name="_Toc71097103"/>
      <w:bookmarkStart w:id="321" w:name="_Toc72200480"/>
      <w:bookmarkStart w:id="322" w:name="_Toc102883442"/>
      <w:bookmarkStart w:id="323" w:name="_Toc128471252"/>
      <w:bookmarkStart w:id="324" w:name="_Toc272150694"/>
      <w:bookmarkStart w:id="325" w:name="_Toc267656134"/>
      <w:r>
        <w:rPr>
          <w:rStyle w:val="CharSectno"/>
        </w:rPr>
        <w:t>11</w:t>
      </w:r>
      <w:r>
        <w:rPr>
          <w:snapToGrid w:val="0"/>
        </w:rPr>
        <w:t>.</w:t>
      </w:r>
      <w:r>
        <w:rPr>
          <w:snapToGrid w:val="0"/>
        </w:rPr>
        <w:tab/>
        <w:t>Hirer to be entitled to finalise agreement at any time</w:t>
      </w:r>
      <w:bookmarkEnd w:id="319"/>
      <w:bookmarkEnd w:id="320"/>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326" w:name="_Toc72200481"/>
      <w:bookmarkStart w:id="327" w:name="_Toc72200549"/>
      <w:bookmarkStart w:id="328" w:name="_Toc77655320"/>
      <w:bookmarkStart w:id="329" w:name="_Toc79372694"/>
      <w:bookmarkStart w:id="330" w:name="_Toc86551124"/>
      <w:bookmarkStart w:id="331" w:name="_Toc89521471"/>
      <w:bookmarkStart w:id="332" w:name="_Toc90954880"/>
      <w:bookmarkStart w:id="333" w:name="_Toc92858039"/>
      <w:bookmarkStart w:id="334" w:name="_Toc97107197"/>
      <w:bookmarkStart w:id="335" w:name="_Toc102365779"/>
      <w:bookmarkStart w:id="336" w:name="_Toc102883443"/>
      <w:bookmarkStart w:id="337" w:name="_Toc106763928"/>
      <w:bookmarkStart w:id="338" w:name="_Toc128471253"/>
      <w:bookmarkStart w:id="339" w:name="_Toc128471326"/>
      <w:bookmarkStart w:id="340" w:name="_Toc129066973"/>
      <w:bookmarkStart w:id="341" w:name="_Toc139355337"/>
      <w:bookmarkStart w:id="342" w:name="_Toc139447605"/>
      <w:bookmarkStart w:id="343" w:name="_Toc139448009"/>
      <w:bookmarkStart w:id="344" w:name="_Toc141245843"/>
      <w:bookmarkStart w:id="345" w:name="_Toc141763320"/>
      <w:bookmarkStart w:id="346" w:name="_Toc143314307"/>
      <w:bookmarkStart w:id="347" w:name="_Toc143405091"/>
      <w:bookmarkStart w:id="348" w:name="_Toc143405166"/>
      <w:bookmarkStart w:id="349" w:name="_Toc143405241"/>
      <w:bookmarkStart w:id="350" w:name="_Toc144024726"/>
      <w:bookmarkStart w:id="351" w:name="_Toc145732166"/>
      <w:bookmarkStart w:id="352" w:name="_Toc196122077"/>
      <w:bookmarkStart w:id="353" w:name="_Toc196801679"/>
      <w:bookmarkStart w:id="354" w:name="_Toc202172384"/>
      <w:bookmarkStart w:id="355" w:name="_Toc202172457"/>
      <w:bookmarkStart w:id="356" w:name="_Toc241048990"/>
      <w:bookmarkStart w:id="357" w:name="_Toc241051213"/>
      <w:bookmarkStart w:id="358" w:name="_Toc267489701"/>
      <w:bookmarkStart w:id="359" w:name="_Toc268264202"/>
      <w:bookmarkStart w:id="360" w:name="_Toc268264304"/>
      <w:bookmarkStart w:id="361" w:name="_Toc272150695"/>
      <w:bookmarkStart w:id="362" w:name="_Toc267656135"/>
      <w:r>
        <w:rPr>
          <w:rStyle w:val="CharDivNo"/>
        </w:rPr>
        <w:t>Division 4</w:t>
      </w:r>
      <w:r>
        <w:rPr>
          <w:snapToGrid w:val="0"/>
        </w:rPr>
        <w:t> — </w:t>
      </w:r>
      <w:r>
        <w:rPr>
          <w:rStyle w:val="CharDivText"/>
        </w:rPr>
        <w:t>Voluntary return of goods</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DivText"/>
        </w:rPr>
        <w:t xml:space="preserve"> </w:t>
      </w:r>
    </w:p>
    <w:p>
      <w:pPr>
        <w:pStyle w:val="Heading5"/>
        <w:rPr>
          <w:snapToGrid w:val="0"/>
        </w:rPr>
      </w:pPr>
      <w:bookmarkStart w:id="363" w:name="_Toc459168248"/>
      <w:bookmarkStart w:id="364" w:name="_Toc71097104"/>
      <w:bookmarkStart w:id="365" w:name="_Toc72200482"/>
      <w:bookmarkStart w:id="366" w:name="_Toc102883444"/>
      <w:bookmarkStart w:id="367" w:name="_Toc128471254"/>
      <w:bookmarkStart w:id="368" w:name="_Toc272150696"/>
      <w:bookmarkStart w:id="369" w:name="_Toc267656136"/>
      <w:r>
        <w:rPr>
          <w:rStyle w:val="CharSectno"/>
        </w:rPr>
        <w:t>12</w:t>
      </w:r>
      <w:r>
        <w:rPr>
          <w:snapToGrid w:val="0"/>
        </w:rPr>
        <w:t>.</w:t>
      </w:r>
      <w:r>
        <w:rPr>
          <w:snapToGrid w:val="0"/>
        </w:rPr>
        <w:tab/>
        <w:t>Power of hirer to determine hiring</w:t>
      </w:r>
      <w:bookmarkEnd w:id="363"/>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70" w:name="_Toc72200483"/>
      <w:bookmarkStart w:id="371" w:name="_Toc72200551"/>
      <w:bookmarkStart w:id="372" w:name="_Toc77655322"/>
      <w:bookmarkStart w:id="373" w:name="_Toc79372696"/>
      <w:bookmarkStart w:id="374" w:name="_Toc86551126"/>
      <w:bookmarkStart w:id="375" w:name="_Toc89521473"/>
      <w:bookmarkStart w:id="376" w:name="_Toc90954882"/>
      <w:bookmarkStart w:id="377" w:name="_Toc92858041"/>
      <w:bookmarkStart w:id="378" w:name="_Toc97107199"/>
      <w:bookmarkStart w:id="379" w:name="_Toc102365781"/>
      <w:bookmarkStart w:id="380" w:name="_Toc102883445"/>
      <w:bookmarkStart w:id="381" w:name="_Toc106763930"/>
      <w:bookmarkStart w:id="382" w:name="_Toc128471255"/>
      <w:bookmarkStart w:id="383" w:name="_Toc128471328"/>
      <w:bookmarkStart w:id="384" w:name="_Toc129066975"/>
      <w:bookmarkStart w:id="385" w:name="_Toc139355339"/>
      <w:bookmarkStart w:id="386" w:name="_Toc139447607"/>
      <w:bookmarkStart w:id="387" w:name="_Toc139448011"/>
      <w:bookmarkStart w:id="388" w:name="_Toc141245845"/>
      <w:bookmarkStart w:id="389" w:name="_Toc141763322"/>
      <w:bookmarkStart w:id="390" w:name="_Toc143314309"/>
      <w:bookmarkStart w:id="391" w:name="_Toc143405093"/>
      <w:bookmarkStart w:id="392" w:name="_Toc143405168"/>
      <w:bookmarkStart w:id="393" w:name="_Toc143405243"/>
      <w:bookmarkStart w:id="394" w:name="_Toc144024728"/>
      <w:bookmarkStart w:id="395" w:name="_Toc145732168"/>
      <w:bookmarkStart w:id="396" w:name="_Toc196122079"/>
      <w:bookmarkStart w:id="397" w:name="_Toc196801681"/>
      <w:bookmarkStart w:id="398" w:name="_Toc202172386"/>
      <w:bookmarkStart w:id="399" w:name="_Toc202172459"/>
      <w:bookmarkStart w:id="400" w:name="_Toc241048992"/>
      <w:bookmarkStart w:id="401" w:name="_Toc241051215"/>
      <w:bookmarkStart w:id="402" w:name="_Toc267489703"/>
      <w:bookmarkStart w:id="403" w:name="_Toc268264204"/>
      <w:bookmarkStart w:id="404" w:name="_Toc268264306"/>
      <w:bookmarkStart w:id="405" w:name="_Toc272150697"/>
      <w:bookmarkStart w:id="406" w:name="_Toc267656137"/>
      <w:r>
        <w:rPr>
          <w:rStyle w:val="CharDivNo"/>
        </w:rPr>
        <w:t>Division 5</w:t>
      </w:r>
      <w:r>
        <w:rPr>
          <w:snapToGrid w:val="0"/>
        </w:rPr>
        <w:t> — </w:t>
      </w:r>
      <w:r>
        <w:rPr>
          <w:rStyle w:val="CharDivText"/>
        </w:rPr>
        <w:t>Repossessions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Pr>
          <w:rStyle w:val="CharDivText"/>
        </w:rPr>
        <w:t xml:space="preserve"> </w:t>
      </w:r>
    </w:p>
    <w:p>
      <w:pPr>
        <w:pStyle w:val="Heading5"/>
        <w:spacing w:before="180"/>
        <w:rPr>
          <w:snapToGrid w:val="0"/>
        </w:rPr>
      </w:pPr>
      <w:bookmarkStart w:id="407" w:name="_Toc459168249"/>
      <w:bookmarkStart w:id="408" w:name="_Toc71097105"/>
      <w:bookmarkStart w:id="409" w:name="_Toc72200484"/>
      <w:bookmarkStart w:id="410" w:name="_Toc102883446"/>
      <w:bookmarkStart w:id="411" w:name="_Toc128471256"/>
      <w:bookmarkStart w:id="412" w:name="_Toc272150698"/>
      <w:bookmarkStart w:id="413" w:name="_Toc267656138"/>
      <w:r>
        <w:rPr>
          <w:rStyle w:val="CharSectno"/>
        </w:rPr>
        <w:t>12A</w:t>
      </w:r>
      <w:r>
        <w:rPr>
          <w:snapToGrid w:val="0"/>
        </w:rPr>
        <w:t xml:space="preserve">. </w:t>
      </w:r>
      <w:r>
        <w:rPr>
          <w:snapToGrid w:val="0"/>
        </w:rPr>
        <w:tab/>
        <w:t>Protected goods</w:t>
      </w:r>
      <w:bookmarkEnd w:id="407"/>
      <w:bookmarkEnd w:id="408"/>
      <w:bookmarkEnd w:id="409"/>
      <w:bookmarkEnd w:id="410"/>
      <w:bookmarkEnd w:id="411"/>
      <w:bookmarkEnd w:id="412"/>
      <w:bookmarkEnd w:id="413"/>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414" w:name="_Toc459168250"/>
      <w:bookmarkStart w:id="415" w:name="_Toc71097106"/>
      <w:bookmarkStart w:id="416" w:name="_Toc72200485"/>
      <w:bookmarkStart w:id="417" w:name="_Toc102883447"/>
      <w:bookmarkStart w:id="418" w:name="_Toc128471257"/>
      <w:bookmarkStart w:id="419" w:name="_Toc272150699"/>
      <w:bookmarkStart w:id="420" w:name="_Toc267656139"/>
      <w:r>
        <w:rPr>
          <w:rStyle w:val="CharSectno"/>
        </w:rPr>
        <w:t>13</w:t>
      </w:r>
      <w:r>
        <w:rPr>
          <w:snapToGrid w:val="0"/>
        </w:rPr>
        <w:t>.</w:t>
      </w:r>
      <w:r>
        <w:rPr>
          <w:snapToGrid w:val="0"/>
        </w:rPr>
        <w:tab/>
        <w:t>Notices to be given to hirer when goods repossessed</w:t>
      </w:r>
      <w:bookmarkEnd w:id="414"/>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421" w:name="_Toc459168251"/>
      <w:bookmarkStart w:id="422" w:name="_Toc71097107"/>
      <w:bookmarkStart w:id="423" w:name="_Toc72200486"/>
      <w:bookmarkStart w:id="424" w:name="_Toc102883448"/>
      <w:bookmarkStart w:id="425" w:name="_Toc128471258"/>
      <w:bookmarkStart w:id="426" w:name="_Toc272150700"/>
      <w:bookmarkStart w:id="427" w:name="_Toc267656140"/>
      <w:r>
        <w:rPr>
          <w:rStyle w:val="CharSectno"/>
        </w:rPr>
        <w:t>14</w:t>
      </w:r>
      <w:r>
        <w:rPr>
          <w:snapToGrid w:val="0"/>
        </w:rPr>
        <w:t>.</w:t>
      </w:r>
      <w:r>
        <w:rPr>
          <w:snapToGrid w:val="0"/>
        </w:rPr>
        <w:tab/>
        <w:t>Owner to retain possession of goods repossessed for 21 days</w:t>
      </w:r>
      <w:bookmarkEnd w:id="421"/>
      <w:bookmarkEnd w:id="422"/>
      <w:bookmarkEnd w:id="423"/>
      <w:bookmarkEnd w:id="424"/>
      <w:bookmarkEnd w:id="425"/>
      <w:bookmarkEnd w:id="426"/>
      <w:bookmarkEnd w:id="427"/>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428" w:name="_Toc459168252"/>
      <w:bookmarkStart w:id="429" w:name="_Toc71097108"/>
      <w:bookmarkStart w:id="430" w:name="_Toc72200487"/>
      <w:bookmarkStart w:id="431" w:name="_Toc102883449"/>
      <w:bookmarkStart w:id="432" w:name="_Toc128471259"/>
      <w:bookmarkStart w:id="433" w:name="_Toc272150701"/>
      <w:bookmarkStart w:id="434" w:name="_Toc267656141"/>
      <w:r>
        <w:rPr>
          <w:rStyle w:val="CharSectno"/>
        </w:rPr>
        <w:t>15</w:t>
      </w:r>
      <w:r>
        <w:rPr>
          <w:snapToGrid w:val="0"/>
        </w:rPr>
        <w:t>.</w:t>
      </w:r>
      <w:r>
        <w:rPr>
          <w:snapToGrid w:val="0"/>
        </w:rPr>
        <w:tab/>
        <w:t>As to hirer’s rights and immunities when goods repossessed</w:t>
      </w:r>
      <w:bookmarkEnd w:id="428"/>
      <w:bookmarkEnd w:id="429"/>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435" w:name="_Toc459168253"/>
      <w:bookmarkStart w:id="436" w:name="_Toc71097109"/>
      <w:bookmarkStart w:id="437" w:name="_Toc72200488"/>
      <w:bookmarkStart w:id="438" w:name="_Toc102883450"/>
      <w:bookmarkStart w:id="439" w:name="_Toc128471260"/>
      <w:bookmarkStart w:id="440" w:name="_Toc272150702"/>
      <w:bookmarkStart w:id="441" w:name="_Toc267656142"/>
      <w:r>
        <w:rPr>
          <w:rStyle w:val="CharSectno"/>
        </w:rPr>
        <w:t>16</w:t>
      </w:r>
      <w:r>
        <w:rPr>
          <w:snapToGrid w:val="0"/>
        </w:rPr>
        <w:t>.</w:t>
      </w:r>
      <w:r>
        <w:rPr>
          <w:snapToGrid w:val="0"/>
        </w:rPr>
        <w:tab/>
        <w:t>Power of hirer to regain possession of goods in certain circumstances</w:t>
      </w:r>
      <w:bookmarkEnd w:id="435"/>
      <w:bookmarkEnd w:id="436"/>
      <w:bookmarkEnd w:id="437"/>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442" w:name="_Toc459168254"/>
      <w:bookmarkStart w:id="443" w:name="_Toc71097110"/>
      <w:bookmarkStart w:id="444" w:name="_Toc72200489"/>
      <w:bookmarkStart w:id="445" w:name="_Toc102883451"/>
      <w:bookmarkStart w:id="446" w:name="_Toc128471261"/>
      <w:bookmarkStart w:id="447" w:name="_Toc272150703"/>
      <w:bookmarkStart w:id="448" w:name="_Toc267656143"/>
      <w:r>
        <w:rPr>
          <w:rStyle w:val="CharSectno"/>
        </w:rPr>
        <w:t>17</w:t>
      </w:r>
      <w:r>
        <w:rPr>
          <w:snapToGrid w:val="0"/>
        </w:rPr>
        <w:t>.</w:t>
      </w:r>
      <w:r>
        <w:rPr>
          <w:snapToGrid w:val="0"/>
        </w:rPr>
        <w:tab/>
        <w:t>Power of court to vary existing judgments or orders when goods are repossessed</w:t>
      </w:r>
      <w:bookmarkEnd w:id="442"/>
      <w:bookmarkEnd w:id="443"/>
      <w:bookmarkEnd w:id="444"/>
      <w:bookmarkEnd w:id="445"/>
      <w:bookmarkEnd w:id="446"/>
      <w:bookmarkEnd w:id="447"/>
      <w:bookmarkEnd w:id="448"/>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449" w:name="_Toc72200490"/>
      <w:bookmarkStart w:id="450" w:name="_Toc72200558"/>
      <w:bookmarkStart w:id="451" w:name="_Toc77655329"/>
      <w:bookmarkStart w:id="452" w:name="_Toc79372703"/>
      <w:bookmarkStart w:id="453" w:name="_Toc86551133"/>
      <w:bookmarkStart w:id="454" w:name="_Toc89521480"/>
      <w:bookmarkStart w:id="455" w:name="_Toc90954889"/>
      <w:bookmarkStart w:id="456" w:name="_Toc92858048"/>
      <w:bookmarkStart w:id="457" w:name="_Toc97107206"/>
      <w:bookmarkStart w:id="458" w:name="_Toc102365788"/>
      <w:bookmarkStart w:id="459" w:name="_Toc102883452"/>
      <w:bookmarkStart w:id="460" w:name="_Toc106763937"/>
      <w:bookmarkStart w:id="461" w:name="_Toc128471262"/>
      <w:bookmarkStart w:id="462" w:name="_Toc128471335"/>
      <w:bookmarkStart w:id="463" w:name="_Toc129066982"/>
      <w:bookmarkStart w:id="464" w:name="_Toc139355346"/>
      <w:bookmarkStart w:id="465" w:name="_Toc139447614"/>
      <w:bookmarkStart w:id="466" w:name="_Toc139448018"/>
      <w:bookmarkStart w:id="467" w:name="_Toc141245852"/>
      <w:bookmarkStart w:id="468" w:name="_Toc141763329"/>
      <w:bookmarkStart w:id="469" w:name="_Toc143314316"/>
      <w:bookmarkStart w:id="470" w:name="_Toc143405100"/>
      <w:bookmarkStart w:id="471" w:name="_Toc143405175"/>
      <w:bookmarkStart w:id="472" w:name="_Toc143405250"/>
      <w:bookmarkStart w:id="473" w:name="_Toc144024735"/>
      <w:bookmarkStart w:id="474" w:name="_Toc145732175"/>
      <w:bookmarkStart w:id="475" w:name="_Toc196122086"/>
      <w:bookmarkStart w:id="476" w:name="_Toc196801688"/>
      <w:bookmarkStart w:id="477" w:name="_Toc202172393"/>
      <w:bookmarkStart w:id="478" w:name="_Toc202172466"/>
      <w:bookmarkStart w:id="479" w:name="_Toc241048999"/>
      <w:bookmarkStart w:id="480" w:name="_Toc241051222"/>
      <w:bookmarkStart w:id="481" w:name="_Toc267489710"/>
      <w:bookmarkStart w:id="482" w:name="_Toc268264211"/>
      <w:bookmarkStart w:id="483" w:name="_Toc268264313"/>
      <w:bookmarkStart w:id="484" w:name="_Toc272150704"/>
      <w:bookmarkStart w:id="485" w:name="_Toc267656144"/>
      <w:r>
        <w:rPr>
          <w:rStyle w:val="CharPartNo"/>
        </w:rPr>
        <w:t>Part IV</w:t>
      </w:r>
      <w:r>
        <w:rPr>
          <w:rStyle w:val="CharDivNo"/>
        </w:rPr>
        <w:t> </w:t>
      </w:r>
      <w:r>
        <w:t>—</w:t>
      </w:r>
      <w:r>
        <w:rPr>
          <w:rStyle w:val="CharDivText"/>
        </w:rPr>
        <w:t> </w:t>
      </w:r>
      <w:r>
        <w:rPr>
          <w:rStyle w:val="CharPartText"/>
        </w:rPr>
        <w:t>Guarantees</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Pr>
          <w:rStyle w:val="CharPartText"/>
        </w:rPr>
        <w:t xml:space="preserve"> </w:t>
      </w:r>
    </w:p>
    <w:p>
      <w:pPr>
        <w:pStyle w:val="Heading5"/>
        <w:rPr>
          <w:snapToGrid w:val="0"/>
        </w:rPr>
      </w:pPr>
      <w:bookmarkStart w:id="486" w:name="_Toc459168255"/>
      <w:bookmarkStart w:id="487" w:name="_Toc71097111"/>
      <w:bookmarkStart w:id="488" w:name="_Toc72200491"/>
      <w:bookmarkStart w:id="489" w:name="_Toc102883453"/>
      <w:bookmarkStart w:id="490" w:name="_Toc128471263"/>
      <w:bookmarkStart w:id="491" w:name="_Toc272150705"/>
      <w:bookmarkStart w:id="492" w:name="_Toc267656145"/>
      <w:r>
        <w:rPr>
          <w:rStyle w:val="CharSectno"/>
        </w:rPr>
        <w:t>18</w:t>
      </w:r>
      <w:r>
        <w:rPr>
          <w:snapToGrid w:val="0"/>
        </w:rPr>
        <w:t>.</w:t>
      </w:r>
      <w:r>
        <w:rPr>
          <w:snapToGrid w:val="0"/>
        </w:rPr>
        <w:tab/>
        <w:t>Provisions as to guarantors</w:t>
      </w:r>
      <w:bookmarkEnd w:id="486"/>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93" w:name="_Toc459168256"/>
      <w:bookmarkStart w:id="494" w:name="_Toc71097112"/>
      <w:bookmarkStart w:id="495" w:name="_Toc72200492"/>
      <w:bookmarkStart w:id="496" w:name="_Toc102883454"/>
      <w:bookmarkStart w:id="497" w:name="_Toc128471264"/>
      <w:bookmarkStart w:id="498" w:name="_Toc272150706"/>
      <w:bookmarkStart w:id="499" w:name="_Toc267656146"/>
      <w:r>
        <w:rPr>
          <w:rStyle w:val="CharSectno"/>
        </w:rPr>
        <w:t>19</w:t>
      </w:r>
      <w:r>
        <w:rPr>
          <w:snapToGrid w:val="0"/>
        </w:rPr>
        <w:t>.</w:t>
      </w:r>
      <w:r>
        <w:rPr>
          <w:snapToGrid w:val="0"/>
        </w:rPr>
        <w:tab/>
        <w:t>Guarantor not to be bound in certain cases unless independently advised</w:t>
      </w:r>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500" w:name="_Toc72200493"/>
      <w:bookmarkStart w:id="501" w:name="_Toc72200561"/>
      <w:bookmarkStart w:id="502" w:name="_Toc77655332"/>
      <w:bookmarkStart w:id="503" w:name="_Toc79372706"/>
      <w:bookmarkStart w:id="504" w:name="_Toc86551136"/>
      <w:bookmarkStart w:id="505" w:name="_Toc89521483"/>
      <w:bookmarkStart w:id="506" w:name="_Toc90954892"/>
      <w:bookmarkStart w:id="507" w:name="_Toc92858051"/>
      <w:bookmarkStart w:id="508" w:name="_Toc97107209"/>
      <w:bookmarkStart w:id="509" w:name="_Toc102365791"/>
      <w:bookmarkStart w:id="510" w:name="_Toc102883455"/>
      <w:bookmarkStart w:id="511" w:name="_Toc106763940"/>
      <w:bookmarkStart w:id="512" w:name="_Toc128471265"/>
      <w:bookmarkStart w:id="513" w:name="_Toc128471338"/>
      <w:bookmarkStart w:id="514" w:name="_Toc129066985"/>
      <w:bookmarkStart w:id="515" w:name="_Toc139355349"/>
      <w:bookmarkStart w:id="516" w:name="_Toc139447617"/>
      <w:bookmarkStart w:id="517" w:name="_Toc139448021"/>
      <w:bookmarkStart w:id="518" w:name="_Toc141245855"/>
      <w:bookmarkStart w:id="519" w:name="_Toc141763332"/>
      <w:bookmarkStart w:id="520" w:name="_Toc143314319"/>
      <w:bookmarkStart w:id="521" w:name="_Toc143405103"/>
      <w:bookmarkStart w:id="522" w:name="_Toc143405178"/>
      <w:bookmarkStart w:id="523" w:name="_Toc143405253"/>
      <w:bookmarkStart w:id="524" w:name="_Toc144024738"/>
      <w:bookmarkStart w:id="525" w:name="_Toc145732178"/>
      <w:bookmarkStart w:id="526" w:name="_Toc196122089"/>
      <w:bookmarkStart w:id="527" w:name="_Toc196801691"/>
      <w:bookmarkStart w:id="528" w:name="_Toc202172396"/>
      <w:bookmarkStart w:id="529" w:name="_Toc202172469"/>
      <w:bookmarkStart w:id="530" w:name="_Toc241049002"/>
      <w:bookmarkStart w:id="531" w:name="_Toc241051225"/>
      <w:bookmarkStart w:id="532" w:name="_Toc267489713"/>
      <w:bookmarkStart w:id="533" w:name="_Toc268264214"/>
      <w:bookmarkStart w:id="534" w:name="_Toc268264316"/>
      <w:bookmarkStart w:id="535" w:name="_Toc272150707"/>
      <w:bookmarkStart w:id="536" w:name="_Toc267656147"/>
      <w:r>
        <w:rPr>
          <w:rStyle w:val="CharPartNo"/>
        </w:rPr>
        <w:t>Part V</w:t>
      </w:r>
      <w:r>
        <w:rPr>
          <w:rStyle w:val="CharDivNo"/>
        </w:rPr>
        <w:t> </w:t>
      </w:r>
      <w:r>
        <w:t>—</w:t>
      </w:r>
      <w:r>
        <w:rPr>
          <w:rStyle w:val="CharDivText"/>
        </w:rPr>
        <w:t> </w:t>
      </w:r>
      <w:r>
        <w:rPr>
          <w:rStyle w:val="CharPartText"/>
        </w:rPr>
        <w:t>Insurance</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Pr>
          <w:rStyle w:val="CharPartText"/>
        </w:rPr>
        <w:t xml:space="preserve"> </w:t>
      </w:r>
    </w:p>
    <w:p>
      <w:pPr>
        <w:pStyle w:val="Heading5"/>
        <w:rPr>
          <w:snapToGrid w:val="0"/>
        </w:rPr>
      </w:pPr>
      <w:bookmarkStart w:id="537" w:name="_Toc459168257"/>
      <w:bookmarkStart w:id="538" w:name="_Toc71097113"/>
      <w:bookmarkStart w:id="539" w:name="_Toc72200494"/>
      <w:bookmarkStart w:id="540" w:name="_Toc102883456"/>
      <w:bookmarkStart w:id="541" w:name="_Toc128471266"/>
      <w:bookmarkStart w:id="542" w:name="_Toc272150708"/>
      <w:bookmarkStart w:id="543" w:name="_Toc267656148"/>
      <w:r>
        <w:rPr>
          <w:rStyle w:val="CharSectno"/>
        </w:rPr>
        <w:t>20</w:t>
      </w:r>
      <w:r>
        <w:rPr>
          <w:snapToGrid w:val="0"/>
        </w:rPr>
        <w:t>.</w:t>
      </w:r>
      <w:r>
        <w:rPr>
          <w:snapToGrid w:val="0"/>
        </w:rPr>
        <w:tab/>
        <w:t>As to insurance of goods comprised in hire</w:t>
      </w:r>
      <w:r>
        <w:rPr>
          <w:snapToGrid w:val="0"/>
        </w:rPr>
        <w:noBreakHyphen/>
        <w:t>purchase agreements</w:t>
      </w:r>
      <w:bookmarkEnd w:id="537"/>
      <w:bookmarkEnd w:id="538"/>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544" w:name="_Toc459168258"/>
      <w:bookmarkStart w:id="545" w:name="_Toc71097114"/>
      <w:bookmarkStart w:id="546" w:name="_Toc72200495"/>
      <w:bookmarkStart w:id="547" w:name="_Toc102883457"/>
      <w:bookmarkStart w:id="548" w:name="_Toc128471267"/>
      <w:bookmarkStart w:id="549" w:name="_Toc272150709"/>
      <w:bookmarkStart w:id="550" w:name="_Toc267656149"/>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544"/>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551" w:name="_Toc459168259"/>
      <w:bookmarkStart w:id="552" w:name="_Toc71097115"/>
      <w:bookmarkStart w:id="553" w:name="_Toc72200496"/>
      <w:bookmarkStart w:id="554" w:name="_Toc102883458"/>
      <w:bookmarkStart w:id="555" w:name="_Toc128471268"/>
      <w:bookmarkStart w:id="556" w:name="_Toc272150710"/>
      <w:bookmarkStart w:id="557" w:name="_Toc267656150"/>
      <w:r>
        <w:rPr>
          <w:rStyle w:val="CharSectno"/>
        </w:rPr>
        <w:t>22</w:t>
      </w:r>
      <w:r>
        <w:rPr>
          <w:snapToGrid w:val="0"/>
        </w:rPr>
        <w:t>.</w:t>
      </w:r>
      <w:r>
        <w:rPr>
          <w:snapToGrid w:val="0"/>
        </w:rPr>
        <w:tab/>
        <w:t>As to contents of contracts of insurance</w:t>
      </w:r>
      <w:bookmarkEnd w:id="551"/>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558" w:name="_Toc459168260"/>
      <w:bookmarkStart w:id="559" w:name="_Toc71097116"/>
      <w:bookmarkStart w:id="560" w:name="_Toc72200497"/>
      <w:bookmarkStart w:id="561" w:name="_Toc102883459"/>
      <w:bookmarkStart w:id="562" w:name="_Toc128471269"/>
      <w:bookmarkStart w:id="563" w:name="_Toc272150711"/>
      <w:bookmarkStart w:id="564" w:name="_Toc267656151"/>
      <w:r>
        <w:rPr>
          <w:rStyle w:val="CharSectno"/>
        </w:rPr>
        <w:t>23</w:t>
      </w:r>
      <w:r>
        <w:rPr>
          <w:snapToGrid w:val="0"/>
        </w:rPr>
        <w:t>.</w:t>
      </w:r>
      <w:r>
        <w:rPr>
          <w:snapToGrid w:val="0"/>
        </w:rPr>
        <w:tab/>
        <w:t>Application of Part V</w:t>
      </w:r>
      <w:bookmarkEnd w:id="558"/>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deleted by No. 102 of 1984 s. 10.] </w:t>
      </w:r>
    </w:p>
    <w:p>
      <w:pPr>
        <w:pStyle w:val="Heading2"/>
      </w:pPr>
      <w:bookmarkStart w:id="565" w:name="_Toc72200498"/>
      <w:bookmarkStart w:id="566" w:name="_Toc72200566"/>
      <w:bookmarkStart w:id="567" w:name="_Toc77655337"/>
      <w:bookmarkStart w:id="568" w:name="_Toc79372711"/>
      <w:bookmarkStart w:id="569" w:name="_Toc86551141"/>
      <w:bookmarkStart w:id="570" w:name="_Toc89521488"/>
      <w:bookmarkStart w:id="571" w:name="_Toc90954897"/>
      <w:bookmarkStart w:id="572" w:name="_Toc92858056"/>
      <w:bookmarkStart w:id="573" w:name="_Toc97107214"/>
      <w:bookmarkStart w:id="574" w:name="_Toc102365796"/>
      <w:bookmarkStart w:id="575" w:name="_Toc102883460"/>
      <w:bookmarkStart w:id="576" w:name="_Toc106763945"/>
      <w:bookmarkStart w:id="577" w:name="_Toc128471270"/>
      <w:bookmarkStart w:id="578" w:name="_Toc128471343"/>
      <w:bookmarkStart w:id="579" w:name="_Toc129066990"/>
      <w:bookmarkStart w:id="580" w:name="_Toc139355354"/>
      <w:bookmarkStart w:id="581" w:name="_Toc139447622"/>
      <w:bookmarkStart w:id="582" w:name="_Toc139448026"/>
      <w:bookmarkStart w:id="583" w:name="_Toc141245860"/>
      <w:bookmarkStart w:id="584" w:name="_Toc141763337"/>
      <w:bookmarkStart w:id="585" w:name="_Toc143314324"/>
      <w:bookmarkStart w:id="586" w:name="_Toc143405108"/>
      <w:bookmarkStart w:id="587" w:name="_Toc143405183"/>
      <w:bookmarkStart w:id="588" w:name="_Toc143405258"/>
      <w:bookmarkStart w:id="589" w:name="_Toc144024743"/>
      <w:bookmarkStart w:id="590" w:name="_Toc145732183"/>
      <w:bookmarkStart w:id="591" w:name="_Toc196122094"/>
      <w:bookmarkStart w:id="592" w:name="_Toc196801696"/>
      <w:bookmarkStart w:id="593" w:name="_Toc202172401"/>
      <w:bookmarkStart w:id="594" w:name="_Toc202172474"/>
      <w:bookmarkStart w:id="595" w:name="_Toc241049007"/>
      <w:bookmarkStart w:id="596" w:name="_Toc241051230"/>
      <w:bookmarkStart w:id="597" w:name="_Toc267489718"/>
      <w:bookmarkStart w:id="598" w:name="_Toc268264219"/>
      <w:bookmarkStart w:id="599" w:name="_Toc268264321"/>
      <w:bookmarkStart w:id="600" w:name="_Toc272150712"/>
      <w:bookmarkStart w:id="601" w:name="_Toc267656152"/>
      <w:r>
        <w:rPr>
          <w:rStyle w:val="CharPartNo"/>
        </w:rPr>
        <w:t>Part VI</w:t>
      </w:r>
      <w:r>
        <w:rPr>
          <w:rStyle w:val="CharDivNo"/>
        </w:rPr>
        <w:t> </w:t>
      </w:r>
      <w:r>
        <w:t>—</w:t>
      </w:r>
      <w:r>
        <w:rPr>
          <w:rStyle w:val="CharDivText"/>
        </w:rPr>
        <w:t> </w:t>
      </w:r>
      <w:r>
        <w:rPr>
          <w:rStyle w:val="CharPartText"/>
        </w:rPr>
        <w:t>Miscellaneous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Ednotesection"/>
      </w:pPr>
      <w:r>
        <w:t>[</w:t>
      </w:r>
      <w:r>
        <w:rPr>
          <w:b/>
          <w:bCs/>
        </w:rPr>
        <w:t>23W.</w:t>
      </w:r>
      <w:r>
        <w:tab/>
        <w:t>Deleted by No. 28 of 2006 s. 102.]</w:t>
      </w:r>
    </w:p>
    <w:p>
      <w:pPr>
        <w:pStyle w:val="Heading5"/>
      </w:pPr>
      <w:bookmarkStart w:id="602" w:name="_Toc138750820"/>
      <w:bookmarkStart w:id="603" w:name="_Toc139166561"/>
      <w:bookmarkStart w:id="604" w:name="_Toc139266281"/>
      <w:bookmarkStart w:id="605" w:name="_Toc272150713"/>
      <w:bookmarkStart w:id="606" w:name="_Toc267656153"/>
      <w:bookmarkStart w:id="607" w:name="_Toc459168262"/>
      <w:bookmarkStart w:id="608" w:name="_Toc71097118"/>
      <w:bookmarkStart w:id="609" w:name="_Toc72200500"/>
      <w:bookmarkStart w:id="610" w:name="_Toc102883462"/>
      <w:bookmarkStart w:id="611" w:name="_Toc128471272"/>
      <w:r>
        <w:rPr>
          <w:rStyle w:val="CharSectno"/>
        </w:rPr>
        <w:t>23A</w:t>
      </w:r>
      <w:r>
        <w:t>.</w:t>
      </w:r>
      <w:r>
        <w:tab/>
        <w:t>Commissioner</w:t>
      </w:r>
      <w:bookmarkEnd w:id="602"/>
      <w:bookmarkEnd w:id="603"/>
      <w:bookmarkEnd w:id="604"/>
      <w:bookmarkEnd w:id="605"/>
      <w:bookmarkEnd w:id="606"/>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612" w:name="_Toc138750821"/>
      <w:bookmarkStart w:id="613" w:name="_Toc139166562"/>
      <w:bookmarkStart w:id="614" w:name="_Toc139266282"/>
      <w:bookmarkStart w:id="615" w:name="_Toc272150714"/>
      <w:bookmarkStart w:id="616" w:name="_Toc267656154"/>
      <w:r>
        <w:rPr>
          <w:rStyle w:val="CharSectno"/>
        </w:rPr>
        <w:t>23B</w:t>
      </w:r>
      <w:r>
        <w:t>.</w:t>
      </w:r>
      <w:r>
        <w:tab/>
        <w:t>Delegation by Commissioner</w:t>
      </w:r>
      <w:bookmarkEnd w:id="612"/>
      <w:bookmarkEnd w:id="613"/>
      <w:bookmarkEnd w:id="614"/>
      <w:bookmarkEnd w:id="615"/>
      <w:bookmarkEnd w:id="616"/>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617" w:name="_Toc272150715"/>
      <w:bookmarkStart w:id="618" w:name="_Toc267656155"/>
      <w:r>
        <w:rPr>
          <w:rStyle w:val="CharSectno"/>
        </w:rPr>
        <w:t>24</w:t>
      </w:r>
      <w:r>
        <w:rPr>
          <w:snapToGrid w:val="0"/>
        </w:rPr>
        <w:t>.</w:t>
      </w:r>
      <w:r>
        <w:rPr>
          <w:snapToGrid w:val="0"/>
        </w:rPr>
        <w:tab/>
        <w:t>Power of court to reopen certain hire</w:t>
      </w:r>
      <w:r>
        <w:rPr>
          <w:snapToGrid w:val="0"/>
        </w:rPr>
        <w:noBreakHyphen/>
        <w:t>purchase transactions</w:t>
      </w:r>
      <w:bookmarkEnd w:id="607"/>
      <w:bookmarkEnd w:id="608"/>
      <w:bookmarkEnd w:id="609"/>
      <w:bookmarkEnd w:id="610"/>
      <w:bookmarkEnd w:id="611"/>
      <w:bookmarkEnd w:id="617"/>
      <w:bookmarkEnd w:id="618"/>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619" w:name="_Toc459168263"/>
      <w:bookmarkStart w:id="620" w:name="_Toc71097119"/>
      <w:bookmarkStart w:id="621" w:name="_Toc72200501"/>
      <w:bookmarkStart w:id="622" w:name="_Toc102883463"/>
      <w:bookmarkStart w:id="623" w:name="_Toc128471273"/>
      <w:bookmarkStart w:id="624" w:name="_Toc272150716"/>
      <w:bookmarkStart w:id="625" w:name="_Toc267656156"/>
      <w:r>
        <w:rPr>
          <w:rStyle w:val="CharSectno"/>
        </w:rPr>
        <w:t>25</w:t>
      </w:r>
      <w:r>
        <w:rPr>
          <w:snapToGrid w:val="0"/>
        </w:rPr>
        <w:t>.</w:t>
      </w:r>
      <w:r>
        <w:rPr>
          <w:snapToGrid w:val="0"/>
        </w:rPr>
        <w:tab/>
        <w:t>Power of court to restrain repossession of certain goods from farmer</w:t>
      </w:r>
      <w:bookmarkEnd w:id="619"/>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626" w:name="_Toc459168264"/>
      <w:bookmarkStart w:id="627" w:name="_Toc71097120"/>
      <w:bookmarkStart w:id="628" w:name="_Toc72200502"/>
      <w:bookmarkStart w:id="629" w:name="_Toc102883464"/>
      <w:bookmarkStart w:id="630" w:name="_Toc128471274"/>
      <w:bookmarkStart w:id="631" w:name="_Toc272150717"/>
      <w:bookmarkStart w:id="632" w:name="_Toc267656157"/>
      <w:r>
        <w:rPr>
          <w:rStyle w:val="CharSectno"/>
        </w:rPr>
        <w:t>26</w:t>
      </w:r>
      <w:r>
        <w:rPr>
          <w:snapToGrid w:val="0"/>
        </w:rPr>
        <w:t>.</w:t>
      </w:r>
      <w:r>
        <w:rPr>
          <w:snapToGrid w:val="0"/>
        </w:rPr>
        <w:tab/>
        <w:t>Liens</w:t>
      </w:r>
      <w:bookmarkEnd w:id="626"/>
      <w:bookmarkEnd w:id="627"/>
      <w:bookmarkEnd w:id="628"/>
      <w:bookmarkEnd w:id="629"/>
      <w:bookmarkEnd w:id="630"/>
      <w:bookmarkEnd w:id="631"/>
      <w:bookmarkEnd w:id="632"/>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633" w:name="_Toc459168265"/>
      <w:bookmarkStart w:id="634" w:name="_Toc71097121"/>
      <w:bookmarkStart w:id="635" w:name="_Toc72200503"/>
      <w:bookmarkStart w:id="636" w:name="_Toc102883465"/>
      <w:bookmarkStart w:id="637" w:name="_Toc128471275"/>
      <w:bookmarkStart w:id="638" w:name="_Toc272150718"/>
      <w:bookmarkStart w:id="639" w:name="_Toc267656158"/>
      <w:r>
        <w:rPr>
          <w:rStyle w:val="CharSectno"/>
        </w:rPr>
        <w:t>27</w:t>
      </w:r>
      <w:r>
        <w:rPr>
          <w:snapToGrid w:val="0"/>
        </w:rPr>
        <w:t>.</w:t>
      </w:r>
      <w:r>
        <w:rPr>
          <w:snapToGrid w:val="0"/>
        </w:rPr>
        <w:tab/>
        <w:t>Fixtures</w:t>
      </w:r>
      <w:bookmarkEnd w:id="633"/>
      <w:bookmarkEnd w:id="634"/>
      <w:bookmarkEnd w:id="635"/>
      <w:bookmarkEnd w:id="636"/>
      <w:bookmarkEnd w:id="637"/>
      <w:bookmarkEnd w:id="638"/>
      <w:bookmarkEnd w:id="639"/>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640" w:name="_Toc459168266"/>
      <w:bookmarkStart w:id="641" w:name="_Toc71097122"/>
      <w:bookmarkStart w:id="642" w:name="_Toc72200504"/>
      <w:bookmarkStart w:id="643" w:name="_Toc102883466"/>
      <w:bookmarkStart w:id="644" w:name="_Toc128471276"/>
      <w:bookmarkStart w:id="645" w:name="_Toc272150719"/>
      <w:bookmarkStart w:id="646" w:name="_Toc267656159"/>
      <w:r>
        <w:rPr>
          <w:rStyle w:val="CharSectno"/>
        </w:rPr>
        <w:t>28</w:t>
      </w:r>
      <w:r>
        <w:rPr>
          <w:snapToGrid w:val="0"/>
        </w:rPr>
        <w:t>.</w:t>
      </w:r>
      <w:r>
        <w:rPr>
          <w:snapToGrid w:val="0"/>
        </w:rPr>
        <w:tab/>
        <w:t>Avoidance of certain provisions</w:t>
      </w:r>
      <w:bookmarkEnd w:id="640"/>
      <w:bookmarkEnd w:id="641"/>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647" w:name="_Toc459168267"/>
      <w:bookmarkStart w:id="648" w:name="_Toc71097123"/>
      <w:bookmarkStart w:id="649" w:name="_Toc72200505"/>
      <w:bookmarkStart w:id="650" w:name="_Toc102883467"/>
      <w:bookmarkStart w:id="651" w:name="_Toc128471277"/>
      <w:bookmarkStart w:id="652" w:name="_Toc272150720"/>
      <w:bookmarkStart w:id="653" w:name="_Toc267656160"/>
      <w:r>
        <w:rPr>
          <w:rStyle w:val="CharSectno"/>
        </w:rPr>
        <w:t>29</w:t>
      </w:r>
      <w:r>
        <w:rPr>
          <w:snapToGrid w:val="0"/>
        </w:rPr>
        <w:t>.</w:t>
      </w:r>
      <w:r>
        <w:rPr>
          <w:snapToGrid w:val="0"/>
        </w:rPr>
        <w:tab/>
        <w:t>Restrictions on payments to owners of goods by financiers</w:t>
      </w:r>
      <w:bookmarkEnd w:id="647"/>
      <w:bookmarkEnd w:id="648"/>
      <w:bookmarkEnd w:id="649"/>
      <w:bookmarkEnd w:id="650"/>
      <w:bookmarkEnd w:id="651"/>
      <w:bookmarkEnd w:id="652"/>
      <w:bookmarkEnd w:id="653"/>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654" w:name="_Toc459168268"/>
      <w:bookmarkStart w:id="655" w:name="_Toc71097124"/>
      <w:bookmarkStart w:id="656" w:name="_Toc72200506"/>
      <w:bookmarkStart w:id="657" w:name="_Toc102883468"/>
      <w:bookmarkStart w:id="658" w:name="_Toc128471278"/>
      <w:bookmarkStart w:id="659" w:name="_Toc272150721"/>
      <w:bookmarkStart w:id="660" w:name="_Toc267656161"/>
      <w:r>
        <w:rPr>
          <w:rStyle w:val="CharSectno"/>
        </w:rPr>
        <w:t>30</w:t>
      </w:r>
      <w:r>
        <w:rPr>
          <w:snapToGrid w:val="0"/>
        </w:rPr>
        <w:t>.</w:t>
      </w:r>
      <w:r>
        <w:rPr>
          <w:snapToGrid w:val="0"/>
        </w:rPr>
        <w:tab/>
        <w:t>Certain transactions prohibited</w:t>
      </w:r>
      <w:bookmarkEnd w:id="654"/>
      <w:bookmarkEnd w:id="655"/>
      <w:bookmarkEnd w:id="656"/>
      <w:bookmarkEnd w:id="657"/>
      <w:bookmarkEnd w:id="658"/>
      <w:bookmarkEnd w:id="659"/>
      <w:bookmarkEnd w:id="660"/>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661" w:name="_Toc459168269"/>
      <w:bookmarkStart w:id="662" w:name="_Toc71097125"/>
      <w:bookmarkStart w:id="663" w:name="_Toc72200507"/>
      <w:bookmarkStart w:id="664" w:name="_Toc102883469"/>
      <w:bookmarkStart w:id="665" w:name="_Toc128471279"/>
      <w:bookmarkStart w:id="666" w:name="_Toc272150722"/>
      <w:bookmarkStart w:id="667" w:name="_Toc267656162"/>
      <w:r>
        <w:rPr>
          <w:rStyle w:val="CharSectno"/>
        </w:rPr>
        <w:t>31</w:t>
      </w:r>
      <w:r>
        <w:rPr>
          <w:snapToGrid w:val="0"/>
        </w:rPr>
        <w:t>.</w:t>
      </w:r>
      <w:r>
        <w:rPr>
          <w:snapToGrid w:val="0"/>
        </w:rPr>
        <w:tab/>
        <w:t>As to securities collateral to hire</w:t>
      </w:r>
      <w:r>
        <w:rPr>
          <w:snapToGrid w:val="0"/>
        </w:rPr>
        <w:noBreakHyphen/>
        <w:t>purchase agreements</w:t>
      </w:r>
      <w:bookmarkEnd w:id="661"/>
      <w:bookmarkEnd w:id="662"/>
      <w:bookmarkEnd w:id="663"/>
      <w:bookmarkEnd w:id="664"/>
      <w:bookmarkEnd w:id="665"/>
      <w:bookmarkEnd w:id="666"/>
      <w:bookmarkEnd w:id="667"/>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668" w:name="_Toc459168270"/>
      <w:bookmarkStart w:id="669" w:name="_Toc71097126"/>
      <w:bookmarkStart w:id="670" w:name="_Toc72200508"/>
      <w:bookmarkStart w:id="671" w:name="_Toc102883470"/>
      <w:bookmarkStart w:id="672" w:name="_Toc128471280"/>
      <w:bookmarkStart w:id="673" w:name="_Toc272150723"/>
      <w:bookmarkStart w:id="674" w:name="_Toc267656163"/>
      <w:r>
        <w:rPr>
          <w:rStyle w:val="CharSectno"/>
        </w:rPr>
        <w:t>32</w:t>
      </w:r>
      <w:r>
        <w:rPr>
          <w:snapToGrid w:val="0"/>
        </w:rPr>
        <w:t>.</w:t>
      </w:r>
      <w:r>
        <w:rPr>
          <w:snapToGrid w:val="0"/>
        </w:rPr>
        <w:tab/>
        <w:t>False statements by dealers in proposals</w:t>
      </w:r>
      <w:bookmarkEnd w:id="668"/>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675" w:name="_Toc459168271"/>
      <w:bookmarkStart w:id="676" w:name="_Toc71097127"/>
      <w:bookmarkStart w:id="677" w:name="_Toc72200509"/>
      <w:bookmarkStart w:id="678" w:name="_Toc102883471"/>
      <w:bookmarkStart w:id="679" w:name="_Toc128471281"/>
      <w:bookmarkStart w:id="680" w:name="_Toc272150724"/>
      <w:bookmarkStart w:id="681" w:name="_Toc267656164"/>
      <w:r>
        <w:rPr>
          <w:rStyle w:val="CharSectno"/>
        </w:rPr>
        <w:t>33</w:t>
      </w:r>
      <w:r>
        <w:rPr>
          <w:snapToGrid w:val="0"/>
        </w:rPr>
        <w:t>.</w:t>
      </w:r>
      <w:r>
        <w:rPr>
          <w:snapToGrid w:val="0"/>
        </w:rPr>
        <w:tab/>
        <w:t>Hirer may be required to state where goods are</w:t>
      </w:r>
      <w:bookmarkEnd w:id="675"/>
      <w:bookmarkEnd w:id="676"/>
      <w:bookmarkEnd w:id="677"/>
      <w:bookmarkEnd w:id="678"/>
      <w:bookmarkEnd w:id="679"/>
      <w:bookmarkEnd w:id="680"/>
      <w:bookmarkEnd w:id="681"/>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682" w:name="_Toc459168272"/>
      <w:bookmarkStart w:id="683" w:name="_Toc71097128"/>
      <w:bookmarkStart w:id="684" w:name="_Toc72200510"/>
      <w:bookmarkStart w:id="685" w:name="_Toc102883472"/>
      <w:bookmarkStart w:id="686" w:name="_Toc128471282"/>
      <w:bookmarkStart w:id="687" w:name="_Toc272150725"/>
      <w:bookmarkStart w:id="688" w:name="_Toc267656165"/>
      <w:r>
        <w:rPr>
          <w:rStyle w:val="CharSectno"/>
        </w:rPr>
        <w:t>34</w:t>
      </w:r>
      <w:r>
        <w:rPr>
          <w:snapToGrid w:val="0"/>
        </w:rPr>
        <w:t>.</w:t>
      </w:r>
      <w:r>
        <w:rPr>
          <w:snapToGrid w:val="0"/>
        </w:rPr>
        <w:tab/>
        <w:t>Fraudulent sale or disposal of goods by hirer</w:t>
      </w:r>
      <w:bookmarkEnd w:id="682"/>
      <w:bookmarkEnd w:id="683"/>
      <w:bookmarkEnd w:id="684"/>
      <w:bookmarkEnd w:id="685"/>
      <w:bookmarkEnd w:id="686"/>
      <w:bookmarkEnd w:id="687"/>
      <w:bookmarkEnd w:id="688"/>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689" w:name="_Toc459168273"/>
      <w:bookmarkStart w:id="690" w:name="_Toc71097129"/>
      <w:bookmarkStart w:id="691" w:name="_Toc72200511"/>
      <w:bookmarkStart w:id="692" w:name="_Toc102883473"/>
      <w:bookmarkStart w:id="693" w:name="_Toc128471283"/>
      <w:bookmarkStart w:id="694" w:name="_Toc272150726"/>
      <w:bookmarkStart w:id="695" w:name="_Toc267656166"/>
      <w:r>
        <w:rPr>
          <w:rStyle w:val="CharSectno"/>
        </w:rPr>
        <w:t>35</w:t>
      </w:r>
      <w:r>
        <w:rPr>
          <w:snapToGrid w:val="0"/>
        </w:rPr>
        <w:t>.</w:t>
      </w:r>
      <w:r>
        <w:rPr>
          <w:snapToGrid w:val="0"/>
        </w:rPr>
        <w:tab/>
        <w:t>Power of court to extend times</w:t>
      </w:r>
      <w:bookmarkEnd w:id="689"/>
      <w:bookmarkEnd w:id="690"/>
      <w:bookmarkEnd w:id="691"/>
      <w:bookmarkEnd w:id="692"/>
      <w:bookmarkEnd w:id="693"/>
      <w:bookmarkEnd w:id="694"/>
      <w:bookmarkEnd w:id="695"/>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696" w:name="_Toc459168274"/>
      <w:bookmarkStart w:id="697" w:name="_Toc71097130"/>
      <w:bookmarkStart w:id="698" w:name="_Toc72200512"/>
      <w:bookmarkStart w:id="699" w:name="_Toc102883474"/>
      <w:bookmarkStart w:id="700" w:name="_Toc128471284"/>
      <w:bookmarkStart w:id="701" w:name="_Toc272150727"/>
      <w:bookmarkStart w:id="702" w:name="_Toc267656167"/>
      <w:r>
        <w:rPr>
          <w:rStyle w:val="CharSectno"/>
          <w:spacing w:val="-4"/>
        </w:rPr>
        <w:t>36</w:t>
      </w:r>
      <w:r>
        <w:rPr>
          <w:snapToGrid w:val="0"/>
          <w:spacing w:val="-4"/>
        </w:rPr>
        <w:t>.</w:t>
      </w:r>
      <w:r>
        <w:rPr>
          <w:snapToGrid w:val="0"/>
          <w:spacing w:val="-4"/>
        </w:rPr>
        <w:tab/>
        <w:t>Power of court to order delivery of goods unlawfully detained</w:t>
      </w:r>
      <w:bookmarkEnd w:id="696"/>
      <w:bookmarkEnd w:id="697"/>
      <w:bookmarkEnd w:id="698"/>
      <w:bookmarkEnd w:id="699"/>
      <w:bookmarkEnd w:id="700"/>
      <w:bookmarkEnd w:id="701"/>
      <w:bookmarkEnd w:id="702"/>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No. 8 of 2009 s. 74.] </w:t>
      </w:r>
    </w:p>
    <w:p>
      <w:pPr>
        <w:pStyle w:val="Heading5"/>
        <w:rPr>
          <w:snapToGrid w:val="0"/>
        </w:rPr>
      </w:pPr>
      <w:bookmarkStart w:id="703" w:name="_Toc459168275"/>
      <w:bookmarkStart w:id="704" w:name="_Toc71097131"/>
      <w:bookmarkStart w:id="705" w:name="_Toc72200513"/>
      <w:bookmarkStart w:id="706" w:name="_Toc102883475"/>
      <w:bookmarkStart w:id="707" w:name="_Toc128471285"/>
      <w:bookmarkStart w:id="708" w:name="_Toc272150728"/>
      <w:bookmarkStart w:id="709" w:name="_Toc267656168"/>
      <w:r>
        <w:rPr>
          <w:rStyle w:val="CharSectno"/>
        </w:rPr>
        <w:t>36A</w:t>
      </w:r>
      <w:r>
        <w:rPr>
          <w:snapToGrid w:val="0"/>
        </w:rPr>
        <w:t xml:space="preserve">. </w:t>
      </w:r>
      <w:r>
        <w:rPr>
          <w:snapToGrid w:val="0"/>
        </w:rPr>
        <w:tab/>
        <w:t>Relief against consequences of breach</w:t>
      </w:r>
      <w:bookmarkEnd w:id="703"/>
      <w:bookmarkEnd w:id="704"/>
      <w:bookmarkEnd w:id="705"/>
      <w:bookmarkEnd w:id="706"/>
      <w:bookmarkEnd w:id="707"/>
      <w:bookmarkEnd w:id="708"/>
      <w:bookmarkEnd w:id="709"/>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Deleted by No. 102 of 1984 s. 12.] </w:t>
      </w:r>
    </w:p>
    <w:p>
      <w:pPr>
        <w:pStyle w:val="Heading5"/>
      </w:pPr>
      <w:bookmarkStart w:id="710" w:name="_Toc138750823"/>
      <w:bookmarkStart w:id="711" w:name="_Toc139166564"/>
      <w:bookmarkStart w:id="712" w:name="_Toc139266284"/>
      <w:bookmarkStart w:id="713" w:name="_Toc272150729"/>
      <w:bookmarkStart w:id="714" w:name="_Toc267656169"/>
      <w:bookmarkStart w:id="715" w:name="_Toc459168277"/>
      <w:bookmarkStart w:id="716" w:name="_Toc71097133"/>
      <w:bookmarkStart w:id="717" w:name="_Toc72200515"/>
      <w:bookmarkStart w:id="718" w:name="_Toc102883477"/>
      <w:bookmarkStart w:id="719" w:name="_Toc128471287"/>
      <w:r>
        <w:rPr>
          <w:rStyle w:val="CharSectno"/>
        </w:rPr>
        <w:t>36C</w:t>
      </w:r>
      <w:r>
        <w:t>.</w:t>
      </w:r>
      <w:r>
        <w:tab/>
        <w:t xml:space="preserve">Application of certain provisions of the </w:t>
      </w:r>
      <w:r>
        <w:rPr>
          <w:i/>
        </w:rPr>
        <w:t>Consumer Affairs Act 1971</w:t>
      </w:r>
      <w:bookmarkEnd w:id="710"/>
      <w:bookmarkEnd w:id="711"/>
      <w:bookmarkEnd w:id="712"/>
      <w:bookmarkEnd w:id="713"/>
      <w:bookmarkEnd w:id="714"/>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720" w:name="_Toc272150730"/>
      <w:bookmarkStart w:id="721" w:name="_Toc267656170"/>
      <w:r>
        <w:rPr>
          <w:rStyle w:val="CharSectno"/>
        </w:rPr>
        <w:t>37</w:t>
      </w:r>
      <w:r>
        <w:rPr>
          <w:snapToGrid w:val="0"/>
        </w:rPr>
        <w:t>.</w:t>
      </w:r>
      <w:r>
        <w:rPr>
          <w:snapToGrid w:val="0"/>
        </w:rPr>
        <w:tab/>
        <w:t>As to service of notices</w:t>
      </w:r>
      <w:bookmarkEnd w:id="715"/>
      <w:bookmarkEnd w:id="716"/>
      <w:bookmarkEnd w:id="717"/>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722" w:name="_Toc459168278"/>
      <w:bookmarkStart w:id="723" w:name="_Toc71097134"/>
      <w:bookmarkStart w:id="724" w:name="_Toc72200516"/>
      <w:bookmarkStart w:id="725" w:name="_Toc102883478"/>
      <w:bookmarkStart w:id="726" w:name="_Toc128471288"/>
      <w:bookmarkStart w:id="727" w:name="_Toc272150731"/>
      <w:bookmarkStart w:id="728" w:name="_Toc267656171"/>
      <w:r>
        <w:rPr>
          <w:rStyle w:val="CharSectno"/>
        </w:rPr>
        <w:t>37A</w:t>
      </w:r>
      <w:r>
        <w:rPr>
          <w:snapToGrid w:val="0"/>
        </w:rPr>
        <w:t xml:space="preserve">. </w:t>
      </w:r>
      <w:r>
        <w:rPr>
          <w:snapToGrid w:val="0"/>
        </w:rPr>
        <w:tab/>
        <w:t>Orders dispensing with service</w:t>
      </w:r>
      <w:bookmarkEnd w:id="722"/>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729" w:name="_Toc459168279"/>
      <w:bookmarkStart w:id="730" w:name="_Toc71097135"/>
      <w:bookmarkStart w:id="731" w:name="_Toc72200517"/>
      <w:bookmarkStart w:id="732" w:name="_Toc102883479"/>
      <w:bookmarkStart w:id="733" w:name="_Toc128471289"/>
      <w:bookmarkStart w:id="734" w:name="_Toc272150732"/>
      <w:bookmarkStart w:id="735" w:name="_Toc267656172"/>
      <w:r>
        <w:rPr>
          <w:rStyle w:val="CharSectno"/>
        </w:rPr>
        <w:t>38</w:t>
      </w:r>
      <w:r>
        <w:rPr>
          <w:snapToGrid w:val="0"/>
        </w:rPr>
        <w:t>.</w:t>
      </w:r>
      <w:r>
        <w:rPr>
          <w:snapToGrid w:val="0"/>
        </w:rPr>
        <w:tab/>
        <w:t>Size, etc., of type, etc., required in certain documents</w:t>
      </w:r>
      <w:bookmarkEnd w:id="729"/>
      <w:bookmarkEnd w:id="730"/>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736" w:name="_Toc459168280"/>
      <w:bookmarkStart w:id="737" w:name="_Toc71097136"/>
      <w:bookmarkStart w:id="738" w:name="_Toc72200518"/>
      <w:bookmarkStart w:id="739" w:name="_Toc102883480"/>
      <w:bookmarkStart w:id="740" w:name="_Toc128471290"/>
      <w:bookmarkStart w:id="741" w:name="_Toc272150733"/>
      <w:bookmarkStart w:id="742" w:name="_Toc267656173"/>
      <w:r>
        <w:rPr>
          <w:rStyle w:val="CharSectno"/>
        </w:rPr>
        <w:t>39</w:t>
      </w:r>
      <w:r>
        <w:rPr>
          <w:snapToGrid w:val="0"/>
        </w:rPr>
        <w:t>.</w:t>
      </w:r>
      <w:r>
        <w:rPr>
          <w:snapToGrid w:val="0"/>
        </w:rPr>
        <w:tab/>
        <w:t>Penalty</w:t>
      </w:r>
      <w:bookmarkEnd w:id="736"/>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743" w:name="_Toc459168281"/>
      <w:bookmarkStart w:id="744" w:name="_Toc71097137"/>
      <w:bookmarkStart w:id="745" w:name="_Toc72200519"/>
      <w:bookmarkStart w:id="746" w:name="_Toc102883481"/>
      <w:bookmarkStart w:id="747" w:name="_Toc128471291"/>
      <w:bookmarkStart w:id="748" w:name="_Toc272150734"/>
      <w:bookmarkStart w:id="749" w:name="_Toc267656174"/>
      <w:r>
        <w:rPr>
          <w:rStyle w:val="CharSectno"/>
        </w:rPr>
        <w:t>40</w:t>
      </w:r>
      <w:r>
        <w:rPr>
          <w:snapToGrid w:val="0"/>
        </w:rPr>
        <w:t>.</w:t>
      </w:r>
      <w:r>
        <w:rPr>
          <w:snapToGrid w:val="0"/>
        </w:rPr>
        <w:tab/>
        <w:t>Time for commencement of prosecution</w:t>
      </w:r>
      <w:bookmarkEnd w:id="743"/>
      <w:bookmarkEnd w:id="744"/>
      <w:bookmarkEnd w:id="745"/>
      <w:bookmarkEnd w:id="746"/>
      <w:bookmarkEnd w:id="747"/>
      <w:bookmarkEnd w:id="748"/>
      <w:bookmarkEnd w:id="749"/>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750" w:name="_Toc459168282"/>
      <w:bookmarkStart w:id="751" w:name="_Toc71097138"/>
      <w:bookmarkStart w:id="752" w:name="_Toc72200520"/>
      <w:bookmarkStart w:id="753" w:name="_Toc102883482"/>
      <w:bookmarkStart w:id="754" w:name="_Toc128471292"/>
      <w:bookmarkStart w:id="755" w:name="_Toc272150735"/>
      <w:bookmarkStart w:id="756" w:name="_Toc267656175"/>
      <w:r>
        <w:rPr>
          <w:rStyle w:val="CharSectno"/>
        </w:rPr>
        <w:t>40A</w:t>
      </w:r>
      <w:r>
        <w:rPr>
          <w:snapToGrid w:val="0"/>
        </w:rPr>
        <w:t xml:space="preserve">. </w:t>
      </w:r>
      <w:r>
        <w:rPr>
          <w:snapToGrid w:val="0"/>
        </w:rPr>
        <w:tab/>
        <w:t>Regulations</w:t>
      </w:r>
      <w:bookmarkEnd w:id="750"/>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757" w:name="_Toc72200521"/>
      <w:bookmarkStart w:id="758" w:name="_Toc102883483"/>
      <w:bookmarkStart w:id="759" w:name="_Toc128471293"/>
      <w:bookmarkStart w:id="760" w:name="_Toc128471366"/>
      <w:bookmarkStart w:id="761" w:name="_Toc129067013"/>
      <w:bookmarkStart w:id="762" w:name="_Toc139355380"/>
      <w:bookmarkStart w:id="763" w:name="_Toc139447646"/>
      <w:bookmarkStart w:id="764" w:name="_Toc139448050"/>
      <w:bookmarkStart w:id="765" w:name="_Toc141245884"/>
      <w:bookmarkStart w:id="766" w:name="_Toc141763361"/>
      <w:bookmarkStart w:id="767" w:name="_Toc143314348"/>
      <w:bookmarkStart w:id="768" w:name="_Toc143405132"/>
      <w:bookmarkStart w:id="769" w:name="_Toc143405207"/>
      <w:bookmarkStart w:id="770" w:name="_Toc143405282"/>
      <w:bookmarkStart w:id="771" w:name="_Toc144024767"/>
      <w:bookmarkStart w:id="772" w:name="_Toc145732207"/>
      <w:bookmarkStart w:id="773" w:name="_Toc196122118"/>
      <w:bookmarkStart w:id="774" w:name="_Toc196801720"/>
      <w:bookmarkStart w:id="775" w:name="_Toc202172425"/>
      <w:bookmarkStart w:id="776" w:name="_Toc202172498"/>
      <w:bookmarkStart w:id="777" w:name="_Toc241049031"/>
      <w:bookmarkStart w:id="778" w:name="_Toc241051254"/>
      <w:bookmarkStart w:id="779" w:name="_Toc267656176"/>
      <w:bookmarkStart w:id="780" w:name="_Toc267489743"/>
      <w:bookmarkStart w:id="781" w:name="_Toc268264243"/>
      <w:bookmarkStart w:id="782" w:name="_Toc268264345"/>
      <w:bookmarkStart w:id="783" w:name="_Toc272150736"/>
      <w:r>
        <w:rPr>
          <w:rStyle w:val="CharSchNo"/>
          <w:rFonts w:eastAsia="MS Mincho"/>
        </w:rPr>
        <w:t>First Schedule</w:t>
      </w:r>
      <w:r>
        <w:rPr>
          <w:rFonts w:eastAsia="MS Mincho"/>
        </w:rPr>
        <w:t> — </w:t>
      </w:r>
      <w:del w:id="784" w:author="svcMRProcess" w:date="2020-02-17T01:46:00Z">
        <w:r>
          <w:delText>First Part</w:delText>
        </w:r>
      </w:del>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ins w:id="785" w:author="svcMRProcess" w:date="2020-02-17T01:46:00Z">
        <w:r>
          <w:rPr>
            <w:rStyle w:val="CharSchText"/>
            <w:rFonts w:eastAsia="MS Mincho"/>
          </w:rPr>
          <w:t>Statement to be given to hirer</w:t>
        </w:r>
      </w:ins>
      <w:bookmarkEnd w:id="780"/>
      <w:bookmarkEnd w:id="781"/>
      <w:bookmarkEnd w:id="782"/>
      <w:bookmarkEnd w:id="783"/>
    </w:p>
    <w:p>
      <w:pPr>
        <w:pStyle w:val="yShoulderClause"/>
        <w:rPr>
          <w:ins w:id="786" w:author="svcMRProcess" w:date="2020-02-17T01:46:00Z"/>
          <w:rFonts w:eastAsia="MS Mincho"/>
        </w:rPr>
      </w:pPr>
      <w:r>
        <w:rPr>
          <w:rFonts w:eastAsia="MS Mincho"/>
        </w:rPr>
        <w:t>[s. 3</w:t>
      </w:r>
      <w:del w:id="787" w:author="svcMRProcess" w:date="2020-02-17T01:46:00Z">
        <w:r>
          <w:rPr>
            <w:snapToGrid w:val="0"/>
          </w:rPr>
          <w:delText>(</w:delText>
        </w:r>
      </w:del>
      <w:ins w:id="788" w:author="svcMRProcess" w:date="2020-02-17T01:46:00Z">
        <w:r>
          <w:rPr>
            <w:rFonts w:eastAsia="MS Mincho"/>
          </w:rPr>
          <w:t>]</w:t>
        </w:r>
      </w:ins>
    </w:p>
    <w:p>
      <w:pPr>
        <w:pStyle w:val="yFootnoteheading"/>
        <w:rPr>
          <w:ins w:id="789" w:author="svcMRProcess" w:date="2020-02-17T01:46:00Z"/>
        </w:rPr>
      </w:pPr>
      <w:ins w:id="790" w:author="svcMRProcess" w:date="2020-02-17T01:46:00Z">
        <w:r>
          <w:tab/>
          <w:t>[Heading inserted by No. 19 of 2010 s. 19(5).]</w:t>
        </w:r>
      </w:ins>
    </w:p>
    <w:p>
      <w:pPr>
        <w:pStyle w:val="yHeading3"/>
      </w:pPr>
      <w:bookmarkStart w:id="791" w:name="_Toc267489744"/>
      <w:bookmarkStart w:id="792" w:name="_Toc268264244"/>
      <w:bookmarkStart w:id="793" w:name="_Toc268264346"/>
      <w:bookmarkStart w:id="794" w:name="_Toc272150737"/>
      <w:ins w:id="795" w:author="svcMRProcess" w:date="2020-02-17T01:46:00Z">
        <w:r>
          <w:rPr>
            <w:rStyle w:val="CharSDivNo"/>
          </w:rPr>
          <w:t>Part </w:t>
        </w:r>
      </w:ins>
      <w:r>
        <w:rPr>
          <w:rStyle w:val="CharSDivNo"/>
        </w:rPr>
        <w:t>1</w:t>
      </w:r>
      <w:del w:id="796" w:author="svcMRProcess" w:date="2020-02-17T01:46:00Z">
        <w:r>
          <w:rPr>
            <w:snapToGrid w:val="0"/>
          </w:rPr>
          <w:delText>)]</w:delText>
        </w:r>
      </w:del>
      <w:ins w:id="797" w:author="svcMRProcess" w:date="2020-02-17T01:46:00Z">
        <w:r>
          <w:t> — </w:t>
        </w:r>
        <w:r>
          <w:rPr>
            <w:rStyle w:val="CharSDivText"/>
          </w:rPr>
          <w:t>Form of statement</w:t>
        </w:r>
      </w:ins>
      <w:bookmarkEnd w:id="791"/>
      <w:bookmarkEnd w:id="792"/>
      <w:bookmarkEnd w:id="793"/>
      <w:bookmarkEnd w:id="794"/>
    </w:p>
    <w:p>
      <w:pPr>
        <w:pStyle w:val="yMiscellaneousHeading"/>
        <w:rPr>
          <w:del w:id="798" w:author="svcMRProcess" w:date="2020-02-17T01:46:00Z"/>
          <w:b/>
          <w:bCs/>
          <w:i/>
          <w:iCs/>
          <w:snapToGrid w:val="0"/>
        </w:rPr>
      </w:pPr>
      <w:del w:id="799" w:author="svcMRProcess" w:date="2020-02-17T01:46:00Z">
        <w:r>
          <w:rPr>
            <w:b/>
            <w:bCs/>
            <w:i/>
            <w:iCs/>
            <w:snapToGrid w:val="0"/>
          </w:rPr>
          <w:delText>Hire</w:delText>
        </w:r>
        <w:r>
          <w:rPr>
            <w:b/>
            <w:bCs/>
            <w:i/>
            <w:iCs/>
            <w:snapToGrid w:val="0"/>
          </w:rPr>
          <w:noBreakHyphen/>
          <w:delText>Purchase Act 1959</w:delText>
        </w:r>
      </w:del>
    </w:p>
    <w:p>
      <w:pPr>
        <w:pStyle w:val="yFootnoteheading"/>
        <w:spacing w:after="120"/>
        <w:rPr>
          <w:ins w:id="800" w:author="svcMRProcess" w:date="2020-02-17T01:46:00Z"/>
          <w:b/>
          <w:bCs/>
          <w:i w:val="0"/>
          <w:iCs/>
          <w:snapToGrid w:val="0"/>
        </w:rPr>
      </w:pPr>
      <w:ins w:id="801" w:author="svcMRProcess" w:date="2020-02-17T01:46:00Z">
        <w:r>
          <w:tab/>
          <w:t>[Heading inserted by No. 19 of 2010 s. 19(5).]</w:t>
        </w:r>
      </w:ins>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802" w:name="_Toc72200522"/>
      <w:bookmarkStart w:id="803" w:name="_Toc102883484"/>
      <w:bookmarkStart w:id="804" w:name="_Toc128471294"/>
      <w:bookmarkStart w:id="805" w:name="_Toc128471367"/>
      <w:bookmarkStart w:id="806" w:name="_Toc129067014"/>
      <w:bookmarkStart w:id="807" w:name="_Toc139355381"/>
      <w:bookmarkStart w:id="808" w:name="_Toc139447647"/>
      <w:bookmarkStart w:id="809" w:name="_Toc139448051"/>
      <w:bookmarkStart w:id="810" w:name="_Toc141245885"/>
      <w:bookmarkStart w:id="811" w:name="_Toc141763362"/>
      <w:bookmarkStart w:id="812" w:name="_Toc143314349"/>
      <w:bookmarkStart w:id="813" w:name="_Toc143405133"/>
      <w:bookmarkStart w:id="814" w:name="_Toc143405208"/>
      <w:bookmarkStart w:id="815" w:name="_Toc143405283"/>
      <w:bookmarkStart w:id="816" w:name="_Toc144024768"/>
      <w:bookmarkStart w:id="817" w:name="_Toc145732208"/>
      <w:bookmarkStart w:id="818" w:name="_Toc196122119"/>
      <w:bookmarkStart w:id="819" w:name="_Toc196801721"/>
      <w:bookmarkStart w:id="820" w:name="_Toc202172426"/>
      <w:bookmarkStart w:id="821" w:name="_Toc202172499"/>
      <w:bookmarkStart w:id="822" w:name="_Toc241049032"/>
      <w:bookmarkStart w:id="823" w:name="_Toc241051255"/>
      <w:bookmarkStart w:id="824" w:name="_Toc267656177"/>
      <w:bookmarkStart w:id="825" w:name="_Toc267489746"/>
      <w:bookmarkStart w:id="826" w:name="_Toc268264245"/>
      <w:bookmarkStart w:id="827" w:name="_Toc268264347"/>
      <w:bookmarkStart w:id="828" w:name="_Toc272150738"/>
      <w:del w:id="829" w:author="svcMRProcess" w:date="2020-02-17T01:46:00Z">
        <w:r>
          <w:rPr>
            <w:rStyle w:val="CharSchNo"/>
          </w:rPr>
          <w:delText>First Schedule</w:delText>
        </w:r>
        <w:r>
          <w:delText xml:space="preserve"> — Second </w:delText>
        </w:r>
      </w:del>
      <w:r>
        <w:rPr>
          <w:rStyle w:val="CharSDivNo"/>
        </w:rPr>
        <w:t>Part</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ins w:id="830" w:author="svcMRProcess" w:date="2020-02-17T01:46:00Z">
        <w:r>
          <w:rPr>
            <w:rStyle w:val="CharSDivNo"/>
          </w:rPr>
          <w:t> 2</w:t>
        </w:r>
        <w:r>
          <w:t> — </w:t>
        </w:r>
        <w:r>
          <w:rPr>
            <w:rStyle w:val="CharSDivText"/>
          </w:rPr>
          <w:t>Furniture</w:t>
        </w:r>
      </w:ins>
      <w:bookmarkEnd w:id="825"/>
      <w:bookmarkEnd w:id="826"/>
      <w:bookmarkEnd w:id="827"/>
      <w:bookmarkEnd w:id="828"/>
    </w:p>
    <w:p>
      <w:pPr>
        <w:pStyle w:val="yFootnoteheading"/>
        <w:rPr>
          <w:ins w:id="831" w:author="svcMRProcess" w:date="2020-02-17T01:46:00Z"/>
          <w:b/>
          <w:bCs/>
          <w:i w:val="0"/>
          <w:iCs/>
          <w:snapToGrid w:val="0"/>
        </w:rPr>
      </w:pPr>
      <w:ins w:id="832" w:author="svcMRProcess" w:date="2020-02-17T01:46:00Z">
        <w:r>
          <w:tab/>
          <w:t>[Heading inserted by No. 19 of 2010 s. 19(6).]</w:t>
        </w:r>
      </w:ins>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rPr>
          <w:rFonts w:eastAsia="MS Mincho"/>
        </w:rPr>
      </w:pPr>
      <w:bookmarkStart w:id="833" w:name="_Toc72200523"/>
      <w:bookmarkStart w:id="834" w:name="_Toc77404896"/>
      <w:bookmarkStart w:id="835" w:name="_Toc77655362"/>
      <w:bookmarkStart w:id="836" w:name="_Toc102883485"/>
      <w:bookmarkStart w:id="837" w:name="_Toc128471295"/>
      <w:bookmarkStart w:id="838" w:name="_Toc128471368"/>
      <w:bookmarkStart w:id="839" w:name="_Toc129067015"/>
      <w:bookmarkStart w:id="840" w:name="_Toc139355382"/>
      <w:bookmarkStart w:id="841" w:name="_Toc139447648"/>
      <w:bookmarkStart w:id="842" w:name="_Toc139448052"/>
      <w:bookmarkStart w:id="843" w:name="_Toc141245886"/>
      <w:bookmarkStart w:id="844" w:name="_Toc141763363"/>
      <w:bookmarkStart w:id="845" w:name="_Toc143314350"/>
      <w:bookmarkStart w:id="846" w:name="_Toc143405134"/>
      <w:bookmarkStart w:id="847" w:name="_Toc143405209"/>
      <w:bookmarkStart w:id="848" w:name="_Toc143405284"/>
      <w:bookmarkStart w:id="849" w:name="_Toc144024769"/>
      <w:bookmarkStart w:id="850" w:name="_Toc145732209"/>
      <w:bookmarkStart w:id="851" w:name="_Toc196122120"/>
      <w:bookmarkStart w:id="852" w:name="_Toc196801722"/>
      <w:bookmarkStart w:id="853" w:name="_Toc202172427"/>
      <w:bookmarkStart w:id="854" w:name="_Toc202172500"/>
      <w:bookmarkStart w:id="855" w:name="_Toc241049033"/>
      <w:bookmarkStart w:id="856" w:name="_Toc241051256"/>
      <w:bookmarkStart w:id="857" w:name="_Toc267656178"/>
      <w:bookmarkStart w:id="858" w:name="_Toc267489749"/>
      <w:bookmarkStart w:id="859" w:name="_Toc268264246"/>
      <w:bookmarkStart w:id="860" w:name="_Toc268264348"/>
      <w:bookmarkStart w:id="861" w:name="_Toc272150739"/>
      <w:r>
        <w:rPr>
          <w:rStyle w:val="CharSchNo"/>
          <w:rFonts w:eastAsia="MS Mincho"/>
        </w:rPr>
        <w:t>Second Schedule</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ins w:id="862" w:author="svcMRProcess" w:date="2020-02-17T01:46:00Z">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ins>
      <w:bookmarkEnd w:id="858"/>
      <w:bookmarkEnd w:id="859"/>
      <w:bookmarkEnd w:id="860"/>
      <w:bookmarkEnd w:id="861"/>
    </w:p>
    <w:p>
      <w:pPr>
        <w:pStyle w:val="yShoulderClause"/>
        <w:rPr>
          <w:rFonts w:eastAsia="MS Mincho"/>
        </w:rPr>
      </w:pPr>
      <w:r>
        <w:rPr>
          <w:rFonts w:eastAsia="MS Mincho"/>
        </w:rPr>
        <w:t>[s. 4</w:t>
      </w:r>
      <w:del w:id="863" w:author="svcMRProcess" w:date="2020-02-17T01:46:00Z">
        <w:r>
          <w:rPr>
            <w:snapToGrid w:val="0"/>
          </w:rPr>
          <w:delText>,</w:delText>
        </w:r>
      </w:del>
      <w:ins w:id="864" w:author="svcMRProcess" w:date="2020-02-17T01:46:00Z">
        <w:r>
          <w:rPr>
            <w:rFonts w:eastAsia="MS Mincho"/>
          </w:rPr>
          <w:t xml:space="preserve"> and</w:t>
        </w:r>
      </w:ins>
      <w:r>
        <w:rPr>
          <w:rFonts w:eastAsia="MS Mincho"/>
        </w:rPr>
        <w:t xml:space="preserve"> 18</w:t>
      </w:r>
      <w:del w:id="865" w:author="svcMRProcess" w:date="2020-02-17T01:46:00Z">
        <w:r>
          <w:rPr>
            <w:snapToGrid w:val="0"/>
          </w:rPr>
          <w:delText>.]</w:delText>
        </w:r>
      </w:del>
      <w:ins w:id="866" w:author="svcMRProcess" w:date="2020-02-17T01:46:00Z">
        <w:r>
          <w:rPr>
            <w:rFonts w:eastAsia="MS Mincho"/>
          </w:rPr>
          <w:t>]</w:t>
        </w:r>
      </w:ins>
    </w:p>
    <w:p>
      <w:pPr>
        <w:pStyle w:val="yMiscellaneousHeading"/>
        <w:spacing w:before="0"/>
        <w:rPr>
          <w:del w:id="867" w:author="svcMRProcess" w:date="2020-02-17T01:46:00Z"/>
          <w:i/>
          <w:snapToGrid w:val="0"/>
        </w:rPr>
      </w:pPr>
      <w:del w:id="868" w:author="svcMRProcess" w:date="2020-02-17T01:46:00Z">
        <w:r>
          <w:rPr>
            <w:i/>
            <w:snapToGrid w:val="0"/>
          </w:rPr>
          <w:delText>Hire</w:delText>
        </w:r>
        <w:r>
          <w:rPr>
            <w:i/>
            <w:snapToGrid w:val="0"/>
          </w:rPr>
          <w:noBreakHyphen/>
          <w:delText>Purchase Act 1959</w:delText>
        </w:r>
      </w:del>
    </w:p>
    <w:p>
      <w:pPr>
        <w:pStyle w:val="yFootnoteheading"/>
      </w:pPr>
      <w:r>
        <w:tab/>
        <w:t>[Heading inserted by No. </w:t>
      </w:r>
      <w:del w:id="869" w:author="svcMRProcess" w:date="2020-02-17T01:46:00Z">
        <w:r>
          <w:delText>107</w:delText>
        </w:r>
      </w:del>
      <w:ins w:id="870" w:author="svcMRProcess" w:date="2020-02-17T01:46:00Z">
        <w:r>
          <w:t>19</w:t>
        </w:r>
      </w:ins>
      <w:r>
        <w:t xml:space="preserve"> of </w:t>
      </w:r>
      <w:del w:id="871" w:author="svcMRProcess" w:date="2020-02-17T01:46:00Z">
        <w:r>
          <w:delText>1973</w:delText>
        </w:r>
      </w:del>
      <w:ins w:id="872" w:author="svcMRProcess" w:date="2020-02-17T01:46:00Z">
        <w:r>
          <w:t>2010</w:t>
        </w:r>
      </w:ins>
      <w:r>
        <w:t xml:space="preserve"> s. </w:t>
      </w:r>
      <w:del w:id="873" w:author="svcMRProcess" w:date="2020-02-17T01:46:00Z">
        <w:r>
          <w:delText>29.]</w:delText>
        </w:r>
      </w:del>
      <w:ins w:id="874" w:author="svcMRProcess" w:date="2020-02-17T01:46:00Z">
        <w:r>
          <w:t>19(7).]</w:t>
        </w:r>
      </w:ins>
    </w:p>
    <w:p>
      <w:pPr>
        <w:pStyle w:val="yHeading2"/>
        <w:rPr>
          <w:del w:id="875" w:author="svcMRProcess" w:date="2020-02-17T01:46:00Z"/>
        </w:rPr>
      </w:pPr>
      <w:bookmarkStart w:id="876" w:name="_Toc75079926"/>
      <w:bookmarkStart w:id="877" w:name="_Toc102883486"/>
      <w:bookmarkStart w:id="878" w:name="_Toc128471296"/>
      <w:bookmarkStart w:id="879" w:name="_Toc128471369"/>
      <w:bookmarkStart w:id="880" w:name="_Toc129067016"/>
      <w:bookmarkStart w:id="881" w:name="_Toc139355383"/>
      <w:bookmarkStart w:id="882" w:name="_Toc139447649"/>
      <w:bookmarkStart w:id="883" w:name="_Toc139448053"/>
      <w:bookmarkStart w:id="884" w:name="_Toc141245887"/>
      <w:bookmarkStart w:id="885" w:name="_Toc141763364"/>
      <w:bookmarkStart w:id="886" w:name="_Toc143314351"/>
      <w:bookmarkStart w:id="887" w:name="_Toc143405135"/>
      <w:bookmarkStart w:id="888" w:name="_Toc143405210"/>
      <w:bookmarkStart w:id="889" w:name="_Toc143405285"/>
      <w:bookmarkStart w:id="890" w:name="_Toc144024770"/>
      <w:bookmarkStart w:id="891" w:name="_Toc145732210"/>
      <w:bookmarkStart w:id="892" w:name="_Toc196122121"/>
      <w:bookmarkStart w:id="893" w:name="_Toc196801723"/>
      <w:bookmarkStart w:id="894" w:name="_Toc202172428"/>
      <w:bookmarkStart w:id="895" w:name="_Toc202172501"/>
      <w:bookmarkStart w:id="896" w:name="_Toc241049034"/>
      <w:bookmarkStart w:id="897" w:name="_Toc241051257"/>
      <w:bookmarkStart w:id="898" w:name="_Toc267656179"/>
      <w:del w:id="899" w:author="svcMRProcess" w:date="2020-02-17T01:46:00Z">
        <w:r>
          <w:rPr>
            <w:rStyle w:val="CharSchText"/>
          </w:rPr>
          <w:delText>Advice to hirers</w:delTex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del>
    </w:p>
    <w:p>
      <w:pPr>
        <w:pStyle w:val="yFootnoteheading"/>
        <w:spacing w:after="120"/>
        <w:rPr>
          <w:del w:id="900" w:author="svcMRProcess" w:date="2020-02-17T01:46:00Z"/>
        </w:rPr>
      </w:pPr>
      <w:del w:id="901" w:author="svcMRProcess" w:date="2020-02-17T01:46:00Z">
        <w:r>
          <w:tab/>
          <w:delText>[Heading inserted by No. 107 of 1973 s. 29.]</w:delText>
        </w:r>
      </w:del>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rPr>
          <w:rFonts w:eastAsia="MS Mincho"/>
        </w:rPr>
      </w:pPr>
      <w:bookmarkStart w:id="902" w:name="_Toc72200524"/>
      <w:bookmarkStart w:id="903" w:name="_Toc77404898"/>
      <w:bookmarkStart w:id="904" w:name="_Toc77655364"/>
      <w:bookmarkStart w:id="905" w:name="_Toc102883487"/>
      <w:bookmarkStart w:id="906" w:name="_Toc128471297"/>
      <w:bookmarkStart w:id="907" w:name="_Toc128471370"/>
      <w:bookmarkStart w:id="908" w:name="_Toc129067017"/>
      <w:bookmarkStart w:id="909" w:name="_Toc139355384"/>
      <w:bookmarkStart w:id="910" w:name="_Toc139447650"/>
      <w:bookmarkStart w:id="911" w:name="_Toc139448054"/>
      <w:bookmarkStart w:id="912" w:name="_Toc141245888"/>
      <w:bookmarkStart w:id="913" w:name="_Toc141763365"/>
      <w:bookmarkStart w:id="914" w:name="_Toc143314352"/>
      <w:bookmarkStart w:id="915" w:name="_Toc143405136"/>
      <w:bookmarkStart w:id="916" w:name="_Toc143405211"/>
      <w:bookmarkStart w:id="917" w:name="_Toc143405286"/>
      <w:bookmarkStart w:id="918" w:name="_Toc144024771"/>
      <w:bookmarkStart w:id="919" w:name="_Toc145732211"/>
      <w:bookmarkStart w:id="920" w:name="_Toc196122122"/>
      <w:bookmarkStart w:id="921" w:name="_Toc196801724"/>
      <w:bookmarkStart w:id="922" w:name="_Toc202172429"/>
      <w:bookmarkStart w:id="923" w:name="_Toc202172502"/>
      <w:bookmarkStart w:id="924" w:name="_Toc241049035"/>
      <w:bookmarkStart w:id="925" w:name="_Toc241051258"/>
      <w:bookmarkStart w:id="926" w:name="_Toc267656180"/>
      <w:bookmarkStart w:id="927" w:name="_Toc267489752"/>
      <w:bookmarkStart w:id="928" w:name="_Toc268264247"/>
      <w:bookmarkStart w:id="929" w:name="_Toc268264349"/>
      <w:bookmarkStart w:id="930" w:name="_Toc272150740"/>
      <w:r>
        <w:rPr>
          <w:rStyle w:val="CharSchNo"/>
          <w:rFonts w:eastAsia="MS Mincho"/>
        </w:rPr>
        <w:t>Third Schedule</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ins w:id="931" w:author="svcMRProcess" w:date="2020-02-17T01:46:00Z">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ins>
      <w:bookmarkEnd w:id="927"/>
      <w:bookmarkEnd w:id="928"/>
      <w:bookmarkEnd w:id="929"/>
      <w:bookmarkEnd w:id="930"/>
    </w:p>
    <w:p>
      <w:pPr>
        <w:pStyle w:val="yShoulderClause"/>
        <w:rPr>
          <w:rFonts w:eastAsia="MS Mincho"/>
        </w:rPr>
      </w:pPr>
      <w:r>
        <w:rPr>
          <w:rFonts w:eastAsia="MS Mincho"/>
        </w:rPr>
        <w:t>[s. 13(1</w:t>
      </w:r>
      <w:del w:id="932" w:author="svcMRProcess" w:date="2020-02-17T01:46:00Z">
        <w:r>
          <w:rPr>
            <w:snapToGrid w:val="0"/>
          </w:rPr>
          <w:delText>).]</w:delText>
        </w:r>
      </w:del>
      <w:ins w:id="933" w:author="svcMRProcess" w:date="2020-02-17T01:46:00Z">
        <w:r>
          <w:rPr>
            <w:rFonts w:eastAsia="MS Mincho"/>
          </w:rPr>
          <w:t>)]</w:t>
        </w:r>
      </w:ins>
    </w:p>
    <w:p>
      <w:pPr>
        <w:pStyle w:val="yMiscellaneousHeading"/>
        <w:spacing w:before="0"/>
        <w:rPr>
          <w:del w:id="934" w:author="svcMRProcess" w:date="2020-02-17T01:46:00Z"/>
          <w:i/>
          <w:snapToGrid w:val="0"/>
        </w:rPr>
      </w:pPr>
      <w:del w:id="935" w:author="svcMRProcess" w:date="2020-02-17T01:46:00Z">
        <w:r>
          <w:rPr>
            <w:i/>
            <w:snapToGrid w:val="0"/>
          </w:rPr>
          <w:delText>Hire</w:delText>
        </w:r>
        <w:r>
          <w:rPr>
            <w:i/>
            <w:snapToGrid w:val="0"/>
          </w:rPr>
          <w:noBreakHyphen/>
          <w:delText>Purchase Act 1959</w:delText>
        </w:r>
      </w:del>
    </w:p>
    <w:p>
      <w:pPr>
        <w:pStyle w:val="yFootnoteheading"/>
      </w:pPr>
      <w:r>
        <w:tab/>
        <w:t>[Heading inserted by No. </w:t>
      </w:r>
      <w:del w:id="936" w:author="svcMRProcess" w:date="2020-02-17T01:46:00Z">
        <w:r>
          <w:delText>107</w:delText>
        </w:r>
      </w:del>
      <w:ins w:id="937" w:author="svcMRProcess" w:date="2020-02-17T01:46:00Z">
        <w:r>
          <w:t>19</w:t>
        </w:r>
      </w:ins>
      <w:r>
        <w:t xml:space="preserve"> of </w:t>
      </w:r>
      <w:del w:id="938" w:author="svcMRProcess" w:date="2020-02-17T01:46:00Z">
        <w:r>
          <w:delText>1973</w:delText>
        </w:r>
      </w:del>
      <w:ins w:id="939" w:author="svcMRProcess" w:date="2020-02-17T01:46:00Z">
        <w:r>
          <w:t>2010</w:t>
        </w:r>
      </w:ins>
      <w:r>
        <w:t xml:space="preserve"> s. </w:t>
      </w:r>
      <w:del w:id="940" w:author="svcMRProcess" w:date="2020-02-17T01:46:00Z">
        <w:r>
          <w:delText>29.]</w:delText>
        </w:r>
      </w:del>
      <w:ins w:id="941" w:author="svcMRProcess" w:date="2020-02-17T01:46:00Z">
        <w:r>
          <w:t>19(8).]</w:t>
        </w:r>
      </w:ins>
    </w:p>
    <w:p>
      <w:pPr>
        <w:pStyle w:val="yHeading2"/>
        <w:rPr>
          <w:del w:id="942" w:author="svcMRProcess" w:date="2020-02-17T01:46:00Z"/>
        </w:rPr>
      </w:pPr>
      <w:bookmarkStart w:id="943" w:name="_Toc75079928"/>
      <w:bookmarkStart w:id="944" w:name="_Toc102883488"/>
      <w:bookmarkStart w:id="945" w:name="_Toc128471298"/>
      <w:bookmarkStart w:id="946" w:name="_Toc128471371"/>
      <w:bookmarkStart w:id="947" w:name="_Toc129067018"/>
      <w:bookmarkStart w:id="948" w:name="_Toc139355385"/>
      <w:bookmarkStart w:id="949" w:name="_Toc139447651"/>
      <w:bookmarkStart w:id="950" w:name="_Toc139448055"/>
      <w:bookmarkStart w:id="951" w:name="_Toc141245889"/>
      <w:bookmarkStart w:id="952" w:name="_Toc141763366"/>
      <w:bookmarkStart w:id="953" w:name="_Toc143314353"/>
      <w:bookmarkStart w:id="954" w:name="_Toc143405137"/>
      <w:bookmarkStart w:id="955" w:name="_Toc143405212"/>
      <w:bookmarkStart w:id="956" w:name="_Toc143405287"/>
      <w:bookmarkStart w:id="957" w:name="_Toc144024772"/>
      <w:bookmarkStart w:id="958" w:name="_Toc145732212"/>
      <w:bookmarkStart w:id="959" w:name="_Toc196122123"/>
      <w:bookmarkStart w:id="960" w:name="_Toc196801725"/>
      <w:bookmarkStart w:id="961" w:name="_Toc202172430"/>
      <w:bookmarkStart w:id="962" w:name="_Toc202172503"/>
      <w:bookmarkStart w:id="963" w:name="_Toc241049036"/>
      <w:bookmarkStart w:id="964" w:name="_Toc241051259"/>
      <w:bookmarkStart w:id="965" w:name="_Toc267656181"/>
      <w:del w:id="966" w:author="svcMRProcess" w:date="2020-02-17T01:46:00Z">
        <w:r>
          <w:rPr>
            <w:rStyle w:val="CharSchText"/>
          </w:rPr>
          <w:delText>Notice of intention to repossess</w:delTex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del>
    </w:p>
    <w:p>
      <w:pPr>
        <w:pStyle w:val="yFootnoteheading"/>
        <w:rPr>
          <w:del w:id="967" w:author="svcMRProcess" w:date="2020-02-17T01:46:00Z"/>
          <w:i w:val="0"/>
          <w:snapToGrid w:val="0"/>
        </w:rPr>
      </w:pPr>
      <w:del w:id="968" w:author="svcMRProcess" w:date="2020-02-17T01:46:00Z">
        <w:r>
          <w:tab/>
          <w:delText>[Heading inserted by No. 107 of 1973 s. 29.]</w:delText>
        </w:r>
      </w:del>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969" w:name="_Toc72200525"/>
      <w:bookmarkStart w:id="970" w:name="_Toc77404900"/>
      <w:bookmarkStart w:id="971" w:name="_Toc77655366"/>
      <w:bookmarkStart w:id="972" w:name="_Toc102883489"/>
      <w:bookmarkStart w:id="973" w:name="_Toc128471299"/>
      <w:bookmarkStart w:id="974" w:name="_Toc128471372"/>
      <w:bookmarkStart w:id="975" w:name="_Toc129067019"/>
      <w:bookmarkStart w:id="976" w:name="_Toc139355386"/>
      <w:bookmarkStart w:id="977" w:name="_Toc139447652"/>
      <w:bookmarkStart w:id="978" w:name="_Toc139448056"/>
      <w:bookmarkStart w:id="979" w:name="_Toc141245890"/>
      <w:bookmarkStart w:id="980" w:name="_Toc141763367"/>
      <w:bookmarkStart w:id="981" w:name="_Toc143314354"/>
      <w:bookmarkStart w:id="982" w:name="_Toc143405138"/>
      <w:bookmarkStart w:id="983" w:name="_Toc143405213"/>
      <w:bookmarkStart w:id="984" w:name="_Toc143405288"/>
      <w:bookmarkStart w:id="985" w:name="_Toc144024773"/>
      <w:bookmarkStart w:id="986" w:name="_Toc145732213"/>
      <w:bookmarkStart w:id="987" w:name="_Toc196122124"/>
      <w:bookmarkStart w:id="988" w:name="_Toc196801726"/>
      <w:bookmarkStart w:id="989" w:name="_Toc202172431"/>
      <w:bookmarkStart w:id="990" w:name="_Toc202172504"/>
      <w:bookmarkStart w:id="991" w:name="_Toc241049037"/>
      <w:bookmarkStart w:id="992" w:name="_Toc241051260"/>
      <w:bookmarkStart w:id="993" w:name="_Toc267656182"/>
      <w:bookmarkStart w:id="994" w:name="_Toc267489755"/>
      <w:bookmarkStart w:id="995" w:name="_Toc268264248"/>
      <w:bookmarkStart w:id="996" w:name="_Toc268264350"/>
      <w:bookmarkStart w:id="997" w:name="_Toc272150741"/>
      <w:r>
        <w:rPr>
          <w:rStyle w:val="CharSchNo"/>
          <w:rFonts w:eastAsia="MS Mincho"/>
        </w:rPr>
        <w:t>Fourth Schedule</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ins w:id="998" w:author="svcMRProcess" w:date="2020-02-17T01:46:00Z">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ins>
      <w:bookmarkEnd w:id="994"/>
      <w:bookmarkEnd w:id="995"/>
      <w:bookmarkEnd w:id="996"/>
      <w:bookmarkEnd w:id="997"/>
    </w:p>
    <w:p>
      <w:pPr>
        <w:pStyle w:val="yShoulderClause"/>
        <w:rPr>
          <w:rFonts w:eastAsia="MS Mincho"/>
        </w:rPr>
      </w:pPr>
      <w:r>
        <w:rPr>
          <w:rFonts w:eastAsia="MS Mincho"/>
        </w:rPr>
        <w:t>[s. </w:t>
      </w:r>
      <w:r>
        <w:t>11(3), 13(3), 14, 15</w:t>
      </w:r>
      <w:del w:id="999" w:author="svcMRProcess" w:date="2020-02-17T01:46:00Z">
        <w:r>
          <w:rPr>
            <w:snapToGrid w:val="0"/>
          </w:rPr>
          <w:delText>,</w:delText>
        </w:r>
      </w:del>
      <w:ins w:id="1000" w:author="svcMRProcess" w:date="2020-02-17T01:46:00Z">
        <w:r>
          <w:t xml:space="preserve"> and</w:t>
        </w:r>
      </w:ins>
      <w:r>
        <w:t xml:space="preserve"> 24(6</w:t>
      </w:r>
      <w:del w:id="1001" w:author="svcMRProcess" w:date="2020-02-17T01:46:00Z">
        <w:r>
          <w:rPr>
            <w:snapToGrid w:val="0"/>
          </w:rPr>
          <w:delText>).]</w:delText>
        </w:r>
      </w:del>
      <w:ins w:id="1002" w:author="svcMRProcess" w:date="2020-02-17T01:46:00Z">
        <w:r>
          <w:t>)</w:t>
        </w:r>
        <w:r>
          <w:rPr>
            <w:rFonts w:eastAsia="MS Mincho"/>
          </w:rPr>
          <w:t>]</w:t>
        </w:r>
      </w:ins>
    </w:p>
    <w:p>
      <w:pPr>
        <w:pStyle w:val="yMiscellaneousHeading"/>
        <w:rPr>
          <w:del w:id="1003" w:author="svcMRProcess" w:date="2020-02-17T01:46:00Z"/>
          <w:i/>
          <w:snapToGrid w:val="0"/>
        </w:rPr>
      </w:pPr>
      <w:del w:id="1004" w:author="svcMRProcess" w:date="2020-02-17T01:46:00Z">
        <w:r>
          <w:rPr>
            <w:i/>
            <w:snapToGrid w:val="0"/>
          </w:rPr>
          <w:delText>Hire</w:delText>
        </w:r>
        <w:r>
          <w:rPr>
            <w:i/>
            <w:snapToGrid w:val="0"/>
          </w:rPr>
          <w:noBreakHyphen/>
          <w:delText>Purchase Act 1959</w:delText>
        </w:r>
      </w:del>
    </w:p>
    <w:p>
      <w:pPr>
        <w:pStyle w:val="yHeading2"/>
        <w:rPr>
          <w:del w:id="1005" w:author="svcMRProcess" w:date="2020-02-17T01:46:00Z"/>
        </w:rPr>
      </w:pPr>
      <w:bookmarkStart w:id="1006" w:name="_Toc75079930"/>
      <w:bookmarkStart w:id="1007" w:name="_Toc102883490"/>
      <w:bookmarkStart w:id="1008" w:name="_Toc128471300"/>
      <w:bookmarkStart w:id="1009" w:name="_Toc128471373"/>
      <w:bookmarkStart w:id="1010" w:name="_Toc129067020"/>
      <w:bookmarkStart w:id="1011" w:name="_Toc139355387"/>
      <w:bookmarkStart w:id="1012" w:name="_Toc139447653"/>
      <w:bookmarkStart w:id="1013" w:name="_Toc139448057"/>
      <w:bookmarkStart w:id="1014" w:name="_Toc141245891"/>
      <w:bookmarkStart w:id="1015" w:name="_Toc141763368"/>
      <w:bookmarkStart w:id="1016" w:name="_Toc143314355"/>
      <w:bookmarkStart w:id="1017" w:name="_Toc143405139"/>
      <w:bookmarkStart w:id="1018" w:name="_Toc143405214"/>
      <w:bookmarkStart w:id="1019" w:name="_Toc143405289"/>
      <w:bookmarkStart w:id="1020" w:name="_Toc144024774"/>
      <w:bookmarkStart w:id="1021" w:name="_Toc145732214"/>
      <w:bookmarkStart w:id="1022" w:name="_Toc196122125"/>
      <w:bookmarkStart w:id="1023" w:name="_Toc196801727"/>
      <w:bookmarkStart w:id="1024" w:name="_Toc202172432"/>
      <w:bookmarkStart w:id="1025" w:name="_Toc202172505"/>
      <w:bookmarkStart w:id="1026" w:name="_Toc241049038"/>
      <w:bookmarkStart w:id="1027" w:name="_Toc241051261"/>
      <w:bookmarkStart w:id="1028" w:name="_Toc267656183"/>
      <w:del w:id="1029" w:author="svcMRProcess" w:date="2020-02-17T01:46:00Z">
        <w:r>
          <w:rPr>
            <w:rStyle w:val="CharSchText"/>
          </w:rPr>
          <w:delText>Advice to hirers</w:delTex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del>
    </w:p>
    <w:p>
      <w:pPr>
        <w:pStyle w:val="yFootnoteheading"/>
        <w:rPr>
          <w:ins w:id="1030" w:author="svcMRProcess" w:date="2020-02-17T01:46:00Z"/>
        </w:rPr>
      </w:pPr>
      <w:ins w:id="1031" w:author="svcMRProcess" w:date="2020-02-17T01:46:00Z">
        <w:r>
          <w:tab/>
          <w:t>[Heading inserted by No. 19 of 2010 s. 19(9).]</w:t>
        </w:r>
      </w:ins>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rPr>
          <w:del w:id="1032" w:author="svcMRProcess" w:date="2020-02-17T01:46:00Z"/>
        </w:rPr>
      </w:pPr>
      <w:bookmarkStart w:id="1033" w:name="_Toc72200526"/>
      <w:bookmarkStart w:id="1034" w:name="_Toc77404902"/>
      <w:bookmarkStart w:id="1035" w:name="_Toc77655368"/>
      <w:bookmarkStart w:id="1036" w:name="_Toc102883491"/>
      <w:bookmarkStart w:id="1037" w:name="_Toc128471301"/>
      <w:bookmarkStart w:id="1038" w:name="_Toc128471374"/>
      <w:bookmarkStart w:id="1039" w:name="_Toc129067021"/>
      <w:bookmarkStart w:id="1040" w:name="_Toc139355388"/>
      <w:bookmarkStart w:id="1041" w:name="_Toc139447654"/>
      <w:bookmarkStart w:id="1042" w:name="_Toc139448058"/>
      <w:bookmarkStart w:id="1043" w:name="_Toc141245892"/>
      <w:bookmarkStart w:id="1044" w:name="_Toc141763369"/>
      <w:bookmarkStart w:id="1045" w:name="_Toc143314356"/>
      <w:bookmarkStart w:id="1046" w:name="_Toc143405140"/>
      <w:bookmarkStart w:id="1047" w:name="_Toc143405215"/>
      <w:bookmarkStart w:id="1048" w:name="_Toc143405290"/>
      <w:bookmarkStart w:id="1049" w:name="_Toc144024775"/>
      <w:bookmarkStart w:id="1050" w:name="_Toc145732215"/>
      <w:bookmarkStart w:id="1051" w:name="_Toc196122126"/>
      <w:bookmarkStart w:id="1052" w:name="_Toc196801728"/>
      <w:bookmarkStart w:id="1053" w:name="_Toc202172433"/>
      <w:bookmarkStart w:id="1054" w:name="_Toc202172506"/>
      <w:bookmarkStart w:id="1055" w:name="_Toc241049039"/>
      <w:bookmarkStart w:id="1056" w:name="_Toc241051262"/>
      <w:bookmarkStart w:id="1057" w:name="_Toc267656184"/>
      <w:bookmarkStart w:id="1058" w:name="_Toc267489758"/>
      <w:bookmarkStart w:id="1059" w:name="_Toc268264249"/>
      <w:bookmarkStart w:id="1060" w:name="_Toc268264351"/>
      <w:bookmarkStart w:id="1061" w:name="_Toc272150742"/>
      <w:r>
        <w:rPr>
          <w:rStyle w:val="CharSchNo"/>
          <w:rFonts w:eastAsia="MS Mincho"/>
        </w:rPr>
        <w:t>Fifth Schedule</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pPr>
        <w:pStyle w:val="yMiscellaneousHeading"/>
        <w:rPr>
          <w:del w:id="1062" w:author="svcMRProcess" w:date="2020-02-17T01:46:00Z"/>
          <w:i/>
          <w:snapToGrid w:val="0"/>
        </w:rPr>
      </w:pPr>
      <w:del w:id="1063" w:author="svcMRProcess" w:date="2020-02-17T01:46:00Z">
        <w:r>
          <w:rPr>
            <w:i/>
            <w:snapToGrid w:val="0"/>
          </w:rPr>
          <w:delText>Hire</w:delText>
        </w:r>
        <w:r>
          <w:rPr>
            <w:i/>
            <w:snapToGrid w:val="0"/>
          </w:rPr>
          <w:noBreakHyphen/>
          <w:delText>Purchase Act 1959</w:delText>
        </w:r>
      </w:del>
    </w:p>
    <w:p>
      <w:pPr>
        <w:pStyle w:val="yFootnoteheading"/>
        <w:rPr>
          <w:del w:id="1064" w:author="svcMRProcess" w:date="2020-02-17T01:46:00Z"/>
          <w:i w:val="0"/>
          <w:snapToGrid w:val="0"/>
        </w:rPr>
      </w:pPr>
      <w:del w:id="1065" w:author="svcMRProcess" w:date="2020-02-17T01:46:00Z">
        <w:r>
          <w:tab/>
          <w:delText>[Heading inserted by No. 107 of 1973 s. 29.]</w:delText>
        </w:r>
      </w:del>
    </w:p>
    <w:p>
      <w:pPr>
        <w:pStyle w:val="yScheduleHeading"/>
        <w:rPr>
          <w:rFonts w:eastAsia="MS Mincho"/>
        </w:rPr>
      </w:pPr>
      <w:ins w:id="1066" w:author="svcMRProcess" w:date="2020-02-17T01:46:00Z">
        <w:r>
          <w:rPr>
            <w:rStyle w:val="CharSDivNo"/>
            <w:rFonts w:eastAsia="MS Mincho"/>
          </w:rPr>
          <w:t> </w:t>
        </w:r>
        <w:r>
          <w:rPr>
            <w:rFonts w:eastAsia="MS Mincho"/>
          </w:rPr>
          <w:t>—</w:t>
        </w:r>
        <w:r>
          <w:rPr>
            <w:rStyle w:val="CharSDivText"/>
            <w:rFonts w:eastAsia="MS Mincho"/>
          </w:rPr>
          <w:t> </w:t>
        </w:r>
      </w:ins>
      <w:bookmarkStart w:id="1067" w:name="_Toc75079932"/>
      <w:bookmarkStart w:id="1068" w:name="_Toc102883492"/>
      <w:bookmarkStart w:id="1069" w:name="_Toc128471302"/>
      <w:bookmarkStart w:id="1070" w:name="_Toc128471375"/>
      <w:bookmarkStart w:id="1071" w:name="_Toc129067022"/>
      <w:bookmarkStart w:id="1072" w:name="_Toc139355389"/>
      <w:bookmarkStart w:id="1073" w:name="_Toc139447655"/>
      <w:bookmarkStart w:id="1074" w:name="_Toc139448059"/>
      <w:bookmarkStart w:id="1075" w:name="_Toc141245893"/>
      <w:bookmarkStart w:id="1076" w:name="_Toc141763370"/>
      <w:bookmarkStart w:id="1077" w:name="_Toc143314357"/>
      <w:bookmarkStart w:id="1078" w:name="_Toc143405141"/>
      <w:bookmarkStart w:id="1079" w:name="_Toc143405216"/>
      <w:bookmarkStart w:id="1080" w:name="_Toc143405291"/>
      <w:bookmarkStart w:id="1081" w:name="_Toc144024776"/>
      <w:bookmarkStart w:id="1082" w:name="_Toc145732216"/>
      <w:bookmarkStart w:id="1083" w:name="_Toc196122127"/>
      <w:bookmarkStart w:id="1084" w:name="_Toc196801729"/>
      <w:bookmarkStart w:id="1085" w:name="_Toc202172434"/>
      <w:bookmarkStart w:id="1086" w:name="_Toc202172507"/>
      <w:bookmarkStart w:id="1087" w:name="_Toc241049040"/>
      <w:bookmarkStart w:id="1088" w:name="_Toc241051263"/>
      <w:bookmarkStart w:id="1089" w:name="_Toc267656185"/>
      <w:r>
        <w:rPr>
          <w:rStyle w:val="CharSchText"/>
          <w:rFonts w:eastAsia="MS Mincho"/>
        </w:rPr>
        <w:t>Formula for calculating percentage rate of terms charges</w:t>
      </w:r>
      <w:bookmarkEnd w:id="1058"/>
      <w:bookmarkEnd w:id="1059"/>
      <w:bookmarkEnd w:id="1060"/>
      <w:bookmarkEnd w:id="1061"/>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pStyle w:val="yShoulderClause"/>
        <w:rPr>
          <w:ins w:id="1090" w:author="svcMRProcess" w:date="2020-02-17T01:46:00Z"/>
          <w:rFonts w:eastAsia="MS Mincho"/>
        </w:rPr>
      </w:pPr>
      <w:ins w:id="1091" w:author="svcMRProcess" w:date="2020-02-17T01:46:00Z">
        <w:r>
          <w:rPr>
            <w:rFonts w:eastAsia="MS Mincho"/>
          </w:rPr>
          <w:t>[s. 3(2)(e)(ix)]</w:t>
        </w:r>
      </w:ins>
    </w:p>
    <w:p>
      <w:pPr>
        <w:pStyle w:val="yFootnoteheading"/>
      </w:pPr>
      <w:r>
        <w:tab/>
        <w:t>[Heading inserted by No. </w:t>
      </w:r>
      <w:del w:id="1092" w:author="svcMRProcess" w:date="2020-02-17T01:46:00Z">
        <w:r>
          <w:delText>107</w:delText>
        </w:r>
      </w:del>
      <w:ins w:id="1093" w:author="svcMRProcess" w:date="2020-02-17T01:46:00Z">
        <w:r>
          <w:t>19</w:t>
        </w:r>
      </w:ins>
      <w:r>
        <w:t xml:space="preserve"> of </w:t>
      </w:r>
      <w:del w:id="1094" w:author="svcMRProcess" w:date="2020-02-17T01:46:00Z">
        <w:r>
          <w:delText>1973</w:delText>
        </w:r>
      </w:del>
      <w:ins w:id="1095" w:author="svcMRProcess" w:date="2020-02-17T01:46:00Z">
        <w:r>
          <w:t>2010</w:t>
        </w:r>
      </w:ins>
      <w:r>
        <w:t xml:space="preserve"> s. </w:t>
      </w:r>
      <w:del w:id="1096" w:author="svcMRProcess" w:date="2020-02-17T01:46:00Z">
        <w:r>
          <w:delText>29.]</w:delText>
        </w:r>
      </w:del>
      <w:ins w:id="1097" w:author="svcMRProcess" w:date="2020-02-17T01:46:00Z">
        <w:r>
          <w:t>19(10).]</w:t>
        </w:r>
      </w:ins>
    </w:p>
    <w:p>
      <w:pPr>
        <w:pStyle w:val="yHeading5"/>
        <w:rPr>
          <w:ins w:id="1098" w:author="svcMRProcess" w:date="2020-02-17T01:46:00Z"/>
        </w:rPr>
      </w:pPr>
      <w:bookmarkStart w:id="1099" w:name="_Toc272150743"/>
      <w:ins w:id="1100" w:author="svcMRProcess" w:date="2020-02-17T01:46:00Z">
        <w:r>
          <w:t>1.</w:t>
        </w:r>
        <w:r>
          <w:tab/>
          <w:t>Formula for calculating percentage rate of terms charges</w:t>
        </w:r>
        <w:bookmarkEnd w:id="1099"/>
      </w:ins>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w:t>
      </w:r>
      <w:del w:id="1101" w:author="svcMRProcess" w:date="2020-02-17T01:46:00Z">
        <w:r>
          <w:rPr>
            <w:snapToGrid w:val="0"/>
          </w:rPr>
          <w:delText>2)(a</w:delText>
        </w:r>
      </w:del>
      <w:ins w:id="1102" w:author="svcMRProcess" w:date="2020-02-17T01:46:00Z">
        <w:r>
          <w:rPr>
            <w:snapToGrid w:val="0"/>
          </w:rPr>
          <w:t>2A</w:t>
        </w:r>
      </w:ins>
      <w:r>
        <w:rPr>
          <w:snapToGrid w:val="0"/>
        </w:rPr>
        <w:t>)</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w:t>
      </w:r>
      <w:del w:id="1103" w:author="svcMRProcess" w:date="2020-02-17T01:46:00Z">
        <w:r>
          <w:rPr>
            <w:snapToGrid w:val="0"/>
          </w:rPr>
          <w:delText>i</w:delText>
        </w:r>
      </w:del>
      <w:ins w:id="1104" w:author="svcMRProcess" w:date="2020-02-17T01:46:00Z">
        <w:r>
          <w:rPr>
            <w:snapToGrid w:val="0"/>
          </w:rPr>
          <w:t>a</w:t>
        </w:r>
      </w:ins>
      <w:r>
        <w:rPr>
          <w:snapToGrid w:val="0"/>
        </w:rPr>
        <w:t>)</w:t>
      </w:r>
      <w:r>
        <w:rPr>
          <w:snapToGrid w:val="0"/>
        </w:rPr>
        <w:tab/>
        <w:t>to calculate the flat rate of interest per cent:</w:t>
      </w:r>
      <w:r>
        <w:rPr>
          <w:noProof/>
        </w:rPr>
        <w:t xml:space="preserve"> </w:t>
      </w:r>
    </w:p>
    <w:p>
      <w:pPr>
        <w:pStyle w:val="Equation"/>
        <w:jc w:val="center"/>
      </w:pPr>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1" o:title=""/>
          </v:shape>
        </w:pict>
      </w:r>
    </w:p>
    <w:p>
      <w:pPr>
        <w:pStyle w:val="yIndenta"/>
        <w:rPr>
          <w:snapToGrid w:val="0"/>
        </w:rPr>
      </w:pPr>
      <w:r>
        <w:rPr>
          <w:snapToGrid w:val="0"/>
        </w:rPr>
        <w:tab/>
        <w:t>(</w:t>
      </w:r>
      <w:del w:id="1105" w:author="svcMRProcess" w:date="2020-02-17T01:46:00Z">
        <w:r>
          <w:rPr>
            <w:snapToGrid w:val="0"/>
          </w:rPr>
          <w:delText>ii</w:delText>
        </w:r>
      </w:del>
      <w:ins w:id="1106" w:author="svcMRProcess" w:date="2020-02-17T01:46:00Z">
        <w:r>
          <w:rPr>
            <w:snapToGrid w:val="0"/>
          </w:rPr>
          <w:t>b</w:t>
        </w:r>
      </w:ins>
      <w:r>
        <w:rPr>
          <w:snapToGrid w:val="0"/>
        </w:rPr>
        <w:t>)</w:t>
      </w:r>
      <w:r>
        <w:rPr>
          <w:snapToGrid w:val="0"/>
        </w:rPr>
        <w:tab/>
        <w:t>to convert the flat rate of interest per cent into the nominal annual percentage rate:</w:t>
      </w:r>
    </w:p>
    <w:p>
      <w:pPr>
        <w:pStyle w:val="Equation"/>
        <w:jc w:val="center"/>
        <w:rPr>
          <w:snapToGrid w:val="0"/>
        </w:rPr>
      </w:pPr>
      <w:r>
        <w:rPr>
          <w:position w:val="-28"/>
        </w:rPr>
        <w:pict>
          <v:shape id="_x0000_i1026" type="#_x0000_t75" style="width:114pt;height:32.25pt" fillcolor="window">
            <v:imagedata r:id="rId22" o:title=""/>
          </v:shape>
        </w:pi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w:t>
      </w:r>
      <w:del w:id="1107" w:author="svcMRProcess" w:date="2020-02-17T01:46:00Z">
        <w:r>
          <w:rPr>
            <w:snapToGrid w:val="0"/>
          </w:rPr>
          <w:delText>b</w:delText>
        </w:r>
      </w:del>
      <w:ins w:id="1108" w:author="svcMRProcess" w:date="2020-02-17T01:46:00Z">
        <w:r>
          <w:rPr>
            <w:snapToGrid w:val="0"/>
          </w:rPr>
          <w:t>2B</w:t>
        </w:r>
      </w:ins>
      <w:r>
        <w:rPr>
          <w:snapToGrid w:val="0"/>
        </w:rPr>
        <w:t>)</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[Fifth Schedule inserted by No. 107 of 1973 s. </w:t>
      </w:r>
      <w:del w:id="1109" w:author="svcMRProcess" w:date="2020-02-17T01:46:00Z">
        <w:r>
          <w:delText>29</w:delText>
        </w:r>
      </w:del>
      <w:ins w:id="1110" w:author="svcMRProcess" w:date="2020-02-17T01:46:00Z">
        <w:r>
          <w:t>29; amended by No. 19 of 2010 s. 51</w:t>
        </w:r>
      </w:ins>
      <w:r>
        <w:t xml:space="preserve">.] </w:t>
      </w:r>
    </w:p>
    <w:p>
      <w:pPr>
        <w:sectPr>
          <w:headerReference w:type="even" r:id="rId23"/>
          <w:headerReference w:type="default" r:id="rId24"/>
          <w:headerReference w:type="first" r:id="rId25"/>
          <w:pgSz w:w="11906" w:h="16838" w:code="9"/>
          <w:pgMar w:top="2376" w:right="2404" w:bottom="3544" w:left="2404" w:header="709" w:footer="3380" w:gutter="0"/>
          <w:cols w:space="720"/>
          <w:noEndnote/>
          <w:docGrid w:linePitch="326"/>
        </w:sectPr>
      </w:pPr>
    </w:p>
    <w:p>
      <w:pPr>
        <w:pStyle w:val="nHeading2"/>
      </w:pPr>
      <w:bookmarkStart w:id="1111" w:name="_Toc72200527"/>
      <w:bookmarkStart w:id="1112" w:name="_Toc72200595"/>
      <w:bookmarkStart w:id="1113" w:name="_Toc77655370"/>
      <w:bookmarkStart w:id="1114" w:name="_Toc79372744"/>
      <w:bookmarkStart w:id="1115" w:name="_Toc86551174"/>
      <w:bookmarkStart w:id="1116" w:name="_Toc89521521"/>
      <w:bookmarkStart w:id="1117" w:name="_Toc90954930"/>
      <w:bookmarkStart w:id="1118" w:name="_Toc92858089"/>
      <w:bookmarkStart w:id="1119" w:name="_Toc97107247"/>
      <w:bookmarkStart w:id="1120" w:name="_Toc102365829"/>
      <w:bookmarkStart w:id="1121" w:name="_Toc102883493"/>
      <w:bookmarkStart w:id="1122" w:name="_Toc106763978"/>
      <w:bookmarkStart w:id="1123" w:name="_Toc128471303"/>
      <w:bookmarkStart w:id="1124" w:name="_Toc128471376"/>
      <w:bookmarkStart w:id="1125" w:name="_Toc129067023"/>
      <w:bookmarkStart w:id="1126" w:name="_Toc139355390"/>
      <w:bookmarkStart w:id="1127" w:name="_Toc139447656"/>
      <w:bookmarkStart w:id="1128" w:name="_Toc139448060"/>
      <w:bookmarkStart w:id="1129" w:name="_Toc141245894"/>
      <w:bookmarkStart w:id="1130" w:name="_Toc141763371"/>
      <w:bookmarkStart w:id="1131" w:name="_Toc143314358"/>
      <w:bookmarkStart w:id="1132" w:name="_Toc143405142"/>
      <w:bookmarkStart w:id="1133" w:name="_Toc143405217"/>
      <w:bookmarkStart w:id="1134" w:name="_Toc143405292"/>
      <w:bookmarkStart w:id="1135" w:name="_Toc144024777"/>
      <w:bookmarkStart w:id="1136" w:name="_Toc145732217"/>
      <w:bookmarkStart w:id="1137" w:name="_Toc196122128"/>
      <w:bookmarkStart w:id="1138" w:name="_Toc196801730"/>
      <w:bookmarkStart w:id="1139" w:name="_Toc202172435"/>
      <w:bookmarkStart w:id="1140" w:name="_Toc202172508"/>
      <w:bookmarkStart w:id="1141" w:name="_Toc241049041"/>
      <w:bookmarkStart w:id="1142" w:name="_Toc241051264"/>
      <w:bookmarkStart w:id="1143" w:name="_Toc267489759"/>
      <w:bookmarkStart w:id="1144" w:name="_Toc268264251"/>
      <w:bookmarkStart w:id="1145" w:name="_Toc268264353"/>
      <w:bookmarkStart w:id="1146" w:name="_Toc272150744"/>
      <w:bookmarkStart w:id="1147" w:name="_Toc267656186"/>
      <w:r>
        <w:t>Notes</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del w:id="1148" w:author="svcMRProcess" w:date="2020-02-17T01:46: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1149" w:name="_Toc272150745"/>
      <w:bookmarkStart w:id="1150" w:name="_Toc267656187"/>
      <w:r>
        <w:rPr>
          <w:snapToGrid w:val="0"/>
        </w:rPr>
        <w:t>Compilation table</w:t>
      </w:r>
      <w:bookmarkEnd w:id="1149"/>
      <w:bookmarkEnd w:id="1150"/>
    </w:p>
    <w:tbl>
      <w:tblPr>
        <w:tblW w:w="7087" w:type="dxa"/>
        <w:tblInd w:w="56" w:type="dxa"/>
        <w:tblLayout w:type="fixed"/>
        <w:tblCellMar>
          <w:left w:w="56" w:type="dxa"/>
          <w:right w:w="56" w:type="dxa"/>
        </w:tblCellMar>
        <w:tblLook w:val="0000" w:firstRow="0" w:lastRow="0" w:firstColumn="0" w:lastColumn="0" w:noHBand="0" w:noVBand="0"/>
      </w:tblPr>
      <w:tblGrid>
        <w:gridCol w:w="2244"/>
        <w:gridCol w:w="23"/>
        <w:gridCol w:w="1125"/>
        <w:gridCol w:w="9"/>
        <w:gridCol w:w="1127"/>
        <w:gridCol w:w="7"/>
        <w:gridCol w:w="2540"/>
        <w:gridCol w:w="12"/>
      </w:tblGrid>
      <w:tr>
        <w:trPr>
          <w:cantSplit/>
          <w:tblHeader/>
        </w:trPr>
        <w:tc>
          <w:tcPr>
            <w:tcW w:w="224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8"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6" w:type="dxa"/>
            <w:gridSpan w:val="2"/>
            <w:tcBorders>
              <w:top w:val="single" w:sz="8" w:space="0" w:color="auto"/>
              <w:bottom w:val="single" w:sz="8" w:space="0" w:color="auto"/>
            </w:tcBorders>
          </w:tcPr>
          <w:p>
            <w:pPr>
              <w:pStyle w:val="nTable"/>
              <w:spacing w:after="40"/>
              <w:rPr>
                <w:b/>
                <w:sz w:val="19"/>
              </w:rPr>
            </w:pPr>
            <w:r>
              <w:rPr>
                <w:b/>
                <w:sz w:val="19"/>
              </w:rPr>
              <w:t>Assent</w:t>
            </w:r>
          </w:p>
        </w:tc>
        <w:tc>
          <w:tcPr>
            <w:tcW w:w="2559"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44"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48" w:type="dxa"/>
            <w:gridSpan w:val="2"/>
            <w:tcBorders>
              <w:top w:val="single" w:sz="8" w:space="0" w:color="auto"/>
            </w:tcBorders>
          </w:tcPr>
          <w:p>
            <w:pPr>
              <w:pStyle w:val="nTable"/>
              <w:spacing w:after="40"/>
              <w:rPr>
                <w:sz w:val="19"/>
              </w:rPr>
            </w:pPr>
            <w:r>
              <w:rPr>
                <w:sz w:val="19"/>
              </w:rPr>
              <w:t>58 of 1959</w:t>
            </w:r>
          </w:p>
        </w:tc>
        <w:tc>
          <w:tcPr>
            <w:tcW w:w="1136" w:type="dxa"/>
            <w:gridSpan w:val="2"/>
            <w:tcBorders>
              <w:top w:val="single" w:sz="8" w:space="0" w:color="auto"/>
            </w:tcBorders>
          </w:tcPr>
          <w:p>
            <w:pPr>
              <w:pStyle w:val="nTable"/>
              <w:spacing w:after="40"/>
              <w:rPr>
                <w:sz w:val="19"/>
              </w:rPr>
            </w:pPr>
            <w:r>
              <w:rPr>
                <w:sz w:val="19"/>
              </w:rPr>
              <w:t>3 Dec 1959</w:t>
            </w:r>
          </w:p>
        </w:tc>
        <w:tc>
          <w:tcPr>
            <w:tcW w:w="2559"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7" w:type="dxa"/>
            <w:gridSpan w:val="8"/>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44" w:type="dxa"/>
            <w:tcBorders>
              <w:bottom w:val="nil"/>
            </w:tcBorders>
          </w:tcPr>
          <w:p>
            <w:pPr>
              <w:pStyle w:val="Enactment"/>
              <w:spacing w:before="40" w:after="40"/>
              <w:ind w:right="113"/>
              <w:rPr>
                <w:i/>
                <w:sz w:val="19"/>
              </w:rPr>
            </w:pPr>
            <w:r>
              <w:rPr>
                <w:bCs/>
                <w:i/>
                <w:sz w:val="19"/>
              </w:rPr>
              <w:t>Decimal Currency Act 1965</w:t>
            </w:r>
          </w:p>
        </w:tc>
        <w:tc>
          <w:tcPr>
            <w:tcW w:w="1148" w:type="dxa"/>
            <w:gridSpan w:val="2"/>
            <w:tcBorders>
              <w:bottom w:val="nil"/>
            </w:tcBorders>
          </w:tcPr>
          <w:p>
            <w:pPr>
              <w:pStyle w:val="Enactment"/>
              <w:spacing w:before="40" w:after="40"/>
              <w:rPr>
                <w:sz w:val="19"/>
              </w:rPr>
            </w:pPr>
            <w:r>
              <w:rPr>
                <w:sz w:val="19"/>
              </w:rPr>
              <w:t>113 of 1965</w:t>
            </w:r>
          </w:p>
        </w:tc>
        <w:tc>
          <w:tcPr>
            <w:tcW w:w="1136" w:type="dxa"/>
            <w:gridSpan w:val="2"/>
            <w:tcBorders>
              <w:bottom w:val="nil"/>
            </w:tcBorders>
          </w:tcPr>
          <w:p>
            <w:pPr>
              <w:pStyle w:val="Enactment"/>
              <w:spacing w:before="40" w:after="40"/>
              <w:rPr>
                <w:sz w:val="19"/>
              </w:rPr>
            </w:pPr>
            <w:r>
              <w:rPr>
                <w:sz w:val="19"/>
              </w:rPr>
              <w:t>21 Dec 1965</w:t>
            </w:r>
          </w:p>
        </w:tc>
        <w:tc>
          <w:tcPr>
            <w:tcW w:w="2559"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44"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48" w:type="dxa"/>
            <w:gridSpan w:val="2"/>
            <w:tcBorders>
              <w:bottom w:val="nil"/>
            </w:tcBorders>
          </w:tcPr>
          <w:p>
            <w:pPr>
              <w:pStyle w:val="nTable"/>
              <w:spacing w:after="40"/>
              <w:rPr>
                <w:sz w:val="19"/>
              </w:rPr>
            </w:pPr>
            <w:r>
              <w:rPr>
                <w:sz w:val="19"/>
              </w:rPr>
              <w:t>107 of 1973</w:t>
            </w:r>
          </w:p>
        </w:tc>
        <w:tc>
          <w:tcPr>
            <w:tcW w:w="1136" w:type="dxa"/>
            <w:gridSpan w:val="2"/>
            <w:tcBorders>
              <w:bottom w:val="nil"/>
            </w:tcBorders>
          </w:tcPr>
          <w:p>
            <w:pPr>
              <w:pStyle w:val="nTable"/>
              <w:spacing w:after="40"/>
              <w:rPr>
                <w:sz w:val="19"/>
              </w:rPr>
            </w:pPr>
            <w:r>
              <w:rPr>
                <w:sz w:val="19"/>
              </w:rPr>
              <w:t>4 Jan 1974</w:t>
            </w:r>
          </w:p>
        </w:tc>
        <w:tc>
          <w:tcPr>
            <w:tcW w:w="2559"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1974</w:t>
            </w:r>
          </w:p>
        </w:tc>
        <w:tc>
          <w:tcPr>
            <w:tcW w:w="1148" w:type="dxa"/>
            <w:gridSpan w:val="2"/>
          </w:tcPr>
          <w:p>
            <w:pPr>
              <w:pStyle w:val="nTable"/>
              <w:spacing w:after="40"/>
              <w:rPr>
                <w:sz w:val="19"/>
              </w:rPr>
            </w:pPr>
            <w:r>
              <w:rPr>
                <w:sz w:val="19"/>
              </w:rPr>
              <w:t>5 of 1974</w:t>
            </w:r>
          </w:p>
        </w:tc>
        <w:tc>
          <w:tcPr>
            <w:tcW w:w="1136" w:type="dxa"/>
            <w:gridSpan w:val="2"/>
          </w:tcPr>
          <w:p>
            <w:pPr>
              <w:pStyle w:val="nTable"/>
              <w:spacing w:after="40"/>
              <w:rPr>
                <w:sz w:val="19"/>
              </w:rPr>
            </w:pPr>
            <w:r>
              <w:rPr>
                <w:sz w:val="19"/>
              </w:rPr>
              <w:t>19 Sep 1974</w:t>
            </w:r>
          </w:p>
        </w:tc>
        <w:tc>
          <w:tcPr>
            <w:tcW w:w="2559"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1976</w:t>
            </w:r>
          </w:p>
        </w:tc>
        <w:tc>
          <w:tcPr>
            <w:tcW w:w="1148" w:type="dxa"/>
            <w:gridSpan w:val="2"/>
          </w:tcPr>
          <w:p>
            <w:pPr>
              <w:pStyle w:val="nTable"/>
              <w:keepNext/>
              <w:spacing w:after="40"/>
              <w:rPr>
                <w:sz w:val="19"/>
              </w:rPr>
            </w:pPr>
            <w:r>
              <w:rPr>
                <w:sz w:val="19"/>
              </w:rPr>
              <w:t>82 of 1976</w:t>
            </w:r>
          </w:p>
        </w:tc>
        <w:tc>
          <w:tcPr>
            <w:tcW w:w="1136" w:type="dxa"/>
            <w:gridSpan w:val="2"/>
          </w:tcPr>
          <w:p>
            <w:pPr>
              <w:pStyle w:val="nTable"/>
              <w:keepNext/>
              <w:spacing w:after="40"/>
              <w:rPr>
                <w:sz w:val="19"/>
              </w:rPr>
            </w:pPr>
            <w:r>
              <w:rPr>
                <w:sz w:val="19"/>
              </w:rPr>
              <w:t>21 Oct 1976</w:t>
            </w:r>
          </w:p>
        </w:tc>
        <w:tc>
          <w:tcPr>
            <w:tcW w:w="2559"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44" w:type="dxa"/>
          </w:tcPr>
          <w:p>
            <w:pPr>
              <w:pStyle w:val="nTable"/>
              <w:spacing w:after="40"/>
              <w:ind w:right="113"/>
              <w:rPr>
                <w:sz w:val="19"/>
              </w:rPr>
            </w:pPr>
            <w:r>
              <w:rPr>
                <w:i/>
                <w:sz w:val="19"/>
              </w:rPr>
              <w:t>Hire</w:t>
            </w:r>
            <w:r>
              <w:rPr>
                <w:i/>
                <w:sz w:val="19"/>
              </w:rPr>
              <w:noBreakHyphen/>
              <w:t>Purchase Amendment Act 1980</w:t>
            </w:r>
          </w:p>
        </w:tc>
        <w:tc>
          <w:tcPr>
            <w:tcW w:w="1148" w:type="dxa"/>
            <w:gridSpan w:val="2"/>
          </w:tcPr>
          <w:p>
            <w:pPr>
              <w:pStyle w:val="nTable"/>
              <w:spacing w:after="40"/>
              <w:rPr>
                <w:sz w:val="19"/>
              </w:rPr>
            </w:pPr>
            <w:r>
              <w:rPr>
                <w:sz w:val="19"/>
              </w:rPr>
              <w:t>37 of 1980</w:t>
            </w:r>
          </w:p>
        </w:tc>
        <w:tc>
          <w:tcPr>
            <w:tcW w:w="1136" w:type="dxa"/>
            <w:gridSpan w:val="2"/>
          </w:tcPr>
          <w:p>
            <w:pPr>
              <w:pStyle w:val="nTable"/>
              <w:spacing w:after="40"/>
              <w:rPr>
                <w:sz w:val="19"/>
              </w:rPr>
            </w:pPr>
            <w:r>
              <w:rPr>
                <w:sz w:val="19"/>
              </w:rPr>
              <w:t>5 Nov 1980</w:t>
            </w:r>
          </w:p>
        </w:tc>
        <w:tc>
          <w:tcPr>
            <w:tcW w:w="2559" w:type="dxa"/>
            <w:gridSpan w:val="3"/>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44" w:type="dxa"/>
          </w:tcPr>
          <w:p>
            <w:pPr>
              <w:pStyle w:val="nTable"/>
              <w:spacing w:after="40"/>
              <w:ind w:right="113"/>
              <w:rPr>
                <w:sz w:val="19"/>
              </w:rPr>
            </w:pPr>
            <w:r>
              <w:rPr>
                <w:i/>
                <w:sz w:val="19"/>
              </w:rPr>
              <w:t>Hire</w:t>
            </w:r>
            <w:r>
              <w:rPr>
                <w:i/>
                <w:sz w:val="19"/>
              </w:rPr>
              <w:noBreakHyphen/>
              <w:t>Purchase Amendment Act (No. 2) 1980</w:t>
            </w:r>
          </w:p>
        </w:tc>
        <w:tc>
          <w:tcPr>
            <w:tcW w:w="1148" w:type="dxa"/>
            <w:gridSpan w:val="2"/>
          </w:tcPr>
          <w:p>
            <w:pPr>
              <w:pStyle w:val="nTable"/>
              <w:spacing w:after="40"/>
              <w:rPr>
                <w:sz w:val="19"/>
              </w:rPr>
            </w:pPr>
            <w:r>
              <w:rPr>
                <w:sz w:val="19"/>
              </w:rPr>
              <w:t>88 of 1980</w:t>
            </w:r>
          </w:p>
        </w:tc>
        <w:tc>
          <w:tcPr>
            <w:tcW w:w="1136" w:type="dxa"/>
            <w:gridSpan w:val="2"/>
          </w:tcPr>
          <w:p>
            <w:pPr>
              <w:pStyle w:val="nTable"/>
              <w:spacing w:after="40"/>
              <w:rPr>
                <w:sz w:val="19"/>
              </w:rPr>
            </w:pPr>
            <w:r>
              <w:rPr>
                <w:sz w:val="19"/>
              </w:rPr>
              <w:t>9 Dec 1980</w:t>
            </w:r>
          </w:p>
        </w:tc>
        <w:tc>
          <w:tcPr>
            <w:tcW w:w="2559" w:type="dxa"/>
            <w:gridSpan w:val="3"/>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and Repeal (Credit) Act 1984</w:t>
            </w:r>
            <w:r>
              <w:rPr>
                <w:sz w:val="19"/>
              </w:rPr>
              <w:t xml:space="preserve"> Pt. V</w:t>
            </w:r>
          </w:p>
        </w:tc>
        <w:tc>
          <w:tcPr>
            <w:tcW w:w="1148" w:type="dxa"/>
            <w:gridSpan w:val="2"/>
          </w:tcPr>
          <w:p>
            <w:pPr>
              <w:pStyle w:val="nTable"/>
              <w:keepLines/>
              <w:spacing w:after="40"/>
              <w:rPr>
                <w:sz w:val="19"/>
              </w:rPr>
            </w:pPr>
            <w:r>
              <w:rPr>
                <w:sz w:val="19"/>
              </w:rPr>
              <w:t>102 of 1984</w:t>
            </w:r>
          </w:p>
        </w:tc>
        <w:tc>
          <w:tcPr>
            <w:tcW w:w="1136" w:type="dxa"/>
            <w:gridSpan w:val="2"/>
          </w:tcPr>
          <w:p>
            <w:pPr>
              <w:pStyle w:val="nTable"/>
              <w:keepLines/>
              <w:spacing w:after="40"/>
              <w:rPr>
                <w:sz w:val="19"/>
              </w:rPr>
            </w:pPr>
            <w:r>
              <w:rPr>
                <w:sz w:val="19"/>
              </w:rPr>
              <w:t>19 Dec 1984</w:t>
            </w:r>
          </w:p>
        </w:tc>
        <w:tc>
          <w:tcPr>
            <w:tcW w:w="2559" w:type="dxa"/>
            <w:gridSpan w:val="3"/>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44" w:type="dxa"/>
          </w:tcPr>
          <w:p>
            <w:pPr>
              <w:pStyle w:val="nTable"/>
              <w:spacing w:after="40"/>
              <w:ind w:right="113"/>
              <w:rPr>
                <w:sz w:val="19"/>
              </w:rPr>
            </w:pPr>
            <w:r>
              <w:rPr>
                <w:i/>
                <w:sz w:val="19"/>
              </w:rPr>
              <w:t>Acts Amendment (Department for Community Services) Act 1984</w:t>
            </w:r>
            <w:r>
              <w:rPr>
                <w:sz w:val="19"/>
              </w:rPr>
              <w:t xml:space="preserve"> Pt. VII</w:t>
            </w:r>
          </w:p>
        </w:tc>
        <w:tc>
          <w:tcPr>
            <w:tcW w:w="1148" w:type="dxa"/>
            <w:gridSpan w:val="2"/>
          </w:tcPr>
          <w:p>
            <w:pPr>
              <w:pStyle w:val="nTable"/>
              <w:spacing w:after="40"/>
              <w:rPr>
                <w:sz w:val="19"/>
              </w:rPr>
            </w:pPr>
            <w:r>
              <w:rPr>
                <w:sz w:val="19"/>
              </w:rPr>
              <w:t>121 of 1984</w:t>
            </w:r>
          </w:p>
        </w:tc>
        <w:tc>
          <w:tcPr>
            <w:tcW w:w="1136" w:type="dxa"/>
            <w:gridSpan w:val="2"/>
          </w:tcPr>
          <w:p>
            <w:pPr>
              <w:pStyle w:val="nTable"/>
              <w:spacing w:after="40"/>
              <w:rPr>
                <w:sz w:val="19"/>
              </w:rPr>
            </w:pPr>
            <w:r>
              <w:rPr>
                <w:sz w:val="19"/>
              </w:rPr>
              <w:t>19 Dec 1984</w:t>
            </w:r>
          </w:p>
        </w:tc>
        <w:tc>
          <w:tcPr>
            <w:tcW w:w="2559" w:type="dxa"/>
            <w:gridSpan w:val="3"/>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44"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48" w:type="dxa"/>
            <w:gridSpan w:val="2"/>
          </w:tcPr>
          <w:p>
            <w:pPr>
              <w:pStyle w:val="nTable"/>
              <w:spacing w:after="40"/>
              <w:rPr>
                <w:sz w:val="19"/>
              </w:rPr>
            </w:pPr>
            <w:r>
              <w:rPr>
                <w:sz w:val="19"/>
              </w:rPr>
              <w:t>1 of 1985</w:t>
            </w:r>
          </w:p>
        </w:tc>
        <w:tc>
          <w:tcPr>
            <w:tcW w:w="1136" w:type="dxa"/>
            <w:gridSpan w:val="2"/>
          </w:tcPr>
          <w:p>
            <w:pPr>
              <w:pStyle w:val="nTable"/>
              <w:spacing w:after="40"/>
              <w:rPr>
                <w:sz w:val="19"/>
              </w:rPr>
            </w:pPr>
            <w:r>
              <w:rPr>
                <w:sz w:val="19"/>
              </w:rPr>
              <w:t>8 Mar 1985</w:t>
            </w:r>
          </w:p>
        </w:tc>
        <w:tc>
          <w:tcPr>
            <w:tcW w:w="2559" w:type="dxa"/>
            <w:gridSpan w:val="3"/>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(Public Sector Management) Act 1994</w:t>
            </w:r>
            <w:r>
              <w:rPr>
                <w:sz w:val="19"/>
              </w:rPr>
              <w:t xml:space="preserve"> s. 19</w:t>
            </w:r>
          </w:p>
        </w:tc>
        <w:tc>
          <w:tcPr>
            <w:tcW w:w="1148" w:type="dxa"/>
            <w:gridSpan w:val="2"/>
          </w:tcPr>
          <w:p>
            <w:pPr>
              <w:pStyle w:val="nTable"/>
              <w:spacing w:after="40"/>
              <w:rPr>
                <w:sz w:val="19"/>
              </w:rPr>
            </w:pPr>
            <w:r>
              <w:rPr>
                <w:sz w:val="19"/>
              </w:rPr>
              <w:t>32 of 1994</w:t>
            </w:r>
          </w:p>
        </w:tc>
        <w:tc>
          <w:tcPr>
            <w:tcW w:w="1136" w:type="dxa"/>
            <w:gridSpan w:val="2"/>
          </w:tcPr>
          <w:p>
            <w:pPr>
              <w:pStyle w:val="nTable"/>
              <w:spacing w:after="40"/>
              <w:rPr>
                <w:sz w:val="19"/>
              </w:rPr>
            </w:pPr>
            <w:r>
              <w:rPr>
                <w:sz w:val="19"/>
              </w:rPr>
              <w:t>29 Jun 1994</w:t>
            </w:r>
          </w:p>
        </w:tc>
        <w:tc>
          <w:tcPr>
            <w:tcW w:w="2559" w:type="dxa"/>
            <w:gridSpan w:val="3"/>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44" w:type="dxa"/>
          </w:tcPr>
          <w:p>
            <w:pPr>
              <w:pStyle w:val="nTable"/>
              <w:spacing w:after="40"/>
              <w:ind w:right="113"/>
              <w:rPr>
                <w:sz w:val="19"/>
              </w:rPr>
            </w:pPr>
            <w:r>
              <w:rPr>
                <w:i/>
                <w:sz w:val="19"/>
              </w:rPr>
              <w:t>Hire</w:t>
            </w:r>
            <w:r>
              <w:rPr>
                <w:i/>
                <w:sz w:val="19"/>
              </w:rPr>
              <w:noBreakHyphen/>
              <w:t>Purchase Amendment Act 1995</w:t>
            </w:r>
          </w:p>
        </w:tc>
        <w:tc>
          <w:tcPr>
            <w:tcW w:w="1148" w:type="dxa"/>
            <w:gridSpan w:val="2"/>
          </w:tcPr>
          <w:p>
            <w:pPr>
              <w:pStyle w:val="nTable"/>
              <w:spacing w:after="40"/>
              <w:rPr>
                <w:sz w:val="19"/>
              </w:rPr>
            </w:pPr>
            <w:r>
              <w:rPr>
                <w:sz w:val="19"/>
              </w:rPr>
              <w:t>43 of 1995</w:t>
            </w:r>
          </w:p>
        </w:tc>
        <w:tc>
          <w:tcPr>
            <w:tcW w:w="1136" w:type="dxa"/>
            <w:gridSpan w:val="2"/>
          </w:tcPr>
          <w:p>
            <w:pPr>
              <w:pStyle w:val="nTable"/>
              <w:spacing w:after="40"/>
              <w:rPr>
                <w:sz w:val="19"/>
              </w:rPr>
            </w:pPr>
            <w:r>
              <w:rPr>
                <w:sz w:val="19"/>
              </w:rPr>
              <w:t>17 Oct 1995</w:t>
            </w:r>
          </w:p>
        </w:tc>
        <w:tc>
          <w:tcPr>
            <w:tcW w:w="2559" w:type="dxa"/>
            <w:gridSpan w:val="3"/>
          </w:tcPr>
          <w:p>
            <w:pPr>
              <w:pStyle w:val="nTable"/>
              <w:spacing w:after="40"/>
              <w:rPr>
                <w:sz w:val="19"/>
              </w:rPr>
            </w:pPr>
            <w:r>
              <w:rPr>
                <w:sz w:val="19"/>
              </w:rPr>
              <w:t>17 Oct 1995 (see s. 2)</w:t>
            </w:r>
          </w:p>
        </w:tc>
      </w:tr>
      <w:tr>
        <w:trPr>
          <w:gridAfter w:val="1"/>
          <w:wAfter w:w="12" w:type="dxa"/>
          <w:cantSplit/>
        </w:trPr>
        <w:tc>
          <w:tcPr>
            <w:tcW w:w="2244" w:type="dxa"/>
          </w:tcPr>
          <w:p>
            <w:pPr>
              <w:pStyle w:val="nTable"/>
              <w:spacing w:after="40"/>
              <w:ind w:right="113"/>
              <w:rPr>
                <w:sz w:val="19"/>
              </w:rPr>
            </w:pPr>
            <w:r>
              <w:rPr>
                <w:i/>
                <w:sz w:val="19"/>
              </w:rPr>
              <w:t>Sentencing (Consequential Provisions) Act 1995</w:t>
            </w:r>
            <w:r>
              <w:rPr>
                <w:sz w:val="19"/>
              </w:rPr>
              <w:t xml:space="preserve"> s. 147</w:t>
            </w:r>
          </w:p>
        </w:tc>
        <w:tc>
          <w:tcPr>
            <w:tcW w:w="1148" w:type="dxa"/>
            <w:gridSpan w:val="2"/>
          </w:tcPr>
          <w:p>
            <w:pPr>
              <w:pStyle w:val="nTable"/>
              <w:keepNext/>
              <w:spacing w:after="40"/>
              <w:rPr>
                <w:sz w:val="19"/>
              </w:rPr>
            </w:pPr>
            <w:r>
              <w:rPr>
                <w:sz w:val="19"/>
              </w:rPr>
              <w:t>78 of 1995</w:t>
            </w:r>
          </w:p>
        </w:tc>
        <w:tc>
          <w:tcPr>
            <w:tcW w:w="1136" w:type="dxa"/>
            <w:gridSpan w:val="2"/>
          </w:tcPr>
          <w:p>
            <w:pPr>
              <w:pStyle w:val="nTable"/>
              <w:keepNext/>
              <w:spacing w:after="40"/>
              <w:rPr>
                <w:sz w:val="19"/>
              </w:rPr>
            </w:pPr>
            <w:r>
              <w:rPr>
                <w:sz w:val="19"/>
              </w:rPr>
              <w:t>16 Jan 1996</w:t>
            </w:r>
          </w:p>
        </w:tc>
        <w:tc>
          <w:tcPr>
            <w:tcW w:w="2547" w:type="dxa"/>
            <w:gridSpan w:val="2"/>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12" w:type="dxa"/>
          <w:cantSplit/>
        </w:trPr>
        <w:tc>
          <w:tcPr>
            <w:tcW w:w="2244" w:type="dxa"/>
          </w:tcPr>
          <w:p>
            <w:pPr>
              <w:pStyle w:val="nTable"/>
              <w:spacing w:after="40"/>
              <w:ind w:right="113"/>
              <w:rPr>
                <w:sz w:val="19"/>
              </w:rPr>
            </w:pPr>
            <w:r>
              <w:rPr>
                <w:i/>
                <w:sz w:val="19"/>
              </w:rPr>
              <w:t>Consumer Credit (Western Australia) Act 1996</w:t>
            </w:r>
            <w:r>
              <w:rPr>
                <w:sz w:val="19"/>
              </w:rPr>
              <w:t xml:space="preserve"> s. 13</w:t>
            </w:r>
          </w:p>
        </w:tc>
        <w:tc>
          <w:tcPr>
            <w:tcW w:w="1148" w:type="dxa"/>
            <w:gridSpan w:val="2"/>
          </w:tcPr>
          <w:p>
            <w:pPr>
              <w:pStyle w:val="nTable"/>
              <w:spacing w:after="40"/>
              <w:rPr>
                <w:sz w:val="19"/>
              </w:rPr>
            </w:pPr>
            <w:r>
              <w:rPr>
                <w:sz w:val="19"/>
              </w:rPr>
              <w:t>30 of 1996</w:t>
            </w:r>
          </w:p>
        </w:tc>
        <w:tc>
          <w:tcPr>
            <w:tcW w:w="1136" w:type="dxa"/>
            <w:gridSpan w:val="2"/>
          </w:tcPr>
          <w:p>
            <w:pPr>
              <w:pStyle w:val="nTable"/>
              <w:spacing w:after="40"/>
              <w:rPr>
                <w:sz w:val="19"/>
              </w:rPr>
            </w:pPr>
            <w:r>
              <w:rPr>
                <w:sz w:val="19"/>
              </w:rPr>
              <w:t>10 Sep 1996</w:t>
            </w:r>
          </w:p>
        </w:tc>
        <w:tc>
          <w:tcPr>
            <w:tcW w:w="2547" w:type="dxa"/>
            <w:gridSpan w:val="2"/>
          </w:tcPr>
          <w:p>
            <w:pPr>
              <w:pStyle w:val="nTable"/>
              <w:spacing w:after="40"/>
              <w:rPr>
                <w:sz w:val="19"/>
              </w:rPr>
            </w:pPr>
            <w:r>
              <w:rPr>
                <w:sz w:val="19"/>
              </w:rPr>
              <w:t>1 Nov 1996 (see s. 2)</w:t>
            </w:r>
          </w:p>
        </w:tc>
      </w:tr>
      <w:tr>
        <w:trPr>
          <w:cantSplit/>
        </w:trPr>
        <w:tc>
          <w:tcPr>
            <w:tcW w:w="2267" w:type="dxa"/>
            <w:gridSpan w:val="2"/>
          </w:tcPr>
          <w:p>
            <w:pPr>
              <w:pStyle w:val="nTable"/>
              <w:spacing w:after="40"/>
              <w:ind w:right="113"/>
              <w:rPr>
                <w:sz w:val="19"/>
              </w:rPr>
            </w:pPr>
            <w:r>
              <w:rPr>
                <w:i/>
                <w:sz w:val="19"/>
              </w:rPr>
              <w:t>Statutes (Repeals and Minor Amendments) Act 1997</w:t>
            </w:r>
            <w:r>
              <w:rPr>
                <w:sz w:val="19"/>
              </w:rPr>
              <w:t xml:space="preserve"> s. 39(10) and 72</w:t>
            </w:r>
          </w:p>
        </w:tc>
        <w:tc>
          <w:tcPr>
            <w:tcW w:w="1134"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1997 (see s. 2(1))</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gridSpan w:val="2"/>
          </w:tcPr>
          <w:p>
            <w:pPr>
              <w:pStyle w:val="nTable"/>
              <w:spacing w:after="40"/>
              <w:ind w:right="113"/>
              <w:rPr>
                <w:sz w:val="19"/>
              </w:rPr>
            </w:pPr>
            <w:r>
              <w:rPr>
                <w:i/>
                <w:sz w:val="19"/>
              </w:rPr>
              <w:t>Rail Freight System Act 2000</w:t>
            </w:r>
            <w:r>
              <w:rPr>
                <w:sz w:val="19"/>
              </w:rPr>
              <w:t xml:space="preserve"> Pt. 5 Div. 3</w:t>
            </w:r>
          </w:p>
        </w:tc>
        <w:tc>
          <w:tcPr>
            <w:tcW w:w="1134" w:type="dxa"/>
            <w:gridSpan w:val="2"/>
          </w:tcPr>
          <w:p>
            <w:pPr>
              <w:pStyle w:val="nTable"/>
              <w:spacing w:after="40"/>
              <w:rPr>
                <w:sz w:val="19"/>
              </w:rPr>
            </w:pPr>
            <w:r>
              <w:rPr>
                <w:sz w:val="19"/>
              </w:rPr>
              <w:t>13 of 2000</w:t>
            </w:r>
          </w:p>
        </w:tc>
        <w:tc>
          <w:tcPr>
            <w:tcW w:w="1134" w:type="dxa"/>
            <w:gridSpan w:val="2"/>
          </w:tcPr>
          <w:p>
            <w:pPr>
              <w:pStyle w:val="nTable"/>
              <w:spacing w:after="40"/>
              <w:rPr>
                <w:sz w:val="19"/>
              </w:rPr>
            </w:pPr>
            <w:r>
              <w:rPr>
                <w:sz w:val="19"/>
              </w:rPr>
              <w:t>8 Jun 2000</w:t>
            </w:r>
          </w:p>
        </w:tc>
        <w:tc>
          <w:tcPr>
            <w:tcW w:w="2552" w:type="dxa"/>
            <w:gridSpan w:val="2"/>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gridSpan w:val="2"/>
          </w:tcPr>
          <w:p>
            <w:pPr>
              <w:pStyle w:val="nTable"/>
              <w:spacing w:after="40"/>
              <w:ind w:right="113"/>
              <w:rPr>
                <w:i/>
                <w:sz w:val="19"/>
              </w:rPr>
            </w:pPr>
            <w:r>
              <w:rPr>
                <w:i/>
                <w:sz w:val="19"/>
              </w:rPr>
              <w:t>Statutes (Repeals and Minor Amendments) Act 2000</w:t>
            </w:r>
            <w:r>
              <w:rPr>
                <w:sz w:val="19"/>
              </w:rPr>
              <w:t xml:space="preserve"> s. 53</w:t>
            </w:r>
          </w:p>
        </w:tc>
        <w:tc>
          <w:tcPr>
            <w:tcW w:w="1134" w:type="dxa"/>
            <w:gridSpan w:val="2"/>
          </w:tcPr>
          <w:p>
            <w:pPr>
              <w:pStyle w:val="nTable"/>
              <w:spacing w:after="40"/>
              <w:rPr>
                <w:sz w:val="19"/>
              </w:rPr>
            </w:pPr>
            <w:r>
              <w:rPr>
                <w:sz w:val="19"/>
              </w:rPr>
              <w:t>24 of 2000</w:t>
            </w:r>
          </w:p>
        </w:tc>
        <w:tc>
          <w:tcPr>
            <w:tcW w:w="1134" w:type="dxa"/>
            <w:gridSpan w:val="2"/>
          </w:tcPr>
          <w:p>
            <w:pPr>
              <w:pStyle w:val="nTable"/>
              <w:spacing w:after="40"/>
              <w:rPr>
                <w:sz w:val="19"/>
              </w:rPr>
            </w:pPr>
            <w:r>
              <w:rPr>
                <w:sz w:val="19"/>
              </w:rPr>
              <w:t>4 Jul 2000</w:t>
            </w:r>
          </w:p>
        </w:tc>
        <w:tc>
          <w:tcPr>
            <w:tcW w:w="2552" w:type="dxa"/>
            <w:gridSpan w:val="2"/>
          </w:tcPr>
          <w:p>
            <w:pPr>
              <w:pStyle w:val="nTable"/>
              <w:spacing w:after="40"/>
              <w:rPr>
                <w:sz w:val="19"/>
              </w:rPr>
            </w:pPr>
            <w:r>
              <w:rPr>
                <w:sz w:val="19"/>
              </w:rPr>
              <w:t>4 Jul 2000 (see s. 2)</w:t>
            </w:r>
          </w:p>
        </w:tc>
      </w:tr>
      <w:tr>
        <w:trPr>
          <w:cantSplit/>
        </w:trPr>
        <w:tc>
          <w:tcPr>
            <w:tcW w:w="2267" w:type="dxa"/>
            <w:gridSpan w:val="2"/>
          </w:tcPr>
          <w:p>
            <w:pPr>
              <w:pStyle w:val="nTable"/>
              <w:spacing w:after="40"/>
              <w:ind w:right="113"/>
              <w:rPr>
                <w:i/>
                <w:sz w:val="19"/>
              </w:rPr>
            </w:pPr>
            <w:r>
              <w:rPr>
                <w:i/>
                <w:sz w:val="19"/>
              </w:rPr>
              <w:t>Acts Amendment and Repeal (Competition Policy) Act 2003</w:t>
            </w:r>
            <w:r>
              <w:rPr>
                <w:sz w:val="19"/>
              </w:rPr>
              <w:t xml:space="preserve"> Pt. 9</w:t>
            </w:r>
          </w:p>
        </w:tc>
        <w:tc>
          <w:tcPr>
            <w:tcW w:w="1134" w:type="dxa"/>
            <w:gridSpan w:val="2"/>
          </w:tcPr>
          <w:p>
            <w:pPr>
              <w:pStyle w:val="nTable"/>
              <w:spacing w:after="40"/>
              <w:rPr>
                <w:sz w:val="19"/>
              </w:rPr>
            </w:pPr>
            <w:r>
              <w:rPr>
                <w:sz w:val="19"/>
              </w:rPr>
              <w:t>70 of 2003</w:t>
            </w:r>
          </w:p>
        </w:tc>
        <w:tc>
          <w:tcPr>
            <w:tcW w:w="1134" w:type="dxa"/>
            <w:gridSpan w:val="2"/>
          </w:tcPr>
          <w:p>
            <w:pPr>
              <w:pStyle w:val="nTable"/>
              <w:spacing w:after="40"/>
              <w:rPr>
                <w:sz w:val="19"/>
              </w:rPr>
            </w:pPr>
            <w:r>
              <w:rPr>
                <w:sz w:val="19"/>
              </w:rPr>
              <w:t>15 Dec 2003</w:t>
            </w:r>
          </w:p>
        </w:tc>
        <w:tc>
          <w:tcPr>
            <w:tcW w:w="2552" w:type="dxa"/>
            <w:gridSpan w:val="2"/>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gridSpan w:val="2"/>
          </w:tcPr>
          <w:p>
            <w:pPr>
              <w:pStyle w:val="nTable"/>
              <w:spacing w:after="40"/>
              <w:ind w:right="113"/>
              <w:rPr>
                <w:i/>
                <w:sz w:val="19"/>
              </w:rPr>
            </w:pPr>
            <w:r>
              <w:rPr>
                <w:i/>
                <w:sz w:val="19"/>
              </w:rPr>
              <w:t xml:space="preserve">Revenue Laws Amendment and Repeal Act 2004 </w:t>
            </w:r>
            <w:r>
              <w:rPr>
                <w:iCs/>
                <w:sz w:val="19"/>
              </w:rPr>
              <w:t>s. 39</w:t>
            </w:r>
          </w:p>
        </w:tc>
        <w:tc>
          <w:tcPr>
            <w:tcW w:w="1134" w:type="dxa"/>
            <w:gridSpan w:val="2"/>
          </w:tcPr>
          <w:p>
            <w:pPr>
              <w:pStyle w:val="nTable"/>
              <w:spacing w:after="40"/>
              <w:rPr>
                <w:sz w:val="19"/>
              </w:rPr>
            </w:pPr>
            <w:r>
              <w:rPr>
                <w:sz w:val="19"/>
              </w:rPr>
              <w:t>12 of 2004</w:t>
            </w:r>
          </w:p>
        </w:tc>
        <w:tc>
          <w:tcPr>
            <w:tcW w:w="1134" w:type="dxa"/>
            <w:gridSpan w:val="2"/>
          </w:tcPr>
          <w:p>
            <w:pPr>
              <w:pStyle w:val="nTable"/>
              <w:spacing w:after="40"/>
              <w:rPr>
                <w:sz w:val="19"/>
              </w:rPr>
            </w:pPr>
            <w:r>
              <w:rPr>
                <w:sz w:val="19"/>
              </w:rPr>
              <w:t>29 Jun 2004</w:t>
            </w:r>
          </w:p>
        </w:tc>
        <w:tc>
          <w:tcPr>
            <w:tcW w:w="2552" w:type="dxa"/>
            <w:gridSpan w:val="2"/>
          </w:tcPr>
          <w:p>
            <w:pPr>
              <w:pStyle w:val="nTable"/>
              <w:spacing w:after="40"/>
              <w:rPr>
                <w:sz w:val="19"/>
              </w:rPr>
            </w:pPr>
            <w:r>
              <w:rPr>
                <w:sz w:val="19"/>
              </w:rPr>
              <w:t>29 Jun 2004 (see s. 2(1))</w:t>
            </w:r>
          </w:p>
        </w:tc>
      </w:tr>
      <w:tr>
        <w:trPr>
          <w:cantSplit/>
        </w:trPr>
        <w:tc>
          <w:tcPr>
            <w:tcW w:w="7087" w:type="dxa"/>
            <w:gridSpan w:val="8"/>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34 of 2004</w:t>
            </w:r>
          </w:p>
        </w:tc>
        <w:tc>
          <w:tcPr>
            <w:tcW w:w="1134" w:type="dxa"/>
            <w:gridSpan w:val="2"/>
            <w:tcBorders>
              <w:top w:val="nil"/>
              <w:bottom w:val="nil"/>
            </w:tcBorders>
          </w:tcPr>
          <w:p>
            <w:pPr>
              <w:pStyle w:val="nTable"/>
              <w:spacing w:after="40"/>
              <w:rPr>
                <w:snapToGrid w:val="0"/>
                <w:sz w:val="19"/>
                <w:lang w:val="en-US"/>
              </w:rPr>
            </w:pPr>
            <w:r>
              <w:rPr>
                <w:sz w:val="19"/>
              </w:rPr>
              <w:t>20 Oct 2004</w:t>
            </w:r>
          </w:p>
        </w:tc>
        <w:tc>
          <w:tcPr>
            <w:tcW w:w="2552" w:type="dxa"/>
            <w:gridSpan w:val="2"/>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4" w:type="dxa"/>
            <w:gridSpan w:val="2"/>
            <w:tcBorders>
              <w:top w:val="nil"/>
              <w:bottom w:val="nil"/>
            </w:tcBorders>
          </w:tcPr>
          <w:p>
            <w:pPr>
              <w:pStyle w:val="nTable"/>
              <w:spacing w:after="40"/>
              <w:rPr>
                <w:sz w:val="19"/>
              </w:rPr>
            </w:pPr>
            <w:r>
              <w:rPr>
                <w:snapToGrid w:val="0"/>
                <w:sz w:val="19"/>
                <w:lang w:val="en-US"/>
              </w:rPr>
              <w:t>23 Nov 2004</w:t>
            </w:r>
          </w:p>
        </w:tc>
        <w:tc>
          <w:tcPr>
            <w:tcW w:w="2552" w:type="dxa"/>
            <w:gridSpan w:val="2"/>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7" w:type="dxa"/>
            <w:gridSpan w:val="2"/>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4" w:type="dxa"/>
            <w:gridSpan w:val="2"/>
          </w:tcPr>
          <w:p>
            <w:pPr>
              <w:pStyle w:val="nTable"/>
              <w:spacing w:after="40"/>
              <w:rPr>
                <w:sz w:val="19"/>
              </w:rPr>
            </w:pPr>
            <w:r>
              <w:rPr>
                <w:rFonts w:ascii="Times" w:hAnsi="Times"/>
                <w:sz w:val="19"/>
              </w:rPr>
              <w:t>55 of 2004</w:t>
            </w:r>
          </w:p>
        </w:tc>
        <w:tc>
          <w:tcPr>
            <w:tcW w:w="1134" w:type="dxa"/>
            <w:gridSpan w:val="2"/>
          </w:tcPr>
          <w:p>
            <w:pPr>
              <w:pStyle w:val="nTable"/>
              <w:spacing w:after="40"/>
              <w:rPr>
                <w:sz w:val="19"/>
              </w:rPr>
            </w:pPr>
            <w:r>
              <w:rPr>
                <w:rFonts w:ascii="Times" w:hAnsi="Times"/>
                <w:sz w:val="19"/>
              </w:rPr>
              <w:t>24 Nov 2004</w:t>
            </w:r>
          </w:p>
        </w:tc>
        <w:tc>
          <w:tcPr>
            <w:tcW w:w="2552"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gridSpan w:val="2"/>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rFonts w:ascii="Times" w:hAnsi="Times"/>
                <w:sz w:val="19"/>
              </w:rPr>
            </w:pPr>
            <w:r>
              <w:rPr>
                <w:snapToGrid w:val="0"/>
                <w:sz w:val="19"/>
                <w:lang w:val="en-US"/>
              </w:rPr>
              <w:t>84 of 2004</w:t>
            </w:r>
          </w:p>
        </w:tc>
        <w:tc>
          <w:tcPr>
            <w:tcW w:w="1134" w:type="dxa"/>
            <w:gridSpan w:val="2"/>
          </w:tcPr>
          <w:p>
            <w:pPr>
              <w:pStyle w:val="nTable"/>
              <w:spacing w:after="40"/>
              <w:rPr>
                <w:rFonts w:ascii="Times" w:hAnsi="Times"/>
                <w:sz w:val="19"/>
              </w:rPr>
            </w:pPr>
            <w:r>
              <w:rPr>
                <w:sz w:val="19"/>
              </w:rPr>
              <w:t>16 Dec 2004</w:t>
            </w:r>
          </w:p>
        </w:tc>
        <w:tc>
          <w:tcPr>
            <w:tcW w:w="2552"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gridSpan w:val="2"/>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4" w:type="dxa"/>
            <w:gridSpan w:val="2"/>
          </w:tcPr>
          <w:p>
            <w:pPr>
              <w:pStyle w:val="nTable"/>
              <w:spacing w:after="40"/>
              <w:rPr>
                <w:rFonts w:ascii="Times" w:hAnsi="Times"/>
                <w:sz w:val="19"/>
              </w:rPr>
            </w:pPr>
            <w:r>
              <w:rPr>
                <w:rFonts w:ascii="Times" w:hAnsi="Times"/>
                <w:sz w:val="19"/>
              </w:rPr>
              <w:t>28 of 2006</w:t>
            </w:r>
          </w:p>
        </w:tc>
        <w:tc>
          <w:tcPr>
            <w:tcW w:w="1134" w:type="dxa"/>
            <w:gridSpan w:val="2"/>
          </w:tcPr>
          <w:p>
            <w:pPr>
              <w:pStyle w:val="nTable"/>
              <w:spacing w:after="40"/>
              <w:rPr>
                <w:rFonts w:ascii="Times" w:hAnsi="Times"/>
                <w:sz w:val="19"/>
              </w:rPr>
            </w:pPr>
            <w:r>
              <w:rPr>
                <w:rFonts w:ascii="Times" w:hAnsi="Times"/>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8"/>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2008 (see s. 2(d))</w:t>
            </w:r>
          </w:p>
        </w:tc>
      </w:tr>
      <w:tr>
        <w:trPr>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2009 (see s. 2(b))</w:t>
            </w:r>
          </w:p>
        </w:tc>
      </w:tr>
      <w:tr>
        <w:trPr>
          <w:cantSplit/>
        </w:trPr>
        <w:tc>
          <w:tcPr>
            <w:tcW w:w="2267"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2" w:type="dxa"/>
            <w:gridSpan w:val="2"/>
          </w:tcPr>
          <w:p>
            <w:pPr>
              <w:pStyle w:val="nTable"/>
              <w:spacing w:after="40"/>
              <w:rPr>
                <w:sz w:val="19"/>
              </w:rPr>
            </w:pPr>
            <w:r>
              <w:rPr>
                <w:sz w:val="19"/>
              </w:rPr>
              <w:t>17 Sep 2009 (see s. 2(b))</w:t>
            </w:r>
          </w:p>
        </w:tc>
      </w:tr>
      <w:tr>
        <w:trPr>
          <w:cantSplit/>
        </w:trPr>
        <w:tc>
          <w:tcPr>
            <w:tcW w:w="2267" w:type="dxa"/>
            <w:gridSpan w:val="2"/>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 xml:space="preserve">1 Jul 2010 (see s. 2(b) and </w:t>
            </w:r>
            <w:r>
              <w:rPr>
                <w:i/>
                <w:iCs/>
                <w:sz w:val="19"/>
              </w:rPr>
              <w:t xml:space="preserve">Gazette </w:t>
            </w:r>
            <w:r>
              <w:rPr>
                <w:sz w:val="19"/>
              </w:rPr>
              <w:t>30 Jun 2010 p. 3185)</w:t>
            </w:r>
          </w:p>
        </w:tc>
      </w:tr>
    </w:tbl>
    <w:p>
      <w:pPr>
        <w:pStyle w:val="nSubsection"/>
        <w:keepLines/>
        <w:rPr>
          <w:del w:id="1151" w:author="svcMRProcess" w:date="2020-02-17T01:46:00Z"/>
          <w:vertAlign w:val="superscript"/>
        </w:rPr>
      </w:pPr>
    </w:p>
    <w:p>
      <w:pPr>
        <w:pStyle w:val="nSubsection"/>
        <w:tabs>
          <w:tab w:val="clear" w:pos="454"/>
          <w:tab w:val="left" w:pos="567"/>
        </w:tabs>
        <w:spacing w:before="120"/>
        <w:ind w:left="567" w:hanging="567"/>
        <w:rPr>
          <w:del w:id="1152" w:author="svcMRProcess" w:date="2020-02-17T01:46:00Z"/>
          <w:snapToGrid w:val="0"/>
        </w:rPr>
      </w:pPr>
      <w:del w:id="1153" w:author="svcMRProcess" w:date="2020-02-17T01:4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154" w:author="svcMRProcess" w:date="2020-02-17T01:46:00Z"/>
        </w:rPr>
      </w:pPr>
      <w:bookmarkStart w:id="1155" w:name="_Toc7405065"/>
      <w:bookmarkStart w:id="1156" w:name="_Toc267656188"/>
      <w:del w:id="1157" w:author="svcMRProcess" w:date="2020-02-17T01:46:00Z">
        <w:r>
          <w:delText>Provisions that have not come into operation</w:delText>
        </w:r>
        <w:bookmarkEnd w:id="1155"/>
        <w:bookmarkEnd w:id="1156"/>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7"/>
        <w:gridCol w:w="1129"/>
        <w:gridCol w:w="1130"/>
        <w:gridCol w:w="2539"/>
      </w:tblGrid>
      <w:tr>
        <w:trPr>
          <w:del w:id="1158" w:author="svcMRProcess" w:date="2020-02-17T01:46:00Z"/>
        </w:trPr>
        <w:tc>
          <w:tcPr>
            <w:tcW w:w="2266" w:type="dxa"/>
          </w:tcPr>
          <w:p>
            <w:pPr>
              <w:pStyle w:val="nTable"/>
              <w:spacing w:after="40"/>
              <w:rPr>
                <w:del w:id="1159" w:author="svcMRProcess" w:date="2020-02-17T01:46:00Z"/>
                <w:b/>
                <w:snapToGrid w:val="0"/>
                <w:sz w:val="19"/>
                <w:lang w:val="en-US"/>
              </w:rPr>
            </w:pPr>
            <w:del w:id="1160" w:author="svcMRProcess" w:date="2020-02-17T01:46:00Z">
              <w:r>
                <w:rPr>
                  <w:b/>
                  <w:snapToGrid w:val="0"/>
                  <w:sz w:val="19"/>
                  <w:lang w:val="en-US"/>
                </w:rPr>
                <w:delText>Short title</w:delText>
              </w:r>
            </w:del>
          </w:p>
        </w:tc>
        <w:tc>
          <w:tcPr>
            <w:tcW w:w="1120" w:type="dxa"/>
          </w:tcPr>
          <w:p>
            <w:pPr>
              <w:pStyle w:val="nTable"/>
              <w:spacing w:after="40"/>
              <w:rPr>
                <w:del w:id="1161" w:author="svcMRProcess" w:date="2020-02-17T01:46:00Z"/>
                <w:b/>
                <w:snapToGrid w:val="0"/>
                <w:sz w:val="19"/>
                <w:lang w:val="en-US"/>
              </w:rPr>
            </w:pPr>
            <w:del w:id="1162" w:author="svcMRProcess" w:date="2020-02-17T01:46:00Z">
              <w:r>
                <w:rPr>
                  <w:b/>
                  <w:snapToGrid w:val="0"/>
                  <w:sz w:val="19"/>
                  <w:lang w:val="en-US"/>
                </w:rPr>
                <w:delText>Number and year</w:delText>
              </w:r>
            </w:del>
          </w:p>
        </w:tc>
        <w:tc>
          <w:tcPr>
            <w:tcW w:w="1135" w:type="dxa"/>
          </w:tcPr>
          <w:p>
            <w:pPr>
              <w:pStyle w:val="nTable"/>
              <w:spacing w:after="40"/>
              <w:rPr>
                <w:del w:id="1163" w:author="svcMRProcess" w:date="2020-02-17T01:46:00Z"/>
                <w:b/>
                <w:snapToGrid w:val="0"/>
                <w:sz w:val="19"/>
                <w:lang w:val="en-US"/>
              </w:rPr>
            </w:pPr>
            <w:del w:id="1164" w:author="svcMRProcess" w:date="2020-02-17T01:46:00Z">
              <w:r>
                <w:rPr>
                  <w:b/>
                  <w:snapToGrid w:val="0"/>
                  <w:sz w:val="19"/>
                  <w:lang w:val="en-US"/>
                </w:rPr>
                <w:delText>Assent</w:delText>
              </w:r>
            </w:del>
          </w:p>
        </w:tc>
        <w:tc>
          <w:tcPr>
            <w:tcW w:w="2534" w:type="dxa"/>
          </w:tcPr>
          <w:p>
            <w:pPr>
              <w:pStyle w:val="nTable"/>
              <w:spacing w:after="40"/>
              <w:rPr>
                <w:del w:id="1165" w:author="svcMRProcess" w:date="2020-02-17T01:46:00Z"/>
                <w:b/>
                <w:snapToGrid w:val="0"/>
                <w:sz w:val="19"/>
                <w:lang w:val="en-US"/>
              </w:rPr>
            </w:pPr>
            <w:del w:id="1166" w:author="svcMRProcess" w:date="2020-02-17T01:46: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7" w:type="dxa"/>
            <w:tcBorders>
              <w:bottom w:val="single" w:sz="8"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19 and 51</w:t>
            </w:r>
            <w:del w:id="1167" w:author="svcMRProcess" w:date="2020-02-17T01:46:00Z">
              <w:r>
                <w:rPr>
                  <w:iCs/>
                  <w:snapToGrid w:val="0"/>
                  <w:sz w:val="19"/>
                  <w:vertAlign w:val="superscript"/>
                  <w:lang w:val="en-US"/>
                </w:rPr>
                <w:delText> 5</w:delText>
              </w:r>
            </w:del>
          </w:p>
        </w:tc>
        <w:tc>
          <w:tcPr>
            <w:tcW w:w="1134" w:type="dxa"/>
            <w:tcBorders>
              <w:bottom w:val="single" w:sz="8" w:space="0" w:color="auto"/>
            </w:tcBorders>
          </w:tcPr>
          <w:p>
            <w:pPr>
              <w:pStyle w:val="nTable"/>
              <w:spacing w:after="40"/>
              <w:rPr>
                <w:snapToGrid w:val="0"/>
                <w:sz w:val="19"/>
                <w:lang w:val="en-US"/>
              </w:rPr>
            </w:pPr>
            <w:r>
              <w:rPr>
                <w:snapToGrid w:val="0"/>
                <w:sz w:val="19"/>
                <w:lang w:val="en-US"/>
              </w:rPr>
              <w:t>19 of 2010</w:t>
            </w:r>
          </w:p>
        </w:tc>
        <w:tc>
          <w:tcPr>
            <w:tcW w:w="1134" w:type="dxa"/>
            <w:tcBorders>
              <w:bottom w:val="single" w:sz="8" w:space="0" w:color="auto"/>
            </w:tcBorders>
          </w:tcPr>
          <w:p>
            <w:pPr>
              <w:pStyle w:val="nTable"/>
              <w:spacing w:after="40"/>
              <w:rPr>
                <w:snapToGrid w:val="0"/>
                <w:sz w:val="19"/>
                <w:lang w:val="en-US"/>
              </w:rPr>
            </w:pPr>
            <w:r>
              <w:rPr>
                <w:snapToGrid w:val="0"/>
                <w:sz w:val="19"/>
                <w:lang w:val="en-US"/>
              </w:rPr>
              <w:t>28 Jun 2010</w:t>
            </w:r>
          </w:p>
        </w:tc>
        <w:tc>
          <w:tcPr>
            <w:tcW w:w="2551" w:type="dxa"/>
            <w:tcBorders>
              <w:bottom w:val="single" w:sz="8" w:space="0" w:color="auto"/>
            </w:tcBorders>
          </w:tcPr>
          <w:p>
            <w:pPr>
              <w:pStyle w:val="nTable"/>
              <w:spacing w:after="40"/>
              <w:rPr>
                <w:snapToGrid w:val="0"/>
                <w:sz w:val="19"/>
                <w:lang w:val="en-US"/>
              </w:rPr>
            </w:pPr>
            <w:del w:id="1168" w:author="svcMRProcess" w:date="2020-02-17T01:46:00Z">
              <w:r>
                <w:rPr>
                  <w:snapToGrid w:val="0"/>
                  <w:sz w:val="19"/>
                  <w:lang w:val="en-US"/>
                </w:rPr>
                <w:delText>To be proclaimed</w:delText>
              </w:r>
            </w:del>
            <w:ins w:id="1169" w:author="svcMRProcess" w:date="2020-02-17T01:46:00Z">
              <w:r>
                <w:rPr>
                  <w:snapToGrid w:val="0"/>
                  <w:sz w:val="19"/>
                  <w:lang w:val="en-US"/>
                </w:rPr>
                <w:t>11 Sep 2010</w:t>
              </w:r>
            </w:ins>
            <w:r>
              <w:rPr>
                <w:snapToGrid w:val="0"/>
                <w:sz w:val="19"/>
                <w:lang w:val="en-US"/>
              </w:rPr>
              <w:t xml:space="preserve"> (see s. 2(b</w:t>
            </w:r>
            <w:del w:id="1170" w:author="svcMRProcess" w:date="2020-02-17T01:46:00Z">
              <w:r>
                <w:rPr>
                  <w:snapToGrid w:val="0"/>
                  <w:sz w:val="19"/>
                  <w:lang w:val="en-US"/>
                </w:rPr>
                <w:delText>))</w:delText>
              </w:r>
            </w:del>
            <w:ins w:id="1171" w:author="svcMRProcess" w:date="2020-02-17T01:46:00Z">
              <w:r>
                <w:rPr>
                  <w:snapToGrid w:val="0"/>
                  <w:sz w:val="19"/>
                  <w:lang w:val="en-US"/>
                </w:rPr>
                <w:t xml:space="preserve">) and </w:t>
              </w:r>
              <w:r>
                <w:rPr>
                  <w:i/>
                  <w:iCs/>
                  <w:snapToGrid w:val="0"/>
                  <w:sz w:val="19"/>
                  <w:lang w:val="en-US"/>
                </w:rPr>
                <w:t>Gazette</w:t>
              </w:r>
              <w:r>
                <w:rPr>
                  <w:snapToGrid w:val="0"/>
                  <w:sz w:val="19"/>
                  <w:lang w:val="en-US"/>
                </w:rPr>
                <w:t xml:space="preserve"> 10 Sep 2</w:t>
              </w:r>
              <w:bookmarkStart w:id="1172" w:name="UpToHere"/>
              <w:bookmarkEnd w:id="1172"/>
              <w:r>
                <w:rPr>
                  <w:snapToGrid w:val="0"/>
                  <w:sz w:val="19"/>
                  <w:lang w:val="en-US"/>
                </w:rPr>
                <w:t>010 p. 4341)</w:t>
              </w:r>
            </w:ins>
          </w:p>
        </w:tc>
      </w:tr>
    </w:tbl>
    <w:p>
      <w:pPr>
        <w:pStyle w:val="nSubsection"/>
        <w:keepLines/>
        <w:rPr>
          <w:vertAlign w:val="superscript"/>
        </w:rPr>
      </w:pPr>
    </w:p>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pStyle w:val="nSubsection"/>
        <w:rPr>
          <w:del w:id="1173" w:author="svcMRProcess" w:date="2020-02-17T01:46:00Z"/>
          <w:snapToGrid w:val="0"/>
        </w:rPr>
      </w:pPr>
      <w:bookmarkStart w:id="1174" w:name="AutoSch"/>
      <w:bookmarkEnd w:id="1174"/>
      <w:del w:id="1175" w:author="svcMRProcess" w:date="2020-02-17T01:46:00Z">
        <w:r>
          <w:rPr>
            <w:snapToGrid w:val="0"/>
            <w:vertAlign w:val="superscript"/>
          </w:rPr>
          <w:delText>5</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19 and 51 had not come into operation.  They read as follows:</w:delText>
        </w:r>
      </w:del>
    </w:p>
    <w:p>
      <w:pPr>
        <w:pStyle w:val="BlankOpen"/>
        <w:rPr>
          <w:del w:id="1176" w:author="svcMRProcess" w:date="2020-02-17T01:46:00Z"/>
        </w:rPr>
      </w:pPr>
    </w:p>
    <w:p>
      <w:pPr>
        <w:pStyle w:val="nzHeading5"/>
        <w:rPr>
          <w:del w:id="1177" w:author="svcMRProcess" w:date="2020-02-17T01:46:00Z"/>
          <w:rFonts w:eastAsia="MS Mincho"/>
        </w:rPr>
      </w:pPr>
      <w:bookmarkStart w:id="1178" w:name="_Toc233107735"/>
      <w:bookmarkStart w:id="1179" w:name="_Toc255473713"/>
      <w:bookmarkStart w:id="1180" w:name="_Toc265583768"/>
      <w:del w:id="1181" w:author="svcMRProcess" w:date="2020-02-17T01:46:00Z">
        <w:r>
          <w:rPr>
            <w:rStyle w:val="CharSectno"/>
            <w:rFonts w:eastAsia="MS Mincho"/>
          </w:rPr>
          <w:delText>19</w:delText>
        </w:r>
        <w:r>
          <w:rPr>
            <w:rFonts w:eastAsia="MS Mincho"/>
          </w:rPr>
          <w:delText>.</w:delText>
        </w:r>
        <w:r>
          <w:rPr>
            <w:rFonts w:eastAsia="MS Mincho"/>
          </w:rPr>
          <w:tab/>
        </w:r>
        <w:r>
          <w:rPr>
            <w:rFonts w:eastAsia="MS Mincho"/>
            <w:i/>
            <w:iCs/>
          </w:rPr>
          <w:delText>Hire</w:delText>
        </w:r>
        <w:r>
          <w:rPr>
            <w:rFonts w:eastAsia="MS Mincho"/>
            <w:i/>
            <w:iCs/>
          </w:rPr>
          <w:noBreakHyphen/>
          <w:delText>Purchase Act 1959</w:delText>
        </w:r>
        <w:r>
          <w:rPr>
            <w:rFonts w:eastAsia="MS Mincho"/>
            <w:b w:val="0"/>
            <w:bCs/>
          </w:rPr>
          <w:delText xml:space="preserve"> </w:delText>
        </w:r>
        <w:r>
          <w:rPr>
            <w:rFonts w:eastAsia="MS Mincho"/>
          </w:rPr>
          <w:delText>amended</w:delText>
        </w:r>
        <w:bookmarkEnd w:id="1178"/>
        <w:bookmarkEnd w:id="1179"/>
        <w:bookmarkEnd w:id="1180"/>
      </w:del>
    </w:p>
    <w:p>
      <w:pPr>
        <w:pStyle w:val="nzSubsection"/>
        <w:rPr>
          <w:del w:id="1182" w:author="svcMRProcess" w:date="2020-02-17T01:46:00Z"/>
          <w:rFonts w:eastAsia="MS Mincho"/>
        </w:rPr>
      </w:pPr>
      <w:del w:id="1183" w:author="svcMRProcess" w:date="2020-02-17T01:46:00Z">
        <w:r>
          <w:rPr>
            <w:rFonts w:eastAsia="MS Mincho"/>
          </w:rPr>
          <w:tab/>
          <w:delText>(1)</w:delText>
        </w:r>
        <w:r>
          <w:rPr>
            <w:rFonts w:eastAsia="MS Mincho"/>
          </w:rPr>
          <w:tab/>
          <w:delText xml:space="preserve">This section amends the </w:delText>
        </w:r>
        <w:r>
          <w:rPr>
            <w:rFonts w:eastAsia="MS Mincho"/>
            <w:i/>
            <w:iCs/>
          </w:rPr>
          <w:delText>Hire</w:delText>
        </w:r>
        <w:r>
          <w:rPr>
            <w:rFonts w:eastAsia="MS Mincho"/>
            <w:i/>
            <w:iCs/>
          </w:rPr>
          <w:noBreakHyphen/>
          <w:delText>Purchase Act 1959</w:delText>
        </w:r>
        <w:r>
          <w:rPr>
            <w:rFonts w:eastAsia="MS Mincho"/>
          </w:rPr>
          <w:delText>.</w:delText>
        </w:r>
      </w:del>
    </w:p>
    <w:p>
      <w:pPr>
        <w:pStyle w:val="nzSubsection"/>
        <w:rPr>
          <w:del w:id="1184" w:author="svcMRProcess" w:date="2020-02-17T01:46:00Z"/>
          <w:rFonts w:eastAsia="MS Mincho"/>
        </w:rPr>
      </w:pPr>
      <w:del w:id="1185" w:author="svcMRProcess" w:date="2020-02-17T01:46:00Z">
        <w:r>
          <w:rPr>
            <w:rFonts w:eastAsia="MS Mincho"/>
          </w:rPr>
          <w:tab/>
          <w:delText>(2)</w:delText>
        </w:r>
        <w:r>
          <w:rPr>
            <w:rFonts w:eastAsia="MS Mincho"/>
          </w:rPr>
          <w:tab/>
          <w:delText>In section 3(1) delete “the First Part of the First Schedule,” and insert:</w:delText>
        </w:r>
      </w:del>
    </w:p>
    <w:p>
      <w:pPr>
        <w:pStyle w:val="BlankOpen"/>
        <w:rPr>
          <w:del w:id="1186" w:author="svcMRProcess" w:date="2020-02-17T01:46:00Z"/>
          <w:rFonts w:eastAsia="MS Mincho"/>
        </w:rPr>
      </w:pPr>
    </w:p>
    <w:p>
      <w:pPr>
        <w:pStyle w:val="nzSubsection"/>
        <w:rPr>
          <w:del w:id="1187" w:author="svcMRProcess" w:date="2020-02-17T01:46:00Z"/>
          <w:rFonts w:eastAsia="MS Mincho"/>
        </w:rPr>
      </w:pPr>
      <w:del w:id="1188" w:author="svcMRProcess" w:date="2020-02-17T01:46:00Z">
        <w:r>
          <w:rPr>
            <w:rFonts w:eastAsia="MS Mincho"/>
          </w:rPr>
          <w:tab/>
        </w:r>
        <w:r>
          <w:rPr>
            <w:rFonts w:eastAsia="MS Mincho"/>
          </w:rPr>
          <w:tab/>
          <w:delText>the First Schedule Part 1,</w:delText>
        </w:r>
      </w:del>
    </w:p>
    <w:p>
      <w:pPr>
        <w:pStyle w:val="BlankClose"/>
        <w:rPr>
          <w:del w:id="1189" w:author="svcMRProcess" w:date="2020-02-17T01:46:00Z"/>
          <w:rFonts w:eastAsia="MS Mincho"/>
        </w:rPr>
      </w:pPr>
    </w:p>
    <w:p>
      <w:pPr>
        <w:pStyle w:val="nzSubsection"/>
        <w:rPr>
          <w:del w:id="1190" w:author="svcMRProcess" w:date="2020-02-17T01:46:00Z"/>
          <w:rFonts w:eastAsia="MS Mincho"/>
        </w:rPr>
      </w:pPr>
      <w:del w:id="1191" w:author="svcMRProcess" w:date="2020-02-17T01:46:00Z">
        <w:r>
          <w:rPr>
            <w:rFonts w:eastAsia="MS Mincho"/>
          </w:rPr>
          <w:tab/>
          <w:delText>(3)</w:delText>
        </w:r>
        <w:r>
          <w:rPr>
            <w:rFonts w:eastAsia="MS Mincho"/>
          </w:rPr>
          <w:tab/>
          <w:delText>In section 3(1a) delete “the First Part of the First Schedule.” and insert:</w:delText>
        </w:r>
      </w:del>
    </w:p>
    <w:p>
      <w:pPr>
        <w:pStyle w:val="BlankOpen"/>
        <w:rPr>
          <w:del w:id="1192" w:author="svcMRProcess" w:date="2020-02-17T01:46:00Z"/>
          <w:rFonts w:eastAsia="MS Mincho"/>
        </w:rPr>
      </w:pPr>
    </w:p>
    <w:p>
      <w:pPr>
        <w:pStyle w:val="nzSubsection"/>
        <w:rPr>
          <w:del w:id="1193" w:author="svcMRProcess" w:date="2020-02-17T01:46:00Z"/>
          <w:rFonts w:eastAsia="MS Mincho"/>
        </w:rPr>
      </w:pPr>
      <w:del w:id="1194" w:author="svcMRProcess" w:date="2020-02-17T01:46:00Z">
        <w:r>
          <w:rPr>
            <w:rFonts w:eastAsia="MS Mincho"/>
          </w:rPr>
          <w:tab/>
        </w:r>
        <w:r>
          <w:rPr>
            <w:rFonts w:eastAsia="MS Mincho"/>
          </w:rPr>
          <w:tab/>
          <w:delText>the First Schedule Part 1.</w:delText>
        </w:r>
      </w:del>
    </w:p>
    <w:p>
      <w:pPr>
        <w:pStyle w:val="BlankClose"/>
        <w:rPr>
          <w:del w:id="1195" w:author="svcMRProcess" w:date="2020-02-17T01:46:00Z"/>
          <w:rFonts w:eastAsia="MS Mincho"/>
        </w:rPr>
      </w:pPr>
    </w:p>
    <w:p>
      <w:pPr>
        <w:pStyle w:val="nzSubsection"/>
        <w:rPr>
          <w:del w:id="1196" w:author="svcMRProcess" w:date="2020-02-17T01:46:00Z"/>
          <w:rFonts w:eastAsia="MS Mincho"/>
        </w:rPr>
      </w:pPr>
      <w:del w:id="1197" w:author="svcMRProcess" w:date="2020-02-17T01:46:00Z">
        <w:r>
          <w:rPr>
            <w:rFonts w:eastAsia="MS Mincho"/>
          </w:rPr>
          <w:tab/>
          <w:delText>(4)</w:delText>
        </w:r>
        <w:r>
          <w:rPr>
            <w:rFonts w:eastAsia="MS Mincho"/>
          </w:rPr>
          <w:tab/>
          <w:delText>In section 3(6) delete “the Second Part of the First Schedule” and insert:</w:delText>
        </w:r>
      </w:del>
    </w:p>
    <w:p>
      <w:pPr>
        <w:pStyle w:val="BlankOpen"/>
        <w:rPr>
          <w:del w:id="1198" w:author="svcMRProcess" w:date="2020-02-17T01:46:00Z"/>
          <w:rFonts w:eastAsia="MS Mincho"/>
        </w:rPr>
      </w:pPr>
    </w:p>
    <w:p>
      <w:pPr>
        <w:pStyle w:val="nzSubsection"/>
        <w:rPr>
          <w:del w:id="1199" w:author="svcMRProcess" w:date="2020-02-17T01:46:00Z"/>
          <w:rFonts w:eastAsia="MS Mincho"/>
        </w:rPr>
      </w:pPr>
      <w:del w:id="1200" w:author="svcMRProcess" w:date="2020-02-17T01:46:00Z">
        <w:r>
          <w:rPr>
            <w:rFonts w:eastAsia="MS Mincho"/>
          </w:rPr>
          <w:tab/>
        </w:r>
        <w:r>
          <w:rPr>
            <w:rFonts w:eastAsia="MS Mincho"/>
          </w:rPr>
          <w:tab/>
          <w:delText>the First Schedule Part 2</w:delText>
        </w:r>
      </w:del>
    </w:p>
    <w:p>
      <w:pPr>
        <w:pStyle w:val="BlankClose"/>
        <w:rPr>
          <w:del w:id="1201" w:author="svcMRProcess" w:date="2020-02-17T01:46:00Z"/>
          <w:rFonts w:eastAsia="MS Mincho"/>
        </w:rPr>
      </w:pPr>
    </w:p>
    <w:p>
      <w:pPr>
        <w:pStyle w:val="nzSubsection"/>
        <w:rPr>
          <w:del w:id="1202" w:author="svcMRProcess" w:date="2020-02-17T01:46:00Z"/>
          <w:rFonts w:eastAsia="MS Mincho"/>
        </w:rPr>
      </w:pPr>
      <w:del w:id="1203" w:author="svcMRProcess" w:date="2020-02-17T01:46:00Z">
        <w:r>
          <w:rPr>
            <w:rFonts w:eastAsia="MS Mincho"/>
          </w:rPr>
          <w:tab/>
          <w:delText>(5)</w:delText>
        </w:r>
        <w:r>
          <w:rPr>
            <w:rFonts w:eastAsia="MS Mincho"/>
          </w:rPr>
          <w:tab/>
          <w:delText>In the First Schedule:</w:delText>
        </w:r>
      </w:del>
    </w:p>
    <w:p>
      <w:pPr>
        <w:pStyle w:val="nzIndenta"/>
        <w:rPr>
          <w:del w:id="1204" w:author="svcMRProcess" w:date="2020-02-17T01:46:00Z"/>
          <w:rFonts w:eastAsia="MS Mincho"/>
        </w:rPr>
      </w:pPr>
      <w:del w:id="1205" w:author="svcMRProcess" w:date="2020-02-17T01:46:00Z">
        <w:r>
          <w:rPr>
            <w:rFonts w:eastAsia="MS Mincho"/>
          </w:rPr>
          <w:tab/>
          <w:delText>(a)</w:delText>
        </w:r>
        <w:r>
          <w:rPr>
            <w:rFonts w:eastAsia="MS Mincho"/>
          </w:rPr>
          <w:tab/>
          <w:delText>delete “</w:delText>
        </w:r>
        <w:r>
          <w:rPr>
            <w:rFonts w:eastAsia="MS Mincho"/>
            <w:b/>
            <w:sz w:val="28"/>
          </w:rPr>
          <w:delText>First Schedule — First Part</w:delText>
        </w:r>
        <w:r>
          <w:rPr>
            <w:rFonts w:eastAsia="MS Mincho"/>
          </w:rPr>
          <w:delText>”;</w:delText>
        </w:r>
      </w:del>
    </w:p>
    <w:p>
      <w:pPr>
        <w:pStyle w:val="nzIndenta"/>
        <w:rPr>
          <w:del w:id="1206" w:author="svcMRProcess" w:date="2020-02-17T01:46:00Z"/>
          <w:rFonts w:eastAsia="MS Mincho"/>
        </w:rPr>
      </w:pPr>
      <w:del w:id="1207" w:author="svcMRProcess" w:date="2020-02-17T01:46:00Z">
        <w:r>
          <w:rPr>
            <w:rFonts w:eastAsia="MS Mincho"/>
          </w:rPr>
          <w:tab/>
          <w:delText>(b)</w:delText>
        </w:r>
        <w:r>
          <w:rPr>
            <w:rFonts w:eastAsia="MS Mincho"/>
          </w:rPr>
          <w:tab/>
          <w:delText>delete “</w:delText>
        </w:r>
        <w:r>
          <w:rPr>
            <w:rFonts w:eastAsia="MS Mincho"/>
            <w:sz w:val="22"/>
          </w:rPr>
          <w:delText>[s. 3(1)]</w:delText>
        </w:r>
        <w:r>
          <w:rPr>
            <w:rFonts w:eastAsia="MS Mincho"/>
          </w:rPr>
          <w:delText>”;</w:delText>
        </w:r>
      </w:del>
    </w:p>
    <w:p>
      <w:pPr>
        <w:pStyle w:val="nzIndenta"/>
        <w:rPr>
          <w:del w:id="1208" w:author="svcMRProcess" w:date="2020-02-17T01:46:00Z"/>
          <w:rFonts w:eastAsia="MS Mincho"/>
        </w:rPr>
      </w:pPr>
      <w:del w:id="1209" w:author="svcMRProcess" w:date="2020-02-17T01:46:00Z">
        <w:r>
          <w:rPr>
            <w:rFonts w:eastAsia="MS Mincho"/>
          </w:rPr>
          <w:tab/>
          <w:delText>(c)</w:delText>
        </w:r>
        <w:r>
          <w:rPr>
            <w:rFonts w:eastAsia="MS Mincho"/>
          </w:rPr>
          <w:tab/>
          <w:delText>delete “</w:delText>
        </w:r>
        <w:r>
          <w:rPr>
            <w:rFonts w:eastAsia="MS Mincho"/>
            <w:b/>
            <w:bCs/>
            <w:i/>
            <w:sz w:val="22"/>
          </w:rPr>
          <w:delText>Hire</w:delText>
        </w:r>
        <w:r>
          <w:rPr>
            <w:rFonts w:eastAsia="MS Mincho"/>
            <w:b/>
            <w:bCs/>
            <w:i/>
            <w:sz w:val="22"/>
          </w:rPr>
          <w:noBreakHyphen/>
          <w:delText>Purchase Act 1959</w:delText>
        </w:r>
        <w:r>
          <w:rPr>
            <w:rFonts w:eastAsia="MS Mincho"/>
          </w:rPr>
          <w:delText>” (first occurrence),</w:delText>
        </w:r>
      </w:del>
    </w:p>
    <w:p>
      <w:pPr>
        <w:pStyle w:val="nzSubsection"/>
        <w:rPr>
          <w:del w:id="1210" w:author="svcMRProcess" w:date="2020-02-17T01:46:00Z"/>
          <w:rFonts w:eastAsia="MS Mincho"/>
        </w:rPr>
      </w:pPr>
      <w:del w:id="1211" w:author="svcMRProcess" w:date="2020-02-17T01:46:00Z">
        <w:r>
          <w:rPr>
            <w:rFonts w:eastAsia="MS Mincho"/>
          </w:rPr>
          <w:tab/>
        </w:r>
        <w:r>
          <w:rPr>
            <w:rFonts w:eastAsia="MS Mincho"/>
          </w:rPr>
          <w:tab/>
          <w:delText>and insert:</w:delText>
        </w:r>
      </w:del>
    </w:p>
    <w:p>
      <w:pPr>
        <w:pStyle w:val="BlankOpen"/>
        <w:rPr>
          <w:del w:id="1212" w:author="svcMRProcess" w:date="2020-02-17T01:46:00Z"/>
        </w:rPr>
      </w:pPr>
    </w:p>
    <w:p>
      <w:pPr>
        <w:pStyle w:val="nzHeading2"/>
        <w:rPr>
          <w:del w:id="1213" w:author="svcMRProcess" w:date="2020-02-17T01:46:00Z"/>
          <w:rFonts w:eastAsia="MS Mincho"/>
        </w:rPr>
      </w:pPr>
      <w:bookmarkStart w:id="1214" w:name="_Toc232235507"/>
      <w:bookmarkStart w:id="1215" w:name="_Toc232235705"/>
      <w:bookmarkStart w:id="1216" w:name="_Toc233100575"/>
      <w:bookmarkStart w:id="1217" w:name="_Toc233107736"/>
      <w:del w:id="1218" w:author="svcMRProcess" w:date="2020-02-17T01:46:00Z">
        <w:r>
          <w:rPr>
            <w:rFonts w:eastAsia="MS Mincho"/>
          </w:rPr>
          <w:delText>First Schedule — Statement to be given to hirer</w:delText>
        </w:r>
        <w:bookmarkEnd w:id="1214"/>
        <w:bookmarkEnd w:id="1215"/>
        <w:bookmarkEnd w:id="1216"/>
        <w:bookmarkEnd w:id="1217"/>
      </w:del>
    </w:p>
    <w:p>
      <w:pPr>
        <w:pStyle w:val="nzMiscellaneousBody"/>
        <w:jc w:val="right"/>
        <w:rPr>
          <w:del w:id="1219" w:author="svcMRProcess" w:date="2020-02-17T01:46:00Z"/>
          <w:rFonts w:eastAsia="MS Mincho"/>
        </w:rPr>
      </w:pPr>
      <w:del w:id="1220" w:author="svcMRProcess" w:date="2020-02-17T01:46:00Z">
        <w:r>
          <w:rPr>
            <w:rFonts w:eastAsia="MS Mincho"/>
          </w:rPr>
          <w:delText>[s. 3]</w:delText>
        </w:r>
      </w:del>
    </w:p>
    <w:p>
      <w:pPr>
        <w:pStyle w:val="nzHeading3"/>
        <w:rPr>
          <w:del w:id="1221" w:author="svcMRProcess" w:date="2020-02-17T01:46:00Z"/>
        </w:rPr>
      </w:pPr>
      <w:bookmarkStart w:id="1222" w:name="_Toc232235508"/>
      <w:bookmarkStart w:id="1223" w:name="_Toc232235706"/>
      <w:bookmarkStart w:id="1224" w:name="_Toc233100576"/>
      <w:bookmarkStart w:id="1225" w:name="_Toc233107737"/>
      <w:del w:id="1226" w:author="svcMRProcess" w:date="2020-02-17T01:46:00Z">
        <w:r>
          <w:delText>Part 1 — Form of statement</w:delText>
        </w:r>
        <w:bookmarkEnd w:id="1222"/>
        <w:bookmarkEnd w:id="1223"/>
        <w:bookmarkEnd w:id="1224"/>
        <w:bookmarkEnd w:id="1225"/>
      </w:del>
    </w:p>
    <w:p>
      <w:pPr>
        <w:pStyle w:val="BlankClose"/>
        <w:rPr>
          <w:del w:id="1227" w:author="svcMRProcess" w:date="2020-02-17T01:46:00Z"/>
        </w:rPr>
      </w:pPr>
    </w:p>
    <w:p>
      <w:pPr>
        <w:pStyle w:val="nzSubsection"/>
        <w:rPr>
          <w:del w:id="1228" w:author="svcMRProcess" w:date="2020-02-17T01:46:00Z"/>
          <w:rFonts w:eastAsia="MS Mincho"/>
        </w:rPr>
      </w:pPr>
      <w:del w:id="1229" w:author="svcMRProcess" w:date="2020-02-17T01:46:00Z">
        <w:r>
          <w:rPr>
            <w:rFonts w:eastAsia="MS Mincho"/>
          </w:rPr>
          <w:tab/>
          <w:delText>(6)</w:delText>
        </w:r>
        <w:r>
          <w:rPr>
            <w:rFonts w:eastAsia="MS Mincho"/>
          </w:rPr>
          <w:tab/>
          <w:delText>In the First Schedule delete “</w:delText>
        </w:r>
        <w:r>
          <w:rPr>
            <w:b/>
            <w:sz w:val="28"/>
          </w:rPr>
          <w:delText>First Schedule — Second Part</w:delText>
        </w:r>
        <w:r>
          <w:rPr>
            <w:rFonts w:eastAsia="MS Mincho"/>
          </w:rPr>
          <w:delText>” and insert:</w:delText>
        </w:r>
      </w:del>
    </w:p>
    <w:p>
      <w:pPr>
        <w:pStyle w:val="BlankOpen"/>
        <w:rPr>
          <w:del w:id="1230" w:author="svcMRProcess" w:date="2020-02-17T01:46:00Z"/>
        </w:rPr>
      </w:pPr>
    </w:p>
    <w:p>
      <w:pPr>
        <w:pStyle w:val="nzHeading3"/>
        <w:rPr>
          <w:del w:id="1231" w:author="svcMRProcess" w:date="2020-02-17T01:46:00Z"/>
        </w:rPr>
      </w:pPr>
      <w:bookmarkStart w:id="1232" w:name="_Toc232235509"/>
      <w:bookmarkStart w:id="1233" w:name="_Toc232235707"/>
      <w:bookmarkStart w:id="1234" w:name="_Toc233100577"/>
      <w:bookmarkStart w:id="1235" w:name="_Toc233107738"/>
      <w:del w:id="1236" w:author="svcMRProcess" w:date="2020-02-17T01:46:00Z">
        <w:r>
          <w:delText>Part 2 — Furniture</w:delText>
        </w:r>
        <w:bookmarkEnd w:id="1232"/>
        <w:bookmarkEnd w:id="1233"/>
        <w:bookmarkEnd w:id="1234"/>
        <w:bookmarkEnd w:id="1235"/>
      </w:del>
    </w:p>
    <w:p>
      <w:pPr>
        <w:pStyle w:val="BlankClose"/>
        <w:rPr>
          <w:del w:id="1237" w:author="svcMRProcess" w:date="2020-02-17T01:46:00Z"/>
        </w:rPr>
      </w:pPr>
    </w:p>
    <w:p>
      <w:pPr>
        <w:pStyle w:val="nzSubsection"/>
        <w:rPr>
          <w:del w:id="1238" w:author="svcMRProcess" w:date="2020-02-17T01:46:00Z"/>
          <w:rFonts w:eastAsia="MS Mincho"/>
        </w:rPr>
      </w:pPr>
      <w:del w:id="1239" w:author="svcMRProcess" w:date="2020-02-17T01:46:00Z">
        <w:r>
          <w:rPr>
            <w:rFonts w:eastAsia="MS Mincho"/>
          </w:rPr>
          <w:tab/>
          <w:delText>(7)</w:delText>
        </w:r>
        <w:r>
          <w:rPr>
            <w:rFonts w:eastAsia="MS Mincho"/>
          </w:rPr>
          <w:tab/>
          <w:delText>In the Second Schedule:</w:delText>
        </w:r>
      </w:del>
    </w:p>
    <w:p>
      <w:pPr>
        <w:pStyle w:val="nzIndenta"/>
        <w:rPr>
          <w:del w:id="1240" w:author="svcMRProcess" w:date="2020-02-17T01:46:00Z"/>
          <w:rFonts w:eastAsia="MS Mincho"/>
        </w:rPr>
      </w:pPr>
      <w:del w:id="1241" w:author="svcMRProcess" w:date="2020-02-17T01:46:00Z">
        <w:r>
          <w:rPr>
            <w:rFonts w:eastAsia="MS Mincho"/>
          </w:rPr>
          <w:tab/>
          <w:delText>(a)</w:delText>
        </w:r>
        <w:r>
          <w:rPr>
            <w:rFonts w:eastAsia="MS Mincho"/>
          </w:rPr>
          <w:tab/>
          <w:delText>delete “</w:delText>
        </w:r>
        <w:r>
          <w:rPr>
            <w:rFonts w:eastAsia="MS Mincho"/>
            <w:b/>
            <w:sz w:val="28"/>
          </w:rPr>
          <w:delText>Second Schedule</w:delText>
        </w:r>
        <w:r>
          <w:rPr>
            <w:rFonts w:eastAsia="MS Mincho"/>
          </w:rPr>
          <w:delText>”;</w:delText>
        </w:r>
      </w:del>
    </w:p>
    <w:p>
      <w:pPr>
        <w:pStyle w:val="nzIndenta"/>
        <w:rPr>
          <w:del w:id="1242" w:author="svcMRProcess" w:date="2020-02-17T01:46:00Z"/>
          <w:rFonts w:eastAsia="MS Mincho"/>
        </w:rPr>
      </w:pPr>
      <w:del w:id="1243" w:author="svcMRProcess" w:date="2020-02-17T01:46:00Z">
        <w:r>
          <w:rPr>
            <w:rFonts w:eastAsia="MS Mincho"/>
          </w:rPr>
          <w:tab/>
          <w:delText>(b)</w:delText>
        </w:r>
        <w:r>
          <w:rPr>
            <w:rFonts w:eastAsia="MS Mincho"/>
          </w:rPr>
          <w:tab/>
          <w:delText>delete “</w:delText>
        </w:r>
        <w:r>
          <w:rPr>
            <w:rFonts w:eastAsia="MS Mincho"/>
            <w:sz w:val="22"/>
          </w:rPr>
          <w:delText>[s. 4, 18.]</w:delText>
        </w:r>
        <w:r>
          <w:rPr>
            <w:rFonts w:eastAsia="MS Mincho"/>
          </w:rPr>
          <w:delText>”;</w:delText>
        </w:r>
      </w:del>
    </w:p>
    <w:p>
      <w:pPr>
        <w:pStyle w:val="nzIndenta"/>
        <w:rPr>
          <w:del w:id="1244" w:author="svcMRProcess" w:date="2020-02-17T01:46:00Z"/>
          <w:rFonts w:eastAsia="MS Mincho"/>
        </w:rPr>
      </w:pPr>
      <w:del w:id="1245" w:author="svcMRProcess" w:date="2020-02-17T01:46:00Z">
        <w:r>
          <w:rPr>
            <w:rFonts w:eastAsia="MS Mincho"/>
          </w:rPr>
          <w:tab/>
          <w:delText>(c)</w:delText>
        </w:r>
        <w:r>
          <w:rPr>
            <w:rFonts w:eastAsia="MS Mincho"/>
          </w:rPr>
          <w:tab/>
          <w:delText>delete “</w:delText>
        </w:r>
        <w:r>
          <w:rPr>
            <w:rFonts w:eastAsia="MS Mincho"/>
            <w:i/>
            <w:sz w:val="22"/>
          </w:rPr>
          <w:delText>Hire</w:delText>
        </w:r>
        <w:r>
          <w:rPr>
            <w:rFonts w:eastAsia="MS Mincho"/>
            <w:i/>
            <w:sz w:val="22"/>
          </w:rPr>
          <w:noBreakHyphen/>
          <w:delText>Purchase Act </w:delText>
        </w:r>
        <w:r>
          <w:rPr>
            <w:rFonts w:eastAsia="MS Mincho"/>
            <w:i/>
            <w:iCs/>
            <w:sz w:val="22"/>
          </w:rPr>
          <w:delText>1959</w:delText>
        </w:r>
        <w:r>
          <w:rPr>
            <w:rFonts w:eastAsia="MS Mincho"/>
          </w:rPr>
          <w:delText>” (first occurrence);</w:delText>
        </w:r>
      </w:del>
    </w:p>
    <w:p>
      <w:pPr>
        <w:pStyle w:val="nzIndenta"/>
        <w:rPr>
          <w:del w:id="1246" w:author="svcMRProcess" w:date="2020-02-17T01:46:00Z"/>
          <w:rFonts w:eastAsia="MS Mincho"/>
        </w:rPr>
      </w:pPr>
      <w:del w:id="1247" w:author="svcMRProcess" w:date="2020-02-17T01:46:00Z">
        <w:r>
          <w:rPr>
            <w:rFonts w:eastAsia="MS Mincho"/>
          </w:rPr>
          <w:tab/>
          <w:delText>(d)</w:delText>
        </w:r>
        <w:r>
          <w:rPr>
            <w:rFonts w:eastAsia="MS Mincho"/>
          </w:rPr>
          <w:tab/>
          <w:delText>delete “</w:delText>
        </w:r>
        <w:r>
          <w:rPr>
            <w:rFonts w:eastAsia="MS Mincho"/>
            <w:b/>
            <w:bCs/>
            <w:sz w:val="28"/>
          </w:rPr>
          <w:delText>Advice to hirers</w:delText>
        </w:r>
        <w:r>
          <w:rPr>
            <w:rFonts w:eastAsia="MS Mincho"/>
          </w:rPr>
          <w:delText>”,</w:delText>
        </w:r>
      </w:del>
    </w:p>
    <w:p>
      <w:pPr>
        <w:pStyle w:val="nzSubsection"/>
        <w:rPr>
          <w:del w:id="1248" w:author="svcMRProcess" w:date="2020-02-17T01:46:00Z"/>
          <w:rFonts w:eastAsia="MS Mincho"/>
        </w:rPr>
      </w:pPr>
      <w:del w:id="1249" w:author="svcMRProcess" w:date="2020-02-17T01:46:00Z">
        <w:r>
          <w:rPr>
            <w:rFonts w:eastAsia="MS Mincho"/>
          </w:rPr>
          <w:tab/>
        </w:r>
        <w:r>
          <w:rPr>
            <w:rFonts w:eastAsia="MS Mincho"/>
          </w:rPr>
          <w:tab/>
          <w:delText>and insert:</w:delText>
        </w:r>
      </w:del>
    </w:p>
    <w:p>
      <w:pPr>
        <w:pStyle w:val="BlankOpen"/>
        <w:rPr>
          <w:del w:id="1250" w:author="svcMRProcess" w:date="2020-02-17T01:46:00Z"/>
        </w:rPr>
      </w:pPr>
    </w:p>
    <w:p>
      <w:pPr>
        <w:pStyle w:val="nzHeading2"/>
        <w:rPr>
          <w:del w:id="1251" w:author="svcMRProcess" w:date="2020-02-17T01:46:00Z"/>
          <w:rFonts w:eastAsia="MS Mincho"/>
        </w:rPr>
      </w:pPr>
      <w:bookmarkStart w:id="1252" w:name="_Toc232235510"/>
      <w:bookmarkStart w:id="1253" w:name="_Toc232235708"/>
      <w:bookmarkStart w:id="1254" w:name="_Toc233100578"/>
      <w:bookmarkStart w:id="1255" w:name="_Toc233107739"/>
      <w:del w:id="1256" w:author="svcMRProcess" w:date="2020-02-17T01:46:00Z">
        <w:r>
          <w:rPr>
            <w:rFonts w:eastAsia="MS Mincho"/>
          </w:rPr>
          <w:delText>Second Schedule — Advice to hirers</w:delText>
        </w:r>
        <w:bookmarkEnd w:id="1252"/>
        <w:bookmarkEnd w:id="1253"/>
        <w:bookmarkEnd w:id="1254"/>
        <w:bookmarkEnd w:id="1255"/>
      </w:del>
    </w:p>
    <w:p>
      <w:pPr>
        <w:pStyle w:val="nzMiscellaneousBody"/>
        <w:jc w:val="right"/>
        <w:rPr>
          <w:del w:id="1257" w:author="svcMRProcess" w:date="2020-02-17T01:46:00Z"/>
          <w:rFonts w:eastAsia="MS Mincho"/>
        </w:rPr>
      </w:pPr>
      <w:del w:id="1258" w:author="svcMRProcess" w:date="2020-02-17T01:46:00Z">
        <w:r>
          <w:rPr>
            <w:rFonts w:eastAsia="MS Mincho"/>
          </w:rPr>
          <w:delText>[s. 4 and 18]</w:delText>
        </w:r>
      </w:del>
    </w:p>
    <w:p>
      <w:pPr>
        <w:pStyle w:val="BlankClose"/>
        <w:rPr>
          <w:del w:id="1259" w:author="svcMRProcess" w:date="2020-02-17T01:46:00Z"/>
        </w:rPr>
      </w:pPr>
    </w:p>
    <w:p>
      <w:pPr>
        <w:pStyle w:val="nzSubsection"/>
        <w:rPr>
          <w:del w:id="1260" w:author="svcMRProcess" w:date="2020-02-17T01:46:00Z"/>
          <w:rFonts w:eastAsia="MS Mincho"/>
        </w:rPr>
      </w:pPr>
      <w:del w:id="1261" w:author="svcMRProcess" w:date="2020-02-17T01:46:00Z">
        <w:r>
          <w:rPr>
            <w:rFonts w:eastAsia="MS Mincho"/>
          </w:rPr>
          <w:tab/>
          <w:delText>(8)</w:delText>
        </w:r>
        <w:r>
          <w:rPr>
            <w:rFonts w:eastAsia="MS Mincho"/>
          </w:rPr>
          <w:tab/>
          <w:delText>In the Third Schedule:</w:delText>
        </w:r>
      </w:del>
    </w:p>
    <w:p>
      <w:pPr>
        <w:pStyle w:val="nzIndenta"/>
        <w:rPr>
          <w:del w:id="1262" w:author="svcMRProcess" w:date="2020-02-17T01:46:00Z"/>
          <w:rFonts w:eastAsia="MS Mincho"/>
        </w:rPr>
      </w:pPr>
      <w:del w:id="1263" w:author="svcMRProcess" w:date="2020-02-17T01:46:00Z">
        <w:r>
          <w:rPr>
            <w:rFonts w:eastAsia="MS Mincho"/>
          </w:rPr>
          <w:tab/>
          <w:delText>(a)</w:delText>
        </w:r>
        <w:r>
          <w:rPr>
            <w:rFonts w:eastAsia="MS Mincho"/>
          </w:rPr>
          <w:tab/>
          <w:delText>delete “</w:delText>
        </w:r>
        <w:r>
          <w:rPr>
            <w:rFonts w:eastAsia="MS Mincho"/>
            <w:b/>
            <w:sz w:val="28"/>
          </w:rPr>
          <w:delText>Third Schedule</w:delText>
        </w:r>
        <w:r>
          <w:rPr>
            <w:rFonts w:eastAsia="MS Mincho"/>
          </w:rPr>
          <w:delText>”;</w:delText>
        </w:r>
      </w:del>
    </w:p>
    <w:p>
      <w:pPr>
        <w:pStyle w:val="nzIndenta"/>
        <w:rPr>
          <w:del w:id="1264" w:author="svcMRProcess" w:date="2020-02-17T01:46:00Z"/>
          <w:rFonts w:eastAsia="MS Mincho"/>
        </w:rPr>
      </w:pPr>
      <w:del w:id="1265" w:author="svcMRProcess" w:date="2020-02-17T01:46:00Z">
        <w:r>
          <w:rPr>
            <w:rFonts w:eastAsia="MS Mincho"/>
          </w:rPr>
          <w:tab/>
          <w:delText>(b)</w:delText>
        </w:r>
        <w:r>
          <w:rPr>
            <w:rFonts w:eastAsia="MS Mincho"/>
          </w:rPr>
          <w:tab/>
          <w:delText>delete “</w:delText>
        </w:r>
        <w:r>
          <w:rPr>
            <w:rFonts w:eastAsia="MS Mincho"/>
            <w:sz w:val="22"/>
          </w:rPr>
          <w:delText>[s. 13(1).]</w:delText>
        </w:r>
        <w:r>
          <w:rPr>
            <w:rFonts w:eastAsia="MS Mincho"/>
          </w:rPr>
          <w:delText>”;</w:delText>
        </w:r>
      </w:del>
    </w:p>
    <w:p>
      <w:pPr>
        <w:pStyle w:val="nzIndenta"/>
        <w:rPr>
          <w:del w:id="1266" w:author="svcMRProcess" w:date="2020-02-17T01:46:00Z"/>
          <w:rFonts w:eastAsia="MS Mincho"/>
        </w:rPr>
      </w:pPr>
      <w:del w:id="1267" w:author="svcMRProcess" w:date="2020-02-17T01:46:00Z">
        <w:r>
          <w:rPr>
            <w:rFonts w:eastAsia="MS Mincho"/>
          </w:rPr>
          <w:tab/>
          <w:delText>(c)</w:delText>
        </w:r>
        <w:r>
          <w:rPr>
            <w:rFonts w:eastAsia="MS Mincho"/>
          </w:rPr>
          <w:tab/>
          <w:delText>delete “</w:delText>
        </w:r>
        <w:r>
          <w:rPr>
            <w:rFonts w:eastAsia="MS Mincho"/>
            <w:i/>
            <w:sz w:val="22"/>
          </w:rPr>
          <w:delText>Hire</w:delText>
        </w:r>
        <w:r>
          <w:rPr>
            <w:rFonts w:eastAsia="MS Mincho"/>
            <w:i/>
            <w:sz w:val="22"/>
          </w:rPr>
          <w:noBreakHyphen/>
          <w:delText>Purchase Act </w:delText>
        </w:r>
        <w:r>
          <w:rPr>
            <w:rFonts w:eastAsia="MS Mincho"/>
            <w:i/>
            <w:iCs/>
            <w:sz w:val="22"/>
          </w:rPr>
          <w:delText>1959</w:delText>
        </w:r>
        <w:r>
          <w:rPr>
            <w:rFonts w:eastAsia="MS Mincho"/>
          </w:rPr>
          <w:delText>” (first occurrence);</w:delText>
        </w:r>
      </w:del>
    </w:p>
    <w:p>
      <w:pPr>
        <w:pStyle w:val="nzIndenta"/>
        <w:rPr>
          <w:del w:id="1268" w:author="svcMRProcess" w:date="2020-02-17T01:46:00Z"/>
          <w:rFonts w:eastAsia="MS Mincho"/>
        </w:rPr>
      </w:pPr>
      <w:del w:id="1269" w:author="svcMRProcess" w:date="2020-02-17T01:46:00Z">
        <w:r>
          <w:rPr>
            <w:rFonts w:eastAsia="MS Mincho"/>
          </w:rPr>
          <w:tab/>
          <w:delText>(d)</w:delText>
        </w:r>
        <w:r>
          <w:rPr>
            <w:rFonts w:eastAsia="MS Mincho"/>
          </w:rPr>
          <w:tab/>
          <w:delText>delete “</w:delText>
        </w:r>
        <w:r>
          <w:rPr>
            <w:rFonts w:eastAsia="MS Mincho"/>
            <w:b/>
            <w:bCs/>
            <w:sz w:val="28"/>
          </w:rPr>
          <w:delText>Notice of intention to repossess</w:delText>
        </w:r>
        <w:r>
          <w:rPr>
            <w:rFonts w:eastAsia="MS Mincho"/>
          </w:rPr>
          <w:delText>”,</w:delText>
        </w:r>
      </w:del>
    </w:p>
    <w:p>
      <w:pPr>
        <w:pStyle w:val="nzSubsection"/>
        <w:rPr>
          <w:del w:id="1270" w:author="svcMRProcess" w:date="2020-02-17T01:46:00Z"/>
          <w:rFonts w:eastAsia="MS Mincho"/>
        </w:rPr>
      </w:pPr>
      <w:del w:id="1271" w:author="svcMRProcess" w:date="2020-02-17T01:46:00Z">
        <w:r>
          <w:rPr>
            <w:rFonts w:eastAsia="MS Mincho"/>
          </w:rPr>
          <w:tab/>
        </w:r>
        <w:r>
          <w:rPr>
            <w:rFonts w:eastAsia="MS Mincho"/>
          </w:rPr>
          <w:tab/>
          <w:delText>and insert:</w:delText>
        </w:r>
      </w:del>
    </w:p>
    <w:p>
      <w:pPr>
        <w:pStyle w:val="BlankOpen"/>
        <w:rPr>
          <w:del w:id="1272" w:author="svcMRProcess" w:date="2020-02-17T01:46:00Z"/>
        </w:rPr>
      </w:pPr>
    </w:p>
    <w:p>
      <w:pPr>
        <w:pStyle w:val="nzHeading2"/>
        <w:rPr>
          <w:del w:id="1273" w:author="svcMRProcess" w:date="2020-02-17T01:46:00Z"/>
          <w:rFonts w:eastAsia="MS Mincho"/>
        </w:rPr>
      </w:pPr>
      <w:bookmarkStart w:id="1274" w:name="_Toc232235511"/>
      <w:bookmarkStart w:id="1275" w:name="_Toc232235709"/>
      <w:bookmarkStart w:id="1276" w:name="_Toc233100579"/>
      <w:bookmarkStart w:id="1277" w:name="_Toc233107740"/>
      <w:del w:id="1278" w:author="svcMRProcess" w:date="2020-02-17T01:46:00Z">
        <w:r>
          <w:rPr>
            <w:rFonts w:eastAsia="MS Mincho"/>
          </w:rPr>
          <w:delText>Third Schedule — Notice of intention to repossess</w:delText>
        </w:r>
        <w:bookmarkEnd w:id="1274"/>
        <w:bookmarkEnd w:id="1275"/>
        <w:bookmarkEnd w:id="1276"/>
        <w:bookmarkEnd w:id="1277"/>
      </w:del>
    </w:p>
    <w:p>
      <w:pPr>
        <w:pStyle w:val="nzMiscellaneousBody"/>
        <w:jc w:val="right"/>
        <w:rPr>
          <w:del w:id="1279" w:author="svcMRProcess" w:date="2020-02-17T01:46:00Z"/>
          <w:rFonts w:eastAsia="MS Mincho"/>
        </w:rPr>
      </w:pPr>
      <w:del w:id="1280" w:author="svcMRProcess" w:date="2020-02-17T01:46:00Z">
        <w:r>
          <w:rPr>
            <w:rFonts w:eastAsia="MS Mincho"/>
          </w:rPr>
          <w:delText>[s. 13(1)]</w:delText>
        </w:r>
      </w:del>
    </w:p>
    <w:p>
      <w:pPr>
        <w:pStyle w:val="BlankClose"/>
        <w:rPr>
          <w:del w:id="1281" w:author="svcMRProcess" w:date="2020-02-17T01:46:00Z"/>
        </w:rPr>
      </w:pPr>
    </w:p>
    <w:p>
      <w:pPr>
        <w:pStyle w:val="nzSubsection"/>
        <w:rPr>
          <w:del w:id="1282" w:author="svcMRProcess" w:date="2020-02-17T01:46:00Z"/>
          <w:rFonts w:eastAsia="MS Mincho"/>
        </w:rPr>
      </w:pPr>
      <w:del w:id="1283" w:author="svcMRProcess" w:date="2020-02-17T01:46:00Z">
        <w:r>
          <w:rPr>
            <w:rFonts w:eastAsia="MS Mincho"/>
          </w:rPr>
          <w:tab/>
          <w:delText>(9)</w:delText>
        </w:r>
        <w:r>
          <w:rPr>
            <w:rFonts w:eastAsia="MS Mincho"/>
          </w:rPr>
          <w:tab/>
          <w:delText>In the Fourth Schedule:</w:delText>
        </w:r>
      </w:del>
    </w:p>
    <w:p>
      <w:pPr>
        <w:pStyle w:val="nzIndenta"/>
        <w:rPr>
          <w:del w:id="1284" w:author="svcMRProcess" w:date="2020-02-17T01:46:00Z"/>
          <w:rFonts w:eastAsia="MS Mincho"/>
        </w:rPr>
      </w:pPr>
      <w:del w:id="1285" w:author="svcMRProcess" w:date="2020-02-17T01:46:00Z">
        <w:r>
          <w:rPr>
            <w:rFonts w:eastAsia="MS Mincho"/>
          </w:rPr>
          <w:tab/>
          <w:delText>(a)</w:delText>
        </w:r>
        <w:r>
          <w:rPr>
            <w:rFonts w:eastAsia="MS Mincho"/>
          </w:rPr>
          <w:tab/>
          <w:delText>delete “</w:delText>
        </w:r>
        <w:r>
          <w:rPr>
            <w:rFonts w:eastAsia="MS Mincho"/>
            <w:b/>
            <w:sz w:val="28"/>
          </w:rPr>
          <w:delText>Fourth Schedule</w:delText>
        </w:r>
        <w:r>
          <w:rPr>
            <w:rFonts w:eastAsia="MS Mincho"/>
          </w:rPr>
          <w:delText>”;</w:delText>
        </w:r>
      </w:del>
    </w:p>
    <w:p>
      <w:pPr>
        <w:pStyle w:val="nzIndenta"/>
        <w:rPr>
          <w:del w:id="1286" w:author="svcMRProcess" w:date="2020-02-17T01:46:00Z"/>
          <w:rFonts w:eastAsia="MS Mincho"/>
        </w:rPr>
      </w:pPr>
      <w:del w:id="1287" w:author="svcMRProcess" w:date="2020-02-17T01:46:00Z">
        <w:r>
          <w:rPr>
            <w:rFonts w:eastAsia="MS Mincho"/>
          </w:rPr>
          <w:tab/>
          <w:delText>(b)</w:delText>
        </w:r>
        <w:r>
          <w:rPr>
            <w:rFonts w:eastAsia="MS Mincho"/>
          </w:rPr>
          <w:tab/>
          <w:delText>delete “</w:delText>
        </w:r>
        <w:r>
          <w:rPr>
            <w:rFonts w:eastAsia="MS Mincho"/>
            <w:sz w:val="22"/>
          </w:rPr>
          <w:delText>[s. </w:delText>
        </w:r>
        <w:r>
          <w:rPr>
            <w:sz w:val="22"/>
          </w:rPr>
          <w:delText>11(3), 13(3), 14, 15, 24(6).</w:delText>
        </w:r>
        <w:r>
          <w:rPr>
            <w:rFonts w:eastAsia="MS Mincho"/>
            <w:sz w:val="22"/>
          </w:rPr>
          <w:delText>]</w:delText>
        </w:r>
        <w:r>
          <w:rPr>
            <w:rFonts w:eastAsia="MS Mincho"/>
          </w:rPr>
          <w:delText>”;</w:delText>
        </w:r>
      </w:del>
    </w:p>
    <w:p>
      <w:pPr>
        <w:pStyle w:val="nzIndenta"/>
        <w:rPr>
          <w:del w:id="1288" w:author="svcMRProcess" w:date="2020-02-17T01:46:00Z"/>
          <w:rFonts w:eastAsia="MS Mincho"/>
        </w:rPr>
      </w:pPr>
      <w:del w:id="1289" w:author="svcMRProcess" w:date="2020-02-17T01:46:00Z">
        <w:r>
          <w:rPr>
            <w:rFonts w:eastAsia="MS Mincho"/>
          </w:rPr>
          <w:tab/>
          <w:delText>(c)</w:delText>
        </w:r>
        <w:r>
          <w:rPr>
            <w:rFonts w:eastAsia="MS Mincho"/>
          </w:rPr>
          <w:tab/>
          <w:delText>delete “</w:delText>
        </w:r>
        <w:r>
          <w:rPr>
            <w:rFonts w:eastAsia="MS Mincho"/>
            <w:i/>
            <w:sz w:val="22"/>
          </w:rPr>
          <w:delText>Hire</w:delText>
        </w:r>
        <w:r>
          <w:rPr>
            <w:rFonts w:eastAsia="MS Mincho"/>
            <w:i/>
            <w:sz w:val="22"/>
          </w:rPr>
          <w:noBreakHyphen/>
          <w:delText>Purchase Act </w:delText>
        </w:r>
        <w:r>
          <w:rPr>
            <w:rFonts w:eastAsia="MS Mincho"/>
            <w:i/>
            <w:iCs/>
            <w:sz w:val="22"/>
          </w:rPr>
          <w:delText>1959</w:delText>
        </w:r>
        <w:r>
          <w:rPr>
            <w:rFonts w:eastAsia="MS Mincho"/>
          </w:rPr>
          <w:delText>” (first occurrence);</w:delText>
        </w:r>
      </w:del>
    </w:p>
    <w:p>
      <w:pPr>
        <w:pStyle w:val="nzIndenta"/>
        <w:rPr>
          <w:del w:id="1290" w:author="svcMRProcess" w:date="2020-02-17T01:46:00Z"/>
          <w:rFonts w:eastAsia="MS Mincho"/>
        </w:rPr>
      </w:pPr>
      <w:del w:id="1291" w:author="svcMRProcess" w:date="2020-02-17T01:46:00Z">
        <w:r>
          <w:rPr>
            <w:rFonts w:eastAsia="MS Mincho"/>
          </w:rPr>
          <w:tab/>
          <w:delText>(d)</w:delText>
        </w:r>
        <w:r>
          <w:rPr>
            <w:rFonts w:eastAsia="MS Mincho"/>
          </w:rPr>
          <w:tab/>
          <w:delText>delete “</w:delText>
        </w:r>
        <w:r>
          <w:rPr>
            <w:rFonts w:eastAsia="MS Mincho"/>
            <w:b/>
            <w:bCs/>
            <w:sz w:val="28"/>
          </w:rPr>
          <w:delText>Advice to hirers</w:delText>
        </w:r>
        <w:r>
          <w:rPr>
            <w:rFonts w:eastAsia="MS Mincho"/>
          </w:rPr>
          <w:delText>”,</w:delText>
        </w:r>
      </w:del>
    </w:p>
    <w:p>
      <w:pPr>
        <w:pStyle w:val="nzSubsection"/>
        <w:rPr>
          <w:del w:id="1292" w:author="svcMRProcess" w:date="2020-02-17T01:46:00Z"/>
          <w:rFonts w:eastAsia="MS Mincho"/>
        </w:rPr>
      </w:pPr>
      <w:del w:id="1293" w:author="svcMRProcess" w:date="2020-02-17T01:46:00Z">
        <w:r>
          <w:rPr>
            <w:rFonts w:eastAsia="MS Mincho"/>
          </w:rPr>
          <w:tab/>
        </w:r>
        <w:r>
          <w:rPr>
            <w:rFonts w:eastAsia="MS Mincho"/>
          </w:rPr>
          <w:tab/>
          <w:delText>and insert:</w:delText>
        </w:r>
      </w:del>
    </w:p>
    <w:p>
      <w:pPr>
        <w:pStyle w:val="BlankOpen"/>
        <w:rPr>
          <w:del w:id="1294" w:author="svcMRProcess" w:date="2020-02-17T01:46:00Z"/>
        </w:rPr>
      </w:pPr>
    </w:p>
    <w:p>
      <w:pPr>
        <w:pStyle w:val="nzHeading2"/>
        <w:rPr>
          <w:del w:id="1295" w:author="svcMRProcess" w:date="2020-02-17T01:46:00Z"/>
          <w:rFonts w:eastAsia="MS Mincho"/>
        </w:rPr>
      </w:pPr>
      <w:bookmarkStart w:id="1296" w:name="_Toc232235512"/>
      <w:bookmarkStart w:id="1297" w:name="_Toc232235710"/>
      <w:bookmarkStart w:id="1298" w:name="_Toc233100580"/>
      <w:bookmarkStart w:id="1299" w:name="_Toc233107741"/>
      <w:del w:id="1300" w:author="svcMRProcess" w:date="2020-02-17T01:46:00Z">
        <w:r>
          <w:rPr>
            <w:rFonts w:eastAsia="MS Mincho"/>
          </w:rPr>
          <w:delText>Fourth Schedule — Advice to hirers</w:delText>
        </w:r>
        <w:bookmarkEnd w:id="1296"/>
        <w:bookmarkEnd w:id="1297"/>
        <w:bookmarkEnd w:id="1298"/>
        <w:bookmarkEnd w:id="1299"/>
      </w:del>
    </w:p>
    <w:p>
      <w:pPr>
        <w:pStyle w:val="nzMiscellaneousBody"/>
        <w:jc w:val="right"/>
        <w:rPr>
          <w:del w:id="1301" w:author="svcMRProcess" w:date="2020-02-17T01:46:00Z"/>
          <w:rFonts w:eastAsia="MS Mincho"/>
        </w:rPr>
      </w:pPr>
      <w:del w:id="1302" w:author="svcMRProcess" w:date="2020-02-17T01:46:00Z">
        <w:r>
          <w:rPr>
            <w:rFonts w:eastAsia="MS Mincho"/>
          </w:rPr>
          <w:delText>[s. </w:delText>
        </w:r>
        <w:r>
          <w:delText>11(3), 13(3), 14, 15 and 24(6)</w:delText>
        </w:r>
        <w:r>
          <w:rPr>
            <w:rFonts w:eastAsia="MS Mincho"/>
          </w:rPr>
          <w:delText>]</w:delText>
        </w:r>
      </w:del>
    </w:p>
    <w:p>
      <w:pPr>
        <w:pStyle w:val="BlankClose"/>
        <w:rPr>
          <w:del w:id="1303" w:author="svcMRProcess" w:date="2020-02-17T01:46:00Z"/>
        </w:rPr>
      </w:pPr>
    </w:p>
    <w:p>
      <w:pPr>
        <w:pStyle w:val="nzSubsection"/>
        <w:rPr>
          <w:del w:id="1304" w:author="svcMRProcess" w:date="2020-02-17T01:46:00Z"/>
          <w:rFonts w:eastAsia="MS Mincho"/>
        </w:rPr>
      </w:pPr>
      <w:del w:id="1305" w:author="svcMRProcess" w:date="2020-02-17T01:46:00Z">
        <w:r>
          <w:rPr>
            <w:rFonts w:eastAsia="MS Mincho"/>
          </w:rPr>
          <w:tab/>
          <w:delText>(10)</w:delText>
        </w:r>
        <w:r>
          <w:rPr>
            <w:rFonts w:eastAsia="MS Mincho"/>
          </w:rPr>
          <w:tab/>
          <w:delText>In the Fifth Schedule:</w:delText>
        </w:r>
      </w:del>
    </w:p>
    <w:p>
      <w:pPr>
        <w:pStyle w:val="nzIndenta"/>
        <w:rPr>
          <w:del w:id="1306" w:author="svcMRProcess" w:date="2020-02-17T01:46:00Z"/>
          <w:rFonts w:eastAsia="MS Mincho"/>
        </w:rPr>
      </w:pPr>
      <w:del w:id="1307" w:author="svcMRProcess" w:date="2020-02-17T01:46:00Z">
        <w:r>
          <w:rPr>
            <w:rFonts w:eastAsia="MS Mincho"/>
          </w:rPr>
          <w:tab/>
          <w:delText>(a)</w:delText>
        </w:r>
        <w:r>
          <w:rPr>
            <w:rFonts w:eastAsia="MS Mincho"/>
          </w:rPr>
          <w:tab/>
          <w:delText>delete “</w:delText>
        </w:r>
        <w:r>
          <w:rPr>
            <w:rFonts w:eastAsia="MS Mincho"/>
            <w:b/>
            <w:sz w:val="28"/>
          </w:rPr>
          <w:delText>Fifth Schedule</w:delText>
        </w:r>
        <w:r>
          <w:rPr>
            <w:rFonts w:eastAsia="MS Mincho"/>
          </w:rPr>
          <w:delText>”;</w:delText>
        </w:r>
      </w:del>
    </w:p>
    <w:p>
      <w:pPr>
        <w:pStyle w:val="nzIndenta"/>
        <w:rPr>
          <w:del w:id="1308" w:author="svcMRProcess" w:date="2020-02-17T01:46:00Z"/>
          <w:rFonts w:eastAsia="MS Mincho"/>
        </w:rPr>
      </w:pPr>
      <w:del w:id="1309" w:author="svcMRProcess" w:date="2020-02-17T01:46:00Z">
        <w:r>
          <w:rPr>
            <w:rFonts w:eastAsia="MS Mincho"/>
          </w:rPr>
          <w:tab/>
          <w:delText>(b)</w:delText>
        </w:r>
        <w:r>
          <w:rPr>
            <w:rFonts w:eastAsia="MS Mincho"/>
          </w:rPr>
          <w:tab/>
          <w:delText>delete “</w:delText>
        </w:r>
        <w:r>
          <w:rPr>
            <w:rFonts w:eastAsia="MS Mincho"/>
            <w:i/>
            <w:sz w:val="22"/>
          </w:rPr>
          <w:delText>Hire</w:delText>
        </w:r>
        <w:r>
          <w:rPr>
            <w:rFonts w:eastAsia="MS Mincho"/>
            <w:i/>
            <w:sz w:val="22"/>
          </w:rPr>
          <w:noBreakHyphen/>
          <w:delText>Purchase Act </w:delText>
        </w:r>
        <w:r>
          <w:rPr>
            <w:rFonts w:eastAsia="MS Mincho"/>
            <w:i/>
            <w:iCs/>
            <w:sz w:val="22"/>
          </w:rPr>
          <w:delText>1959</w:delText>
        </w:r>
        <w:r>
          <w:rPr>
            <w:rFonts w:eastAsia="MS Mincho"/>
          </w:rPr>
          <w:delText>” (first occurrence);</w:delText>
        </w:r>
      </w:del>
    </w:p>
    <w:p>
      <w:pPr>
        <w:pStyle w:val="nzIndenta"/>
        <w:rPr>
          <w:del w:id="1310" w:author="svcMRProcess" w:date="2020-02-17T01:46:00Z"/>
        </w:rPr>
      </w:pPr>
      <w:del w:id="1311" w:author="svcMRProcess" w:date="2020-02-17T01:46:00Z">
        <w:r>
          <w:rPr>
            <w:rFonts w:eastAsia="MS Mincho"/>
          </w:rPr>
          <w:tab/>
          <w:delText>(c)</w:delText>
        </w:r>
        <w:r>
          <w:rPr>
            <w:rFonts w:eastAsia="MS Mincho"/>
          </w:rPr>
          <w:tab/>
          <w:delText>delete “</w:delText>
        </w:r>
        <w:r>
          <w:rPr>
            <w:b/>
            <w:bCs/>
            <w:sz w:val="28"/>
          </w:rPr>
          <w:delText>Formula for calculating percentage rate of terms charges</w:delText>
        </w:r>
        <w:r>
          <w:delText>”,</w:delText>
        </w:r>
      </w:del>
    </w:p>
    <w:p>
      <w:pPr>
        <w:pStyle w:val="nzSubsection"/>
        <w:rPr>
          <w:del w:id="1312" w:author="svcMRProcess" w:date="2020-02-17T01:46:00Z"/>
          <w:rFonts w:eastAsia="MS Mincho"/>
        </w:rPr>
      </w:pPr>
      <w:del w:id="1313" w:author="svcMRProcess" w:date="2020-02-17T01:46:00Z">
        <w:r>
          <w:rPr>
            <w:rFonts w:eastAsia="MS Mincho"/>
          </w:rPr>
          <w:tab/>
        </w:r>
        <w:r>
          <w:rPr>
            <w:rFonts w:eastAsia="MS Mincho"/>
          </w:rPr>
          <w:tab/>
          <w:delText>and insert:</w:delText>
        </w:r>
      </w:del>
    </w:p>
    <w:p>
      <w:pPr>
        <w:pStyle w:val="BlankOpen"/>
        <w:rPr>
          <w:del w:id="1314" w:author="svcMRProcess" w:date="2020-02-17T01:46:00Z"/>
          <w:rFonts w:eastAsia="MS Mincho"/>
        </w:rPr>
      </w:pPr>
    </w:p>
    <w:p>
      <w:pPr>
        <w:pStyle w:val="nzHeading2"/>
        <w:rPr>
          <w:del w:id="1315" w:author="svcMRProcess" w:date="2020-02-17T01:46:00Z"/>
          <w:rFonts w:eastAsia="MS Mincho"/>
        </w:rPr>
      </w:pPr>
      <w:bookmarkStart w:id="1316" w:name="_Toc232235513"/>
      <w:bookmarkStart w:id="1317" w:name="_Toc232235711"/>
      <w:bookmarkStart w:id="1318" w:name="_Toc233100581"/>
      <w:bookmarkStart w:id="1319" w:name="_Toc233107742"/>
      <w:del w:id="1320" w:author="svcMRProcess" w:date="2020-02-17T01:46:00Z">
        <w:r>
          <w:rPr>
            <w:rFonts w:eastAsia="MS Mincho"/>
          </w:rPr>
          <w:delText>Fifth Schedule — Formula for calculating percentage rate of terms charges</w:delText>
        </w:r>
        <w:bookmarkEnd w:id="1316"/>
        <w:bookmarkEnd w:id="1317"/>
        <w:bookmarkEnd w:id="1318"/>
        <w:bookmarkEnd w:id="1319"/>
      </w:del>
    </w:p>
    <w:p>
      <w:pPr>
        <w:pStyle w:val="nzMiscellaneousBody"/>
        <w:jc w:val="right"/>
        <w:rPr>
          <w:del w:id="1321" w:author="svcMRProcess" w:date="2020-02-17T01:46:00Z"/>
          <w:rFonts w:eastAsia="MS Mincho"/>
        </w:rPr>
      </w:pPr>
      <w:del w:id="1322" w:author="svcMRProcess" w:date="2020-02-17T01:46:00Z">
        <w:r>
          <w:rPr>
            <w:rFonts w:eastAsia="MS Mincho"/>
          </w:rPr>
          <w:delText>[s. 3(2)(e)(ix)]</w:delText>
        </w:r>
      </w:del>
    </w:p>
    <w:p>
      <w:pPr>
        <w:pStyle w:val="BlankClose"/>
        <w:rPr>
          <w:del w:id="1323" w:author="svcMRProcess" w:date="2020-02-17T01:46:00Z"/>
          <w:rFonts w:eastAsia="MS Mincho"/>
        </w:rPr>
      </w:pPr>
    </w:p>
    <w:p>
      <w:pPr>
        <w:rPr>
          <w:del w:id="1324" w:author="svcMRProcess" w:date="2020-02-17T01:46:00Z"/>
          <w:rStyle w:val="CharSectno"/>
        </w:rPr>
      </w:pPr>
      <w:bookmarkStart w:id="1325" w:name="_Toc233107854"/>
      <w:bookmarkStart w:id="1326" w:name="_Toc255473747"/>
      <w:bookmarkStart w:id="1327" w:name="_Toc265583802"/>
    </w:p>
    <w:p>
      <w:pPr>
        <w:pStyle w:val="nzHeading5"/>
        <w:rPr>
          <w:del w:id="1328" w:author="svcMRProcess" w:date="2020-02-17T01:46:00Z"/>
        </w:rPr>
      </w:pPr>
      <w:del w:id="1329" w:author="svcMRProcess" w:date="2020-02-17T01:46:00Z">
        <w:r>
          <w:rPr>
            <w:rStyle w:val="CharSectno"/>
          </w:rPr>
          <w:delText>51</w:delText>
        </w:r>
        <w:r>
          <w:delText>.</w:delText>
        </w:r>
        <w:r>
          <w:tab/>
          <w:delText>Various written laws amended</w:delText>
        </w:r>
        <w:bookmarkEnd w:id="1325"/>
        <w:bookmarkEnd w:id="1326"/>
        <w:bookmarkEnd w:id="1327"/>
      </w:del>
    </w:p>
    <w:p>
      <w:pPr>
        <w:pStyle w:val="nzSubsection"/>
        <w:rPr>
          <w:del w:id="1330" w:author="svcMRProcess" w:date="2020-02-17T01:46:00Z"/>
        </w:rPr>
      </w:pPr>
      <w:del w:id="1331" w:author="svcMRProcess" w:date="2020-02-17T01:46:00Z">
        <w:r>
          <w:tab/>
          <w:delText>(1)</w:delText>
        </w:r>
        <w:r>
          <w:tab/>
          <w:delText>This section amends the written laws listed in the Table.</w:delText>
        </w:r>
      </w:del>
    </w:p>
    <w:p>
      <w:pPr>
        <w:pStyle w:val="nzSubsection"/>
        <w:spacing w:after="120"/>
        <w:rPr>
          <w:del w:id="1332" w:author="svcMRProcess" w:date="2020-02-17T01:46:00Z"/>
        </w:rPr>
      </w:pPr>
      <w:del w:id="1333" w:author="svcMRProcess" w:date="2020-02-17T01:46:00Z">
        <w:r>
          <w:tab/>
          <w:delText>(2)</w:delText>
        </w:r>
        <w:r>
          <w:tab/>
          <w:delText>Amend the provisions listed in the Table as set out in the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del w:id="1334" w:author="svcMRProcess" w:date="2020-02-17T01:46:00Z"/>
        </w:trPr>
        <w:tc>
          <w:tcPr>
            <w:tcW w:w="6804" w:type="dxa"/>
            <w:gridSpan w:val="3"/>
          </w:tcPr>
          <w:p>
            <w:pPr>
              <w:pStyle w:val="TableAm"/>
              <w:keepNext/>
              <w:ind w:left="567" w:hanging="567"/>
              <w:rPr>
                <w:del w:id="1335" w:author="svcMRProcess" w:date="2020-02-17T01:46:00Z"/>
                <w:b/>
                <w:bCs/>
                <w:iCs/>
              </w:rPr>
            </w:pPr>
            <w:del w:id="1336" w:author="svcMRProcess" w:date="2020-02-17T01:46:00Z">
              <w:r>
                <w:rPr>
                  <w:b/>
                  <w:bCs/>
                </w:rPr>
                <w:delText>28.</w:delText>
              </w:r>
              <w:r>
                <w:rPr>
                  <w:b/>
                  <w:bCs/>
                </w:rPr>
                <w:tab/>
              </w:r>
              <w:r>
                <w:rPr>
                  <w:b/>
                  <w:bCs/>
                  <w:i/>
                  <w:iCs/>
                </w:rPr>
                <w:delText>Hire</w:delText>
              </w:r>
              <w:r>
                <w:rPr>
                  <w:b/>
                  <w:bCs/>
                  <w:i/>
                  <w:iCs/>
                </w:rPr>
                <w:noBreakHyphen/>
                <w:delText>Purchase Act 1959</w:delText>
              </w:r>
            </w:del>
          </w:p>
        </w:tc>
      </w:tr>
      <w:tr>
        <w:trPr>
          <w:jc w:val="center"/>
          <w:del w:id="1337" w:author="svcMRProcess" w:date="2020-02-17T01:46:00Z"/>
        </w:trPr>
        <w:tc>
          <w:tcPr>
            <w:tcW w:w="1702" w:type="dxa"/>
          </w:tcPr>
          <w:p>
            <w:pPr>
              <w:pStyle w:val="TableAm"/>
              <w:rPr>
                <w:del w:id="1338" w:author="svcMRProcess" w:date="2020-02-17T01:46:00Z"/>
              </w:rPr>
            </w:pPr>
            <w:del w:id="1339" w:author="svcMRProcess" w:date="2020-02-17T01:46:00Z">
              <w:r>
                <w:delText>s. 3(6)</w:delText>
              </w:r>
            </w:del>
          </w:p>
        </w:tc>
        <w:tc>
          <w:tcPr>
            <w:tcW w:w="2551" w:type="dxa"/>
          </w:tcPr>
          <w:p>
            <w:pPr>
              <w:pStyle w:val="TableAm"/>
              <w:rPr>
                <w:del w:id="1340" w:author="svcMRProcess" w:date="2020-02-17T01:46:00Z"/>
                <w:snapToGrid w:val="0"/>
              </w:rPr>
            </w:pPr>
            <w:del w:id="1341" w:author="svcMRProcess" w:date="2020-02-17T01:46:00Z">
              <w:r>
                <w:rPr>
                  <w:snapToGrid w:val="0"/>
                </w:rPr>
                <w:delText>price:</w:delText>
              </w:r>
            </w:del>
          </w:p>
          <w:p>
            <w:pPr>
              <w:pStyle w:val="TableAm"/>
              <w:rPr>
                <w:del w:id="1342" w:author="svcMRProcess" w:date="2020-02-17T01:46:00Z"/>
              </w:rPr>
            </w:pPr>
            <w:del w:id="1343" w:author="svcMRProcess" w:date="2020-02-17T01:46:00Z">
              <w:r>
                <w:rPr>
                  <w:snapToGrid w:val="0"/>
                </w:rPr>
                <w:delText>Provided that in each case — </w:delText>
              </w:r>
            </w:del>
          </w:p>
        </w:tc>
        <w:tc>
          <w:tcPr>
            <w:tcW w:w="2551" w:type="dxa"/>
          </w:tcPr>
          <w:p>
            <w:pPr>
              <w:pStyle w:val="TableAm"/>
              <w:rPr>
                <w:del w:id="1344" w:author="svcMRProcess" w:date="2020-02-17T01:46:00Z"/>
                <w:snapToGrid w:val="0"/>
              </w:rPr>
            </w:pPr>
            <w:del w:id="1345" w:author="svcMRProcess" w:date="2020-02-17T01:46:00Z">
              <w:r>
                <w:rPr>
                  <w:snapToGrid w:val="0"/>
                </w:rPr>
                <w:delText>price.</w:delText>
              </w:r>
            </w:del>
          </w:p>
          <w:p>
            <w:pPr>
              <w:pStyle w:val="TableAm"/>
              <w:ind w:left="567" w:hanging="567"/>
              <w:rPr>
                <w:del w:id="1346" w:author="svcMRProcess" w:date="2020-02-17T01:46:00Z"/>
              </w:rPr>
            </w:pPr>
            <w:del w:id="1347" w:author="svcMRProcess" w:date="2020-02-17T01:46:00Z">
              <w:r>
                <w:rPr>
                  <w:snapToGrid w:val="0"/>
                </w:rPr>
                <w:delText>(6A)</w:delText>
              </w:r>
              <w:r>
                <w:rPr>
                  <w:snapToGrid w:val="0"/>
                </w:rPr>
                <w:tab/>
                <w:delText>In each case referred to in subsection (6) — </w:delText>
              </w:r>
            </w:del>
          </w:p>
        </w:tc>
      </w:tr>
      <w:tr>
        <w:trPr>
          <w:jc w:val="center"/>
          <w:del w:id="1348" w:author="svcMRProcess" w:date="2020-02-17T01:46:00Z"/>
        </w:trPr>
        <w:tc>
          <w:tcPr>
            <w:tcW w:w="1702" w:type="dxa"/>
          </w:tcPr>
          <w:p>
            <w:pPr>
              <w:pStyle w:val="TableAm"/>
              <w:keepNext/>
              <w:rPr>
                <w:del w:id="1349" w:author="svcMRProcess" w:date="2020-02-17T01:46:00Z"/>
              </w:rPr>
            </w:pPr>
            <w:del w:id="1350" w:author="svcMRProcess" w:date="2020-02-17T01:46:00Z">
              <w:r>
                <w:delText>Fifth Sch.</w:delText>
              </w:r>
            </w:del>
          </w:p>
        </w:tc>
        <w:tc>
          <w:tcPr>
            <w:tcW w:w="2551" w:type="dxa"/>
          </w:tcPr>
          <w:p>
            <w:pPr>
              <w:pStyle w:val="TableAm"/>
              <w:keepNext/>
              <w:tabs>
                <w:tab w:val="left" w:pos="615"/>
              </w:tabs>
              <w:rPr>
                <w:del w:id="1351" w:author="svcMRProcess" w:date="2020-02-17T01:46:00Z"/>
                <w:snapToGrid w:val="0"/>
                <w:sz w:val="22"/>
              </w:rPr>
            </w:pPr>
            <w:del w:id="1352" w:author="svcMRProcess" w:date="2020-02-17T01:46:00Z">
              <w:r>
                <w:rPr>
                  <w:snapToGrid w:val="0"/>
                  <w:sz w:val="22"/>
                </w:rPr>
                <w:delText>(1)</w:delText>
              </w:r>
              <w:r>
                <w:rPr>
                  <w:snapToGrid w:val="0"/>
                  <w:sz w:val="22"/>
                </w:rPr>
                <w:tab/>
                <w:delText>The rate</w:delText>
              </w:r>
              <w:r>
                <w:rPr>
                  <w:snapToGrid w:val="0"/>
                  <w:sz w:val="22"/>
                </w:rPr>
                <w:br/>
              </w:r>
              <w:r>
                <w:rPr>
                  <w:snapToGrid w:val="0"/>
                  <w:sz w:val="22"/>
                </w:rPr>
                <w:br/>
              </w:r>
              <w:r>
                <w:rPr>
                  <w:snapToGrid w:val="0"/>
                  <w:sz w:val="22"/>
                </w:rPr>
                <w:br/>
              </w:r>
            </w:del>
          </w:p>
          <w:p>
            <w:pPr>
              <w:pStyle w:val="TableAm"/>
              <w:keepNext/>
              <w:spacing w:before="0"/>
              <w:rPr>
                <w:del w:id="1353" w:author="svcMRProcess" w:date="2020-02-17T01:46:00Z"/>
                <w:snapToGrid w:val="0"/>
                <w:sz w:val="22"/>
              </w:rPr>
            </w:pPr>
          </w:p>
          <w:p>
            <w:pPr>
              <w:pStyle w:val="TableAm"/>
              <w:keepNext/>
              <w:tabs>
                <w:tab w:val="left" w:pos="615"/>
              </w:tabs>
              <w:rPr>
                <w:del w:id="1354" w:author="svcMRProcess" w:date="2020-02-17T01:46:00Z"/>
                <w:snapToGrid w:val="0"/>
                <w:sz w:val="22"/>
              </w:rPr>
            </w:pPr>
            <w:del w:id="1355" w:author="svcMRProcess" w:date="2020-02-17T01:46:00Z">
              <w:r>
                <w:rPr>
                  <w:snapToGrid w:val="0"/>
                </w:rPr>
                <w:delText>(2)(a)</w:delText>
              </w:r>
              <w:r>
                <w:rPr>
                  <w:snapToGrid w:val="0"/>
                </w:rPr>
                <w:tab/>
                <w:delText>In lieu</w:delText>
              </w:r>
            </w:del>
          </w:p>
          <w:p>
            <w:pPr>
              <w:pStyle w:val="TableAm"/>
              <w:keepNext/>
              <w:tabs>
                <w:tab w:val="left" w:pos="615"/>
              </w:tabs>
              <w:rPr>
                <w:del w:id="1356" w:author="svcMRProcess" w:date="2020-02-17T01:46:00Z"/>
                <w:snapToGrid w:val="0"/>
              </w:rPr>
            </w:pPr>
            <w:del w:id="1357" w:author="svcMRProcess" w:date="2020-02-17T01:46:00Z">
              <w:r>
                <w:rPr>
                  <w:snapToGrid w:val="0"/>
                </w:rPr>
                <w:delText>(i)</w:delText>
              </w:r>
              <w:r>
                <w:rPr>
                  <w:snapToGrid w:val="0"/>
                </w:rPr>
                <w:tab/>
                <w:delText>to calculate</w:delText>
              </w:r>
            </w:del>
          </w:p>
          <w:p>
            <w:pPr>
              <w:pStyle w:val="TableAm"/>
              <w:keepNext/>
              <w:tabs>
                <w:tab w:val="left" w:pos="615"/>
              </w:tabs>
              <w:rPr>
                <w:del w:id="1358" w:author="svcMRProcess" w:date="2020-02-17T01:46:00Z"/>
                <w:snapToGrid w:val="0"/>
              </w:rPr>
            </w:pPr>
            <w:del w:id="1359" w:author="svcMRProcess" w:date="2020-02-17T01:46:00Z">
              <w:r>
                <w:rPr>
                  <w:snapToGrid w:val="0"/>
                </w:rPr>
                <w:delText>(ii)</w:delText>
              </w:r>
              <w:r>
                <w:rPr>
                  <w:snapToGrid w:val="0"/>
                </w:rPr>
                <w:tab/>
                <w:delText>to convert</w:delText>
              </w:r>
            </w:del>
          </w:p>
          <w:p>
            <w:pPr>
              <w:pStyle w:val="TableAm"/>
              <w:keepNext/>
              <w:tabs>
                <w:tab w:val="left" w:pos="615"/>
              </w:tabs>
              <w:rPr>
                <w:del w:id="1360" w:author="svcMRProcess" w:date="2020-02-17T01:46:00Z"/>
                <w:sz w:val="22"/>
              </w:rPr>
            </w:pPr>
            <w:del w:id="1361" w:author="svcMRProcess" w:date="2020-02-17T01:46:00Z">
              <w:r>
                <w:rPr>
                  <w:snapToGrid w:val="0"/>
                </w:rPr>
                <w:delText>(b)</w:delText>
              </w:r>
              <w:r>
                <w:rPr>
                  <w:snapToGrid w:val="0"/>
                </w:rPr>
                <w:tab/>
                <w:delText>For the</w:delText>
              </w:r>
            </w:del>
          </w:p>
        </w:tc>
        <w:tc>
          <w:tcPr>
            <w:tcW w:w="2551" w:type="dxa"/>
          </w:tcPr>
          <w:p>
            <w:pPr>
              <w:pStyle w:val="TableAm"/>
              <w:keepNext/>
              <w:ind w:left="567" w:hanging="567"/>
              <w:rPr>
                <w:del w:id="1362" w:author="svcMRProcess" w:date="2020-02-17T01:46:00Z"/>
                <w:b/>
                <w:bCs/>
                <w:snapToGrid w:val="0"/>
                <w:sz w:val="22"/>
              </w:rPr>
            </w:pPr>
            <w:del w:id="1363" w:author="svcMRProcess" w:date="2020-02-17T01:46:00Z">
              <w:r>
                <w:rPr>
                  <w:b/>
                  <w:bCs/>
                  <w:snapToGrid w:val="0"/>
                  <w:sz w:val="22"/>
                </w:rPr>
                <w:delText>1.</w:delText>
              </w:r>
              <w:r>
                <w:rPr>
                  <w:b/>
                  <w:bCs/>
                  <w:snapToGrid w:val="0"/>
                  <w:sz w:val="22"/>
                </w:rPr>
                <w:tab/>
                <w:delText>Formula for calculating percentage rate of terms charges</w:delText>
              </w:r>
            </w:del>
          </w:p>
          <w:p>
            <w:pPr>
              <w:pStyle w:val="TableAm"/>
              <w:keepNext/>
              <w:tabs>
                <w:tab w:val="left" w:pos="113"/>
              </w:tabs>
              <w:spacing w:before="0"/>
              <w:ind w:left="567" w:hanging="567"/>
              <w:rPr>
                <w:del w:id="1364" w:author="svcMRProcess" w:date="2020-02-17T01:46:00Z"/>
                <w:snapToGrid w:val="0"/>
                <w:sz w:val="22"/>
              </w:rPr>
            </w:pPr>
            <w:del w:id="1365" w:author="svcMRProcess" w:date="2020-02-17T01:46:00Z">
              <w:r>
                <w:rPr>
                  <w:snapToGrid w:val="0"/>
                  <w:sz w:val="22"/>
                </w:rPr>
                <w:tab/>
                <w:delText>(1)</w:delText>
              </w:r>
              <w:r>
                <w:rPr>
                  <w:snapToGrid w:val="0"/>
                  <w:sz w:val="22"/>
                </w:rPr>
                <w:tab/>
                <w:delText>The rate</w:delText>
              </w:r>
            </w:del>
          </w:p>
          <w:p>
            <w:pPr>
              <w:pStyle w:val="TableAm"/>
              <w:keepNext/>
              <w:ind w:left="567" w:hanging="567"/>
              <w:rPr>
                <w:del w:id="1366" w:author="svcMRProcess" w:date="2020-02-17T01:46:00Z"/>
                <w:snapToGrid w:val="0"/>
              </w:rPr>
            </w:pPr>
            <w:del w:id="1367" w:author="svcMRProcess" w:date="2020-02-17T01:46:00Z">
              <w:r>
                <w:rPr>
                  <w:snapToGrid w:val="0"/>
                </w:rPr>
                <w:delText>(2A)</w:delText>
              </w:r>
              <w:r>
                <w:rPr>
                  <w:snapToGrid w:val="0"/>
                </w:rPr>
                <w:tab/>
                <w:delText>In lieu</w:delText>
              </w:r>
            </w:del>
          </w:p>
          <w:p>
            <w:pPr>
              <w:pStyle w:val="TableAm"/>
              <w:keepNext/>
              <w:ind w:left="567" w:hanging="567"/>
              <w:rPr>
                <w:del w:id="1368" w:author="svcMRProcess" w:date="2020-02-17T01:46:00Z"/>
                <w:snapToGrid w:val="0"/>
              </w:rPr>
            </w:pPr>
            <w:del w:id="1369" w:author="svcMRProcess" w:date="2020-02-17T01:46:00Z">
              <w:r>
                <w:rPr>
                  <w:snapToGrid w:val="0"/>
                </w:rPr>
                <w:delText>(a)</w:delText>
              </w:r>
              <w:r>
                <w:rPr>
                  <w:snapToGrid w:val="0"/>
                </w:rPr>
                <w:tab/>
                <w:delText>to calculate</w:delText>
              </w:r>
            </w:del>
          </w:p>
          <w:p>
            <w:pPr>
              <w:pStyle w:val="TableAm"/>
              <w:keepNext/>
              <w:ind w:left="567" w:hanging="567"/>
              <w:rPr>
                <w:del w:id="1370" w:author="svcMRProcess" w:date="2020-02-17T01:46:00Z"/>
                <w:snapToGrid w:val="0"/>
              </w:rPr>
            </w:pPr>
            <w:del w:id="1371" w:author="svcMRProcess" w:date="2020-02-17T01:46:00Z">
              <w:r>
                <w:rPr>
                  <w:snapToGrid w:val="0"/>
                </w:rPr>
                <w:delText>(b)</w:delText>
              </w:r>
              <w:r>
                <w:rPr>
                  <w:snapToGrid w:val="0"/>
                </w:rPr>
                <w:tab/>
                <w:delText>to convert</w:delText>
              </w:r>
            </w:del>
          </w:p>
          <w:p>
            <w:pPr>
              <w:pStyle w:val="TableAm"/>
              <w:keepNext/>
              <w:ind w:left="567" w:hanging="567"/>
              <w:rPr>
                <w:del w:id="1372" w:author="svcMRProcess" w:date="2020-02-17T01:46:00Z"/>
                <w:sz w:val="22"/>
              </w:rPr>
            </w:pPr>
            <w:del w:id="1373" w:author="svcMRProcess" w:date="2020-02-17T01:46:00Z">
              <w:r>
                <w:rPr>
                  <w:snapToGrid w:val="0"/>
                </w:rPr>
                <w:delText>(2B)</w:delText>
              </w:r>
              <w:r>
                <w:rPr>
                  <w:snapToGrid w:val="0"/>
                </w:rPr>
                <w:tab/>
                <w:delText>For the</w:delText>
              </w:r>
            </w:del>
          </w:p>
        </w:tc>
      </w:tr>
    </w:tbl>
    <w:p>
      <w:pPr>
        <w:pStyle w:val="BlankClose"/>
        <w:rPr>
          <w:del w:id="1374" w:author="svcMRProcess" w:date="2020-02-17T01:46:00Z"/>
          <w:rFonts w:eastAsia="MS Mincho"/>
        </w:rPr>
      </w:pPr>
    </w:p>
    <w:p>
      <w:pPr>
        <w:ind w:left="720" w:hanging="720"/>
        <w:rPr>
          <w:bCs/>
        </w:rPr>
      </w:pPr>
    </w:p>
    <w:p>
      <w:pPr>
        <w:ind w:left="720" w:hanging="720"/>
        <w:rPr>
          <w:bCs/>
        </w:rPr>
        <w:sectPr>
          <w:headerReference w:type="even" r:id="rId26"/>
          <w:headerReference w:type="default" r:id="rId27"/>
          <w:pgSz w:w="11906" w:h="16838" w:code="9"/>
          <w:pgMar w:top="2376" w:right="2405" w:bottom="3542" w:left="2405" w:header="706" w:footer="3380" w:gutter="0"/>
          <w:cols w:space="720"/>
          <w:noEndnote/>
          <w:docGrid w:linePitch="326"/>
        </w:sectPr>
      </w:pPr>
    </w:p>
    <w:p>
      <w:pPr>
        <w:ind w:left="720" w:hanging="720"/>
        <w:rPr>
          <w:bCs/>
        </w:rPr>
      </w:pP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rPr>
              <w:noProof/>
            </w:rPr>
            <w:fldChar w:fldCharType="end"/>
          </w:r>
        </w:p>
      </w:tc>
      <w:tc>
        <w:tcPr>
          <w:tcW w:w="5511" w:type="dxa"/>
        </w:tcPr>
        <w:p>
          <w:pPr>
            <w:pStyle w:val="HeaderTextLeft"/>
          </w:pPr>
          <w:r>
            <w:fldChar w:fldCharType="begin"/>
          </w:r>
          <w:r>
            <w:instrText xml:space="preserve"> styleref CharSchText </w:instrText>
          </w:r>
          <w:r>
            <w:rPr>
              <w:noProof/>
            </w:rP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rPr>
              <w:noProof/>
            </w:rP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rPr>
              <w:noProof/>
            </w:rPr>
            <w:fldChar w:fldCharType="end"/>
          </w:r>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r>
            <w:fldChar w:fldCharType="begin"/>
          </w:r>
          <w:r>
            <w:instrText xml:space="preserve"> styleref CharSDivText </w:instrText>
          </w:r>
          <w:r>
            <w:rPr>
              <w:noProof/>
            </w:rP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46"/>
    <w:docVar w:name="WAFER_20151211133246" w:val="RemoveTrackChanges"/>
    <w:docVar w:name="WAFER_20151211133246_GUID" w:val="dba439ab-15c7-4bbd-8ff3-4695e13241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19859</Words>
  <Characters>95324</Characters>
  <Application>Microsoft Office Word</Application>
  <DocSecurity>0</DocSecurity>
  <Lines>2508</Lines>
  <Paragraphs>1118</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07-h0-03 - 07-i0-02</dc:title>
  <dc:subject/>
  <dc:creator/>
  <cp:keywords/>
  <dc:description/>
  <cp:lastModifiedBy>svcMRProcess</cp:lastModifiedBy>
  <cp:revision>2</cp:revision>
  <cp:lastPrinted>2006-08-29T02:35:00Z</cp:lastPrinted>
  <dcterms:created xsi:type="dcterms:W3CDTF">2020-02-16T17:46:00Z</dcterms:created>
  <dcterms:modified xsi:type="dcterms:W3CDTF">2020-02-16T17:46:00Z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FromSuffix">
    <vt:lpwstr>07-h0-03</vt:lpwstr>
  </property>
  <property fmtid="{D5CDD505-2E9C-101B-9397-08002B2CF9AE}" pid="8" name="FromAsAtDate">
    <vt:lpwstr>01 Jul 2010</vt:lpwstr>
  </property>
  <property fmtid="{D5CDD505-2E9C-101B-9397-08002B2CF9AE}" pid="9" name="ToSuffix">
    <vt:lpwstr>07-i0-02</vt:lpwstr>
  </property>
  <property fmtid="{D5CDD505-2E9C-101B-9397-08002B2CF9AE}" pid="10" name="ToAsAtDate">
    <vt:lpwstr>11 Sep 2010</vt:lpwstr>
  </property>
</Properties>
</file>