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Assistance Compensation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400"/>
      </w:pPr>
      <w:r>
        <w:t>Police Assistance Compensation Act 1964</w:t>
      </w:r>
    </w:p>
    <w:p>
      <w:pPr>
        <w:pStyle w:val="LongTitle"/>
        <w:rPr>
          <w:snapToGrid w:val="0"/>
        </w:rPr>
      </w:pPr>
      <w:r>
        <w:rPr>
          <w:snapToGrid w:val="0"/>
        </w:rPr>
        <w:t>A</w:t>
      </w:r>
      <w:bookmarkStart w:id="0" w:name="_GoBack"/>
      <w:bookmarkEnd w:id="0"/>
      <w:r>
        <w:rPr>
          <w:snapToGrid w:val="0"/>
        </w:rPr>
        <w:t xml:space="preserve">n Act to provide for the payment of compensation to persons injured while assisting police officers in the execution of their duty, and to dependants of those persons and for incidental and other purposes. </w:t>
      </w:r>
    </w:p>
    <w:p>
      <w:pPr>
        <w:pStyle w:val="Heading5"/>
        <w:spacing w:before="360"/>
        <w:rPr>
          <w:snapToGrid w:val="0"/>
        </w:rPr>
      </w:pPr>
      <w:bookmarkStart w:id="1" w:name="_Toc378261860"/>
      <w:bookmarkStart w:id="2" w:name="_Toc464957242"/>
      <w:bookmarkStart w:id="3" w:name="_Toc120944875"/>
      <w:bookmarkStart w:id="4" w:name="_Toc26766575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pPr>
        <w:pStyle w:val="Heading5"/>
        <w:rPr>
          <w:snapToGrid w:val="0"/>
        </w:rPr>
      </w:pPr>
      <w:bookmarkStart w:id="5" w:name="_Toc378261861"/>
      <w:bookmarkStart w:id="6" w:name="_Toc464957243"/>
      <w:bookmarkStart w:id="7" w:name="_Toc120944876"/>
      <w:bookmarkStart w:id="8" w:name="_Toc26766575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378261862"/>
      <w:bookmarkStart w:id="10" w:name="_Toc402748140"/>
      <w:bookmarkStart w:id="11" w:name="_Toc464957244"/>
      <w:bookmarkStart w:id="12" w:name="_Toc120944877"/>
      <w:bookmarkStart w:id="13" w:name="_Toc267665759"/>
      <w:r>
        <w:rPr>
          <w:rStyle w:val="CharSectno"/>
        </w:rPr>
        <w:t>3</w:t>
      </w:r>
      <w:r>
        <w:rPr>
          <w:snapToGrid w:val="0"/>
        </w:rPr>
        <w:t>.</w:t>
      </w:r>
      <w:r>
        <w:rPr>
          <w:snapToGrid w:val="0"/>
        </w:rPr>
        <w:tab/>
        <w:t>Act to bind Crown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4" w:name="_Toc378261863"/>
      <w:bookmarkStart w:id="15" w:name="_Toc464957245"/>
      <w:bookmarkStart w:id="16" w:name="_Toc120944878"/>
      <w:bookmarkStart w:id="17" w:name="_Toc267665760"/>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spacing w:before="140"/>
        <w:rPr>
          <w:snapToGrid w:val="0"/>
        </w:rPr>
      </w:pPr>
      <w:r>
        <w:rPr>
          <w:snapToGrid w:val="0"/>
        </w:rPr>
        <w:tab/>
      </w:r>
      <w:ins w:id="18" w:author="svcMRProcess" w:date="2015-11-04T22:10:00Z">
        <w:r>
          <w:rPr>
            <w:snapToGrid w:val="0"/>
          </w:rPr>
          <w:t>(1)</w:t>
        </w:r>
      </w:ins>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del w:id="19" w:author="svcMRProcess" w:date="2015-11-04T22:10:00Z">
        <w:r>
          <w:delText>; and</w:delText>
        </w:r>
      </w:del>
      <w:ins w:id="20" w:author="svcMRProcess" w:date="2015-11-04T22:10:00Z">
        <w:r>
          <w:t>.</w:t>
        </w:r>
      </w:ins>
    </w:p>
    <w:p>
      <w:pPr>
        <w:pStyle w:val="Subsection"/>
      </w:pPr>
      <w:r>
        <w:tab/>
      </w:r>
      <w:ins w:id="21" w:author="svcMRProcess" w:date="2015-11-04T22:10:00Z">
        <w:r>
          <w:t>(2)</w:t>
        </w:r>
      </w:ins>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 by No. 42 of 2004 s. 175</w:t>
      </w:r>
      <w:ins w:id="22" w:author="svcMRProcess" w:date="2015-11-04T22:10:00Z">
        <w:r>
          <w:t>; No. 19 of 2010 s. 51</w:t>
        </w:r>
      </w:ins>
      <w:r>
        <w:t>.]</w:t>
      </w:r>
    </w:p>
    <w:p>
      <w:pPr>
        <w:pStyle w:val="Heading5"/>
      </w:pPr>
      <w:bookmarkStart w:id="23" w:name="_Toc378261864"/>
      <w:bookmarkStart w:id="24" w:name="_Toc464957246"/>
      <w:bookmarkStart w:id="25" w:name="_Toc120944879"/>
      <w:bookmarkStart w:id="26" w:name="_Toc267665761"/>
      <w:r>
        <w:rPr>
          <w:rStyle w:val="CharSectno"/>
        </w:rPr>
        <w:t>5</w:t>
      </w:r>
      <w:r>
        <w:t>.</w:t>
      </w:r>
      <w:r>
        <w:tab/>
        <w:t>Compensation for personal injuries suffered while assisting police</w:t>
      </w:r>
      <w:bookmarkEnd w:id="23"/>
      <w:bookmarkEnd w:id="24"/>
      <w:bookmarkEnd w:id="25"/>
      <w:bookmarkEnd w:id="26"/>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spacing w:before="80"/>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r>
      <w:del w:id="27" w:author="svcMRProcess" w:date="2015-11-04T22:10:00Z">
        <w:r>
          <w:delText>(a)</w:delText>
        </w:r>
        <w:r>
          <w:tab/>
        </w:r>
      </w:del>
      <w:r>
        <w:t xml:space="preserve">Subject to </w:t>
      </w:r>
      <w:del w:id="28" w:author="svcMRProcess" w:date="2015-11-04T22:10:00Z">
        <w:r>
          <w:delText>paragraph (b</w:delText>
        </w:r>
      </w:del>
      <w:ins w:id="29" w:author="svcMRProcess" w:date="2015-11-04T22:10:00Z">
        <w:r>
          <w:t>subsection (4</w:t>
        </w:r>
      </w:ins>
      <w:r>
        <w:t>),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w:t>
      </w:r>
      <w:del w:id="30" w:author="svcMRProcess" w:date="2015-11-04T22:10:00Z">
        <w:r>
          <w:rPr>
            <w:snapToGrid w:val="0"/>
          </w:rPr>
          <w:delText>b</w:delText>
        </w:r>
      </w:del>
      <w:ins w:id="31" w:author="svcMRProcess" w:date="2015-11-04T22:10:00Z">
        <w:r>
          <w:rPr>
            <w:snapToGrid w:val="0"/>
          </w:rPr>
          <w:t>4</w:t>
        </w:r>
      </w:ins>
      <w:r>
        <w:rPr>
          <w:snapToGrid w:val="0"/>
        </w:rPr>
        <w:t>)</w:t>
      </w:r>
      <w:r>
        <w:rPr>
          <w:snapToGrid w:val="0"/>
        </w:rPr>
        <w:tab/>
        <w:t xml:space="preserve">The amount of compensation that may be paid under </w:t>
      </w:r>
      <w:del w:id="32" w:author="svcMRProcess" w:date="2015-11-04T22:10:00Z">
        <w:r>
          <w:rPr>
            <w:snapToGrid w:val="0"/>
          </w:rPr>
          <w:delText>paragraph (a</w:delText>
        </w:r>
      </w:del>
      <w:ins w:id="33" w:author="svcMRProcess" w:date="2015-11-04T22:10:00Z">
        <w:r>
          <w:rPr>
            <w:snapToGrid w:val="0"/>
          </w:rPr>
          <w:t>subsection (3</w:t>
        </w:r>
      </w:ins>
      <w:r>
        <w:rPr>
          <w:snapToGrid w:val="0"/>
        </w:rPr>
        <w:t>) shall not exceed — </w:t>
      </w:r>
    </w:p>
    <w:p>
      <w:pPr>
        <w:pStyle w:val="Indenta"/>
        <w:rPr>
          <w:snapToGrid w:val="0"/>
        </w:rPr>
      </w:pPr>
      <w:r>
        <w:rPr>
          <w:snapToGrid w:val="0"/>
        </w:rPr>
        <w:tab/>
        <w:t>(</w:t>
      </w:r>
      <w:del w:id="34" w:author="svcMRProcess" w:date="2015-11-04T22:10:00Z">
        <w:r>
          <w:rPr>
            <w:snapToGrid w:val="0"/>
          </w:rPr>
          <w:delText>i</w:delText>
        </w:r>
      </w:del>
      <w:ins w:id="35" w:author="svcMRProcess" w:date="2015-11-04T22:10:00Z">
        <w:r>
          <w:rPr>
            <w:snapToGrid w:val="0"/>
          </w:rPr>
          <w:t>a</w:t>
        </w:r>
      </w:ins>
      <w:r>
        <w:rPr>
          <w:snapToGrid w:val="0"/>
        </w:rPr>
        <w:t>)</w:t>
      </w:r>
      <w:r>
        <w:rPr>
          <w:snapToGrid w:val="0"/>
        </w:rPr>
        <w:tab/>
        <w:t>in the case of a claim by a person such amount as may be prescribed; and</w:t>
      </w:r>
    </w:p>
    <w:p>
      <w:pPr>
        <w:pStyle w:val="Indenta"/>
        <w:rPr>
          <w:snapToGrid w:val="0"/>
        </w:rPr>
      </w:pPr>
      <w:r>
        <w:rPr>
          <w:snapToGrid w:val="0"/>
        </w:rPr>
        <w:tab/>
        <w:t>(</w:t>
      </w:r>
      <w:del w:id="36" w:author="svcMRProcess" w:date="2015-11-04T22:10:00Z">
        <w:r>
          <w:rPr>
            <w:snapToGrid w:val="0"/>
          </w:rPr>
          <w:delText>ii</w:delText>
        </w:r>
      </w:del>
      <w:ins w:id="37" w:author="svcMRProcess" w:date="2015-11-04T22:10:00Z">
        <w:r>
          <w:rPr>
            <w:snapToGrid w:val="0"/>
          </w:rPr>
          <w:t>b</w:t>
        </w:r>
      </w:ins>
      <w:r>
        <w:rPr>
          <w:snapToGrid w:val="0"/>
        </w:rPr>
        <w:t>)</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w:t>
      </w:r>
      <w:del w:id="38" w:author="svcMRProcess" w:date="2015-11-04T22:10:00Z">
        <w:r>
          <w:rPr>
            <w:snapToGrid w:val="0"/>
          </w:rPr>
          <w:delText>c</w:delText>
        </w:r>
      </w:del>
      <w:ins w:id="39" w:author="svcMRProcess" w:date="2015-11-04T22:10:00Z">
        <w:r>
          <w:rPr>
            <w:snapToGrid w:val="0"/>
          </w:rPr>
          <w:t>5</w:t>
        </w:r>
      </w:ins>
      <w:r>
        <w:rPr>
          <w:snapToGrid w:val="0"/>
        </w:rPr>
        <w:t>)</w:t>
      </w:r>
      <w:r>
        <w:rPr>
          <w:snapToGrid w:val="0"/>
        </w:rPr>
        <w:tab/>
        <w:t xml:space="preserve">A person is not entitled to recover both damages in respect of damage or destruction to any property referred to in </w:t>
      </w:r>
      <w:del w:id="40" w:author="svcMRProcess" w:date="2015-11-04T22:10:00Z">
        <w:r>
          <w:rPr>
            <w:snapToGrid w:val="0"/>
          </w:rPr>
          <w:delText>paragraph (a</w:delText>
        </w:r>
      </w:del>
      <w:ins w:id="41" w:author="svcMRProcess" w:date="2015-11-04T22:10:00Z">
        <w:r>
          <w:rPr>
            <w:snapToGrid w:val="0"/>
          </w:rPr>
          <w:t>subsection (3</w:t>
        </w:r>
      </w:ins>
      <w:r>
        <w:rPr>
          <w:snapToGrid w:val="0"/>
        </w:rPr>
        <w:t>),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w:t>
      </w:r>
      <w:del w:id="42" w:author="svcMRProcess" w:date="2015-11-04T22:10:00Z">
        <w:r>
          <w:rPr>
            <w:snapToGrid w:val="0"/>
          </w:rPr>
          <w:delText>d</w:delText>
        </w:r>
      </w:del>
      <w:ins w:id="43" w:author="svcMRProcess" w:date="2015-11-04T22:10:00Z">
        <w:r>
          <w:rPr>
            <w:snapToGrid w:val="0"/>
          </w:rPr>
          <w:t>6</w:t>
        </w:r>
      </w:ins>
      <w:r>
        <w:rPr>
          <w:snapToGrid w:val="0"/>
        </w:rPr>
        <w:t>)</w:t>
      </w:r>
      <w:r>
        <w:rPr>
          <w:snapToGrid w:val="0"/>
        </w:rPr>
        <w:tab/>
        <w:t>Where pursuant to this Act any amount is paid to any person, under the age of 21 years, his receipt therefor shall be a sufficient discharge.</w:t>
      </w:r>
    </w:p>
    <w:p>
      <w:pPr>
        <w:pStyle w:val="Footnotesection"/>
      </w:pPr>
      <w:r>
        <w:tab/>
        <w:t>[Section 5 amended by No. 42 of 2004 s. 167(2)-(4) and 175</w:t>
      </w:r>
      <w:ins w:id="44" w:author="svcMRProcess" w:date="2015-11-04T22:10:00Z">
        <w:r>
          <w:t>; No. 19 of 2010 s. 51</w:t>
        </w:r>
      </w:ins>
      <w:r>
        <w:t>.]</w:t>
      </w:r>
    </w:p>
    <w:p>
      <w:pPr>
        <w:pStyle w:val="Heading5"/>
        <w:rPr>
          <w:snapToGrid w:val="0"/>
        </w:rPr>
      </w:pPr>
      <w:bookmarkStart w:id="45" w:name="_Toc464957247"/>
      <w:bookmarkStart w:id="46" w:name="_Toc378261865"/>
      <w:bookmarkStart w:id="47" w:name="_Toc120944880"/>
      <w:bookmarkStart w:id="48" w:name="_Toc267665762"/>
      <w:r>
        <w:rPr>
          <w:rStyle w:val="CharSectno"/>
        </w:rPr>
        <w:t>6</w:t>
      </w:r>
      <w:r>
        <w:rPr>
          <w:snapToGrid w:val="0"/>
        </w:rPr>
        <w:t>.</w:t>
      </w:r>
      <w:r>
        <w:rPr>
          <w:snapToGrid w:val="0"/>
        </w:rPr>
        <w:tab/>
      </w:r>
      <w:bookmarkEnd w:id="45"/>
      <w:r>
        <w:rPr>
          <w:snapToGrid w:val="0"/>
        </w:rPr>
        <w:t>Resolving questions as to entitlements</w:t>
      </w:r>
      <w:bookmarkEnd w:id="46"/>
      <w:bookmarkEnd w:id="47"/>
      <w:bookmarkEnd w:id="48"/>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by No. 34 of 1999 s. 61; No. 42 of 2004 s. 167(5).]</w:t>
      </w:r>
    </w:p>
    <w:p>
      <w:pPr>
        <w:pStyle w:val="Heading5"/>
        <w:rPr>
          <w:snapToGrid w:val="0"/>
        </w:rPr>
      </w:pPr>
      <w:bookmarkStart w:id="49" w:name="_Toc378261866"/>
      <w:bookmarkStart w:id="50" w:name="_Toc464957248"/>
      <w:bookmarkStart w:id="51" w:name="_Toc120944881"/>
      <w:bookmarkStart w:id="52" w:name="_Toc267665763"/>
      <w:r>
        <w:rPr>
          <w:rStyle w:val="CharSectno"/>
        </w:rPr>
        <w:t>7</w:t>
      </w:r>
      <w:r>
        <w:rPr>
          <w:snapToGrid w:val="0"/>
        </w:rPr>
        <w:t>.</w:t>
      </w:r>
      <w:r>
        <w:rPr>
          <w:snapToGrid w:val="0"/>
        </w:rPr>
        <w:tab/>
        <w:t>Remedy against wrongdoer</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53" w:name="_Toc378261867"/>
      <w:bookmarkStart w:id="54" w:name="_Toc464957249"/>
      <w:bookmarkStart w:id="55" w:name="_Toc120944882"/>
      <w:bookmarkStart w:id="56" w:name="_Toc267665764"/>
      <w:r>
        <w:rPr>
          <w:rStyle w:val="CharSectno"/>
        </w:rPr>
        <w:t>8</w:t>
      </w:r>
      <w:r>
        <w:rPr>
          <w:snapToGrid w:val="0"/>
        </w:rPr>
        <w:t>.</w:t>
      </w:r>
      <w:r>
        <w:rPr>
          <w:snapToGrid w:val="0"/>
        </w:rPr>
        <w:tab/>
        <w:t>Power of ICWA to issue policy</w:t>
      </w:r>
      <w:bookmarkEnd w:id="53"/>
      <w:bookmarkEnd w:id="54"/>
      <w:bookmarkEnd w:id="55"/>
      <w:bookmarkEnd w:id="56"/>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rPr>
          <w:snapToGrid w:val="0"/>
        </w:rPr>
      </w:pPr>
      <w:r>
        <w:rPr>
          <w:snapToGrid w:val="0"/>
        </w:rPr>
        <w:tab/>
      </w:r>
      <w:r>
        <w:rPr>
          <w:snapToGrid w:val="0"/>
        </w:rPr>
        <w:tab/>
        <w:t>and that Minister is authorised to obtain such a policy or policies of insurance.</w:t>
      </w:r>
    </w:p>
    <w:p>
      <w:pPr>
        <w:pStyle w:val="Footnotesection"/>
      </w:pPr>
      <w:r>
        <w:tab/>
        <w:t xml:space="preserve">[Section 8 amended by No. 45 of 1996 s. 38.] </w:t>
      </w:r>
    </w:p>
    <w:p>
      <w:pPr>
        <w:pStyle w:val="Heading5"/>
        <w:rPr>
          <w:snapToGrid w:val="0"/>
        </w:rPr>
      </w:pPr>
      <w:bookmarkStart w:id="57" w:name="_Toc464957250"/>
      <w:bookmarkStart w:id="58" w:name="_Toc120944883"/>
      <w:bookmarkStart w:id="59" w:name="_Toc378261868"/>
      <w:bookmarkStart w:id="60" w:name="_Toc267665765"/>
      <w:r>
        <w:rPr>
          <w:rStyle w:val="CharSectno"/>
        </w:rPr>
        <w:t>9</w:t>
      </w:r>
      <w:r>
        <w:rPr>
          <w:snapToGrid w:val="0"/>
        </w:rPr>
        <w:t>.</w:t>
      </w:r>
      <w:r>
        <w:rPr>
          <w:snapToGrid w:val="0"/>
        </w:rPr>
        <w:tab/>
        <w:t xml:space="preserve">Certain compensation and expenses incurred in administration of Act payable from </w:t>
      </w:r>
      <w:bookmarkEnd w:id="57"/>
      <w:bookmarkEnd w:id="58"/>
      <w:r>
        <w:rPr>
          <w:snapToGrid w:val="0"/>
        </w:rPr>
        <w:t>Consolidated Account</w:t>
      </w:r>
      <w:bookmarkEnd w:id="59"/>
      <w:bookmarkEnd w:id="60"/>
    </w:p>
    <w:p>
      <w:pPr>
        <w:pStyle w:val="Subsection"/>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rPr>
          <w:snapToGrid w:val="0"/>
        </w:rPr>
      </w:pPr>
      <w:r>
        <w:rPr>
          <w:snapToGrid w:val="0"/>
        </w:rPr>
        <w:tab/>
      </w:r>
      <w:r>
        <w:rPr>
          <w:snapToGrid w:val="0"/>
        </w:rPr>
        <w:tab/>
        <w:t>shall be charged to the Consolidated Account from money appropriated by Parliament for the purpose.</w:t>
      </w:r>
    </w:p>
    <w:p>
      <w:pPr>
        <w:pStyle w:val="Footnotesection"/>
      </w:pPr>
      <w:r>
        <w:tab/>
        <w:t xml:space="preserve">[Section 9 amended by No. 6 of 1993 s. 11; No. 49 of 1996 s. 64; No. 77 of 2006 s. 4.] </w:t>
      </w:r>
    </w:p>
    <w:p>
      <w:pPr>
        <w:pStyle w:val="Heading5"/>
        <w:rPr>
          <w:snapToGrid w:val="0"/>
        </w:rPr>
      </w:pPr>
      <w:bookmarkStart w:id="61" w:name="_Toc378261869"/>
      <w:bookmarkStart w:id="62" w:name="_Toc464957251"/>
      <w:bookmarkStart w:id="63" w:name="_Toc120944884"/>
      <w:bookmarkStart w:id="64" w:name="_Toc267665766"/>
      <w:r>
        <w:rPr>
          <w:rStyle w:val="CharSectno"/>
        </w:rPr>
        <w:t>10</w:t>
      </w:r>
      <w:r>
        <w:rPr>
          <w:snapToGrid w:val="0"/>
        </w:rPr>
        <w:t>.</w:t>
      </w:r>
      <w:r>
        <w:rPr>
          <w:snapToGrid w:val="0"/>
        </w:rPr>
        <w:tab/>
        <w:t>Offences</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rPr>
          <w:snapToGrid w:val="0"/>
        </w:rPr>
      </w:pPr>
      <w:r>
        <w:rPr>
          <w:snapToGrid w:val="0"/>
        </w:rPr>
        <w:tab/>
        <w:t>Penalty: $1 000.</w:t>
      </w:r>
    </w:p>
    <w:p>
      <w:pPr>
        <w:pStyle w:val="Footnotesection"/>
      </w:pPr>
      <w:r>
        <w:tab/>
        <w:t xml:space="preserve">[Section 10 amended by No. 78 of 1995 s. 147.] </w:t>
      </w:r>
    </w:p>
    <w:p>
      <w:pPr>
        <w:pStyle w:val="Heading5"/>
        <w:rPr>
          <w:snapToGrid w:val="0"/>
        </w:rPr>
      </w:pPr>
      <w:bookmarkStart w:id="65" w:name="_Toc378261870"/>
      <w:bookmarkStart w:id="66" w:name="_Toc464957252"/>
      <w:bookmarkStart w:id="67" w:name="_Toc120944885"/>
      <w:bookmarkStart w:id="68" w:name="_Toc267665767"/>
      <w:r>
        <w:rPr>
          <w:rStyle w:val="CharSectno"/>
        </w:rPr>
        <w:t>11</w:t>
      </w:r>
      <w:r>
        <w:rPr>
          <w:snapToGrid w:val="0"/>
        </w:rPr>
        <w:t>.</w:t>
      </w:r>
      <w:r>
        <w:rPr>
          <w:snapToGrid w:val="0"/>
        </w:rPr>
        <w:tab/>
        <w:t>Regulations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9" w:name="_Toc378261871"/>
      <w:bookmarkStart w:id="70" w:name="_Toc88637001"/>
      <w:bookmarkStart w:id="71" w:name="_Toc88637067"/>
      <w:bookmarkStart w:id="72" w:name="_Toc92768978"/>
      <w:bookmarkStart w:id="73" w:name="_Toc106775170"/>
      <w:bookmarkStart w:id="74" w:name="_Toc120944886"/>
      <w:bookmarkStart w:id="75" w:name="_Toc156977125"/>
      <w:bookmarkStart w:id="76" w:name="_Toc158000550"/>
      <w:bookmarkStart w:id="77" w:name="_Toc267665730"/>
      <w:bookmarkStart w:id="78" w:name="_Toc267665768"/>
      <w:r>
        <w:t>Notes</w:t>
      </w:r>
      <w:bookmarkEnd w:id="69"/>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w:t>
      </w:r>
      <w:del w:id="79" w:author="svcMRProcess" w:date="2015-11-04T22:10:00Z">
        <w:r>
          <w:rPr>
            <w:snapToGrid w:val="0"/>
          </w:rPr>
          <w:delText> </w:delText>
        </w:r>
        <w:r>
          <w:rPr>
            <w:snapToGrid w:val="0"/>
            <w:vertAlign w:val="superscript"/>
          </w:rPr>
          <w:delText>1a</w:delText>
        </w:r>
      </w:del>
      <w:r>
        <w:rPr>
          <w:snapToGrid w:val="0"/>
        </w:rPr>
        <w:t>.  This table also contains information about any previous reprint.</w:t>
      </w:r>
    </w:p>
    <w:p>
      <w:pPr>
        <w:pStyle w:val="nHeading3"/>
        <w:rPr>
          <w:snapToGrid w:val="0"/>
        </w:rPr>
      </w:pPr>
      <w:bookmarkStart w:id="80" w:name="_Toc378261872"/>
      <w:bookmarkStart w:id="81" w:name="_Toc120944887"/>
      <w:bookmarkStart w:id="82" w:name="_Toc267665769"/>
      <w:r>
        <w:rPr>
          <w:snapToGrid w:val="0"/>
        </w:rPr>
        <w:t>Compilation table</w:t>
      </w:r>
      <w:bookmarkEnd w:id="80"/>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5"/>
      </w:tblGrid>
      <w:tr>
        <w:trPr>
          <w:gridAfter w:val="1"/>
          <w:wAfter w:w="25"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8" w:type="dxa"/>
          </w:tcPr>
          <w:p>
            <w:pPr>
              <w:pStyle w:val="nTable"/>
              <w:spacing w:before="80"/>
              <w:rPr>
                <w:sz w:val="19"/>
              </w:rPr>
            </w:pPr>
            <w:r>
              <w:rPr>
                <w:i/>
                <w:sz w:val="19"/>
              </w:rPr>
              <w:t>Police Assistance Compensation Act 1964</w:t>
            </w:r>
          </w:p>
        </w:tc>
        <w:tc>
          <w:tcPr>
            <w:tcW w:w="1134" w:type="dxa"/>
          </w:tcPr>
          <w:p>
            <w:pPr>
              <w:pStyle w:val="nTable"/>
              <w:spacing w:before="80"/>
              <w:rPr>
                <w:sz w:val="19"/>
              </w:rPr>
            </w:pPr>
            <w:r>
              <w:rPr>
                <w:sz w:val="19"/>
              </w:rPr>
              <w:t>59 of 1964</w:t>
            </w:r>
          </w:p>
        </w:tc>
        <w:tc>
          <w:tcPr>
            <w:tcW w:w="1134" w:type="dxa"/>
          </w:tcPr>
          <w:p>
            <w:pPr>
              <w:pStyle w:val="nTable"/>
              <w:spacing w:before="80"/>
              <w:rPr>
                <w:sz w:val="19"/>
              </w:rPr>
            </w:pPr>
            <w:r>
              <w:rPr>
                <w:sz w:val="19"/>
              </w:rPr>
              <w:t>4 Dec 1964</w:t>
            </w:r>
          </w:p>
        </w:tc>
        <w:tc>
          <w:tcPr>
            <w:tcW w:w="2551" w:type="dxa"/>
          </w:tcPr>
          <w:p>
            <w:pPr>
              <w:pStyle w:val="nTable"/>
              <w:spacing w:before="80"/>
              <w:rPr>
                <w:sz w:val="19"/>
              </w:rPr>
            </w:pPr>
            <w:r>
              <w:rPr>
                <w:sz w:val="19"/>
              </w:rPr>
              <w:t xml:space="preserve">11 Jun 1965 (see s. 2 and </w:t>
            </w:r>
            <w:r>
              <w:rPr>
                <w:i/>
                <w:sz w:val="19"/>
              </w:rPr>
              <w:t>Gazette</w:t>
            </w:r>
            <w:r>
              <w:rPr>
                <w:sz w:val="19"/>
              </w:rPr>
              <w:t xml:space="preserve"> 11 Jun 1965 p. 1765)</w:t>
            </w:r>
          </w:p>
        </w:tc>
      </w:tr>
      <w:tr>
        <w:trPr>
          <w:gridAfter w:val="1"/>
          <w:wAfter w:w="25" w:type="dxa"/>
          <w:cantSplit/>
        </w:trPr>
        <w:tc>
          <w:tcPr>
            <w:tcW w:w="7087" w:type="dxa"/>
            <w:gridSpan w:val="4"/>
          </w:tcPr>
          <w:p>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trPr>
          <w:gridAfter w:val="1"/>
          <w:wAfter w:w="25" w:type="dxa"/>
        </w:trPr>
        <w:tc>
          <w:tcPr>
            <w:tcW w:w="2268" w:type="dxa"/>
          </w:tcPr>
          <w:p>
            <w:pPr>
              <w:pStyle w:val="nTable"/>
              <w:spacing w:before="80"/>
              <w:rPr>
                <w:sz w:val="19"/>
              </w:rPr>
            </w:pPr>
            <w:r>
              <w:rPr>
                <w:i/>
                <w:sz w:val="19"/>
              </w:rPr>
              <w:t>Financial Administration Legislation Amendment Act 1993</w:t>
            </w:r>
            <w:r>
              <w:rPr>
                <w:sz w:val="19"/>
              </w:rPr>
              <w:t xml:space="preserve"> 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rPr>
          <w:gridAfter w:val="1"/>
          <w:wAfter w:w="25" w:type="dxa"/>
        </w:trPr>
        <w:tc>
          <w:tcPr>
            <w:tcW w:w="2268" w:type="dxa"/>
          </w:tcPr>
          <w:p>
            <w:pPr>
              <w:pStyle w:val="nTable"/>
              <w:spacing w:before="80"/>
              <w:rPr>
                <w:sz w:val="19"/>
              </w:rPr>
            </w:pPr>
            <w:r>
              <w:rPr>
                <w:i/>
                <w:sz w:val="19"/>
              </w:rPr>
              <w:t>Sentencing (Consequential Provisions) Act 1995</w:t>
            </w:r>
            <w:r>
              <w:rPr>
                <w:sz w:val="19"/>
              </w:rPr>
              <w:t xml:space="preserve"> s. 147</w:t>
            </w:r>
          </w:p>
        </w:tc>
        <w:tc>
          <w:tcPr>
            <w:tcW w:w="1134" w:type="dxa"/>
          </w:tcPr>
          <w:p>
            <w:pPr>
              <w:pStyle w:val="nTable"/>
              <w:spacing w:before="80"/>
              <w:rPr>
                <w:sz w:val="19"/>
              </w:rPr>
            </w:pPr>
            <w:r>
              <w:rPr>
                <w:sz w:val="19"/>
              </w:rPr>
              <w:t>78 of 1995</w:t>
            </w:r>
          </w:p>
        </w:tc>
        <w:tc>
          <w:tcPr>
            <w:tcW w:w="1134" w:type="dxa"/>
          </w:tcPr>
          <w:p>
            <w:pPr>
              <w:pStyle w:val="nTable"/>
              <w:spacing w:before="80"/>
              <w:rPr>
                <w:sz w:val="19"/>
              </w:rPr>
            </w:pPr>
            <w:r>
              <w:rPr>
                <w:sz w:val="19"/>
              </w:rPr>
              <w:t>16 Jan 1996</w:t>
            </w:r>
          </w:p>
        </w:tc>
        <w:tc>
          <w:tcPr>
            <w:tcW w:w="2551" w:type="dxa"/>
          </w:tcPr>
          <w:p>
            <w:pPr>
              <w:pStyle w:val="nTable"/>
              <w:spacing w:before="80"/>
              <w:rPr>
                <w:sz w:val="19"/>
              </w:rPr>
            </w:pPr>
            <w:r>
              <w:rPr>
                <w:sz w:val="19"/>
              </w:rPr>
              <w:t xml:space="preserve">4 Nov 1996 (see s. 2 and </w:t>
            </w:r>
            <w:r>
              <w:rPr>
                <w:i/>
                <w:sz w:val="19"/>
              </w:rPr>
              <w:t>Gazette</w:t>
            </w:r>
            <w:r>
              <w:rPr>
                <w:sz w:val="19"/>
              </w:rPr>
              <w:t xml:space="preserve"> 25 Oct 1996 p. 5632)</w:t>
            </w:r>
          </w:p>
        </w:tc>
      </w:tr>
      <w:tr>
        <w:trPr>
          <w:gridAfter w:val="1"/>
          <w:wAfter w:w="25" w:type="dxa"/>
        </w:trPr>
        <w:tc>
          <w:tcPr>
            <w:tcW w:w="2268" w:type="dxa"/>
          </w:tcPr>
          <w:p>
            <w:pPr>
              <w:pStyle w:val="nTable"/>
              <w:spacing w:before="80"/>
              <w:rPr>
                <w:sz w:val="19"/>
              </w:rPr>
            </w:pPr>
            <w:r>
              <w:rPr>
                <w:i/>
                <w:sz w:val="19"/>
              </w:rPr>
              <w:t>Acts Amendment (ICWA) Act 1996</w:t>
            </w:r>
            <w:r>
              <w:rPr>
                <w:sz w:val="19"/>
              </w:rPr>
              <w:t xml:space="preserve"> s. 38</w:t>
            </w:r>
          </w:p>
        </w:tc>
        <w:tc>
          <w:tcPr>
            <w:tcW w:w="1134" w:type="dxa"/>
          </w:tcPr>
          <w:p>
            <w:pPr>
              <w:pStyle w:val="nTable"/>
              <w:spacing w:before="80"/>
              <w:rPr>
                <w:sz w:val="19"/>
              </w:rPr>
            </w:pPr>
            <w:r>
              <w:rPr>
                <w:sz w:val="19"/>
              </w:rPr>
              <w:t>45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 xml:space="preserve">1 Oct 1997 (see s. 2 and </w:t>
            </w:r>
            <w:r>
              <w:rPr>
                <w:i/>
                <w:sz w:val="19"/>
              </w:rPr>
              <w:t>Gazette</w:t>
            </w:r>
            <w:r>
              <w:rPr>
                <w:sz w:val="19"/>
              </w:rPr>
              <w:t xml:space="preserve"> 23 Sep 1997 p. 5357)</w:t>
            </w:r>
          </w:p>
        </w:tc>
      </w:tr>
      <w:tr>
        <w:trPr>
          <w:gridAfter w:val="1"/>
          <w:wAfter w:w="25" w:type="dxa"/>
        </w:trP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rPr>
          <w:gridAfter w:val="1"/>
          <w:wAfter w:w="25" w:type="dxa"/>
        </w:trPr>
        <w:tc>
          <w:tcPr>
            <w:tcW w:w="2268" w:type="dxa"/>
          </w:tcPr>
          <w:p>
            <w:pPr>
              <w:pStyle w:val="nTable"/>
              <w:spacing w:before="80"/>
              <w:rPr>
                <w:i/>
                <w:sz w:val="19"/>
              </w:rPr>
            </w:pPr>
            <w:r>
              <w:rPr>
                <w:i/>
                <w:sz w:val="19"/>
              </w:rPr>
              <w:t>Workers’ Compensation and Rehabilitation Amendment Act 1999</w:t>
            </w:r>
            <w:r>
              <w:rPr>
                <w:sz w:val="19"/>
              </w:rPr>
              <w:t xml:space="preserve"> s. 61</w:t>
            </w:r>
          </w:p>
        </w:tc>
        <w:tc>
          <w:tcPr>
            <w:tcW w:w="1134" w:type="dxa"/>
          </w:tcPr>
          <w:p>
            <w:pPr>
              <w:pStyle w:val="nTable"/>
              <w:spacing w:before="80"/>
              <w:rPr>
                <w:sz w:val="19"/>
              </w:rPr>
            </w:pPr>
            <w:r>
              <w:rPr>
                <w:sz w:val="19"/>
              </w:rPr>
              <w:t>34 of 1999</w:t>
            </w:r>
          </w:p>
        </w:tc>
        <w:tc>
          <w:tcPr>
            <w:tcW w:w="1134" w:type="dxa"/>
          </w:tcPr>
          <w:p>
            <w:pPr>
              <w:pStyle w:val="nTable"/>
              <w:spacing w:before="80"/>
              <w:rPr>
                <w:sz w:val="19"/>
              </w:rPr>
            </w:pPr>
            <w:r>
              <w:rPr>
                <w:sz w:val="19"/>
              </w:rPr>
              <w:t>5 Oct 1999</w:t>
            </w:r>
          </w:p>
        </w:tc>
        <w:tc>
          <w:tcPr>
            <w:tcW w:w="2551" w:type="dxa"/>
          </w:tcPr>
          <w:p>
            <w:pPr>
              <w:pStyle w:val="nTable"/>
              <w:spacing w:before="80"/>
              <w:rPr>
                <w:sz w:val="19"/>
              </w:rPr>
            </w:pPr>
            <w:r>
              <w:rPr>
                <w:sz w:val="19"/>
              </w:rPr>
              <w:t xml:space="preserve">15 Oct 1999 (see s. 2(2) and </w:t>
            </w:r>
            <w:r>
              <w:rPr>
                <w:i/>
                <w:sz w:val="19"/>
              </w:rPr>
              <w:t>Gazette</w:t>
            </w:r>
            <w:r>
              <w:rPr>
                <w:sz w:val="19"/>
              </w:rPr>
              <w:t xml:space="preserve"> 15 Oct 1999 p. 4889)</w:t>
            </w:r>
          </w:p>
        </w:tc>
      </w:tr>
      <w:tr>
        <w:trPr>
          <w:gridAfter w:val="1"/>
          <w:wAfter w:w="25" w:type="dxa"/>
          <w:cantSplit/>
        </w:trPr>
        <w:tc>
          <w:tcPr>
            <w:tcW w:w="7087" w:type="dxa"/>
            <w:gridSpan w:val="4"/>
          </w:tcPr>
          <w:p>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trPr>
          <w:gridAfter w:val="1"/>
          <w:wAfter w:w="25" w:type="dxa"/>
        </w:trPr>
        <w:tc>
          <w:tcPr>
            <w:tcW w:w="2268" w:type="dxa"/>
          </w:tcPr>
          <w:p>
            <w:pPr>
              <w:pStyle w:val="nTable"/>
              <w:spacing w:before="80"/>
              <w:rPr>
                <w:i/>
                <w:sz w:val="19"/>
              </w:rPr>
            </w:pPr>
            <w:r>
              <w:rPr>
                <w:i/>
                <w:snapToGrid w:val="0"/>
                <w:sz w:val="19"/>
              </w:rPr>
              <w:t>Workers’ Compensation Reform Act 2004</w:t>
            </w:r>
            <w:r>
              <w:rPr>
                <w:snapToGrid w:val="0"/>
                <w:sz w:val="19"/>
              </w:rPr>
              <w:t xml:space="preserve"> s. 167 and 175</w:t>
            </w:r>
          </w:p>
        </w:tc>
        <w:tc>
          <w:tcPr>
            <w:tcW w:w="1134" w:type="dxa"/>
          </w:tcPr>
          <w:p>
            <w:pPr>
              <w:pStyle w:val="nTable"/>
              <w:spacing w:before="80"/>
              <w:rPr>
                <w:sz w:val="19"/>
              </w:rPr>
            </w:pPr>
            <w:r>
              <w:rPr>
                <w:snapToGrid w:val="0"/>
                <w:sz w:val="19"/>
              </w:rPr>
              <w:t>42 of 2004</w:t>
            </w:r>
          </w:p>
        </w:tc>
        <w:tc>
          <w:tcPr>
            <w:tcW w:w="1134" w:type="dxa"/>
          </w:tcPr>
          <w:p>
            <w:pPr>
              <w:pStyle w:val="nTable"/>
              <w:spacing w:before="80"/>
              <w:rPr>
                <w:sz w:val="19"/>
              </w:rPr>
            </w:pPr>
            <w:r>
              <w:t>9 Nov 2004</w:t>
            </w:r>
          </w:p>
        </w:tc>
        <w:tc>
          <w:tcPr>
            <w:tcW w:w="2551" w:type="dxa"/>
          </w:tcPr>
          <w:p>
            <w:pPr>
              <w:pStyle w:val="nTable"/>
            </w:pPr>
            <w:r>
              <w:t xml:space="preserve">s. 167(1) and (5) and 175: 4 Jan 2005 (see s. 2 and </w:t>
            </w:r>
            <w:r>
              <w:rPr>
                <w:i/>
              </w:rPr>
              <w:t>Gazette</w:t>
            </w:r>
            <w:r>
              <w:t xml:space="preserve"> 31 Dec 2004 p. 7131); </w:t>
            </w:r>
          </w:p>
          <w:p>
            <w:pPr>
              <w:pStyle w:val="nTable"/>
            </w:pPr>
            <w:r>
              <w:t xml:space="preserve">s. 167(2)-(4): 14 Nov 2005 (see s. 2 and </w:t>
            </w:r>
            <w:r>
              <w:rPr>
                <w:i/>
              </w:rPr>
              <w:t>Gazette</w:t>
            </w:r>
            <w:r>
              <w:t xml:space="preserve"> 31 Dec 2004 p. 7131 and 17 Jun 2005 p. 2657);</w:t>
            </w:r>
          </w:p>
          <w:p>
            <w:pPr>
              <w:pStyle w:val="nTable"/>
              <w:spacing w:before="80"/>
              <w:rPr>
                <w:sz w:val="19"/>
              </w:rPr>
            </w:pPr>
            <w:r>
              <w:t xml:space="preserve">Para (b) of proclamation published 31 Dec 2004 p. 7131 revoked (see </w:t>
            </w:r>
            <w:r>
              <w:rPr>
                <w:i/>
              </w:rPr>
              <w:t>Gazette</w:t>
            </w:r>
            <w:r>
              <w:t xml:space="preserve"> 17 Jun 2005 p. 2657)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 xml:space="preserve">s. 4 </w:t>
            </w:r>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76" w:type="dxa"/>
            <w:gridSpan w:val="2"/>
            <w:tcBorders>
              <w:top w:val="nil"/>
              <w:bottom w:val="nil"/>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tabs>
          <w:tab w:val="clear" w:pos="454"/>
          <w:tab w:val="left" w:pos="567"/>
        </w:tabs>
        <w:spacing w:before="120"/>
        <w:ind w:left="567" w:hanging="567"/>
        <w:rPr>
          <w:del w:id="83" w:author="svcMRProcess" w:date="2015-11-04T22:10:00Z"/>
          <w:snapToGrid w:val="0"/>
        </w:rPr>
      </w:pPr>
      <w:del w:id="84" w:author="svcMRProcess" w:date="2015-11-04T22: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 w:author="svcMRProcess" w:date="2015-11-04T22:10:00Z"/>
        </w:rPr>
      </w:pPr>
      <w:bookmarkStart w:id="86" w:name="_Toc7405065"/>
      <w:bookmarkStart w:id="87" w:name="_Toc267665770"/>
      <w:del w:id="88" w:author="svcMRProcess" w:date="2015-11-04T22:10:00Z">
        <w:r>
          <w:delText>Provisions that have not come into operation</w:delText>
        </w:r>
        <w:bookmarkEnd w:id="86"/>
        <w:bookmarkEnd w:id="8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89" w:author="svcMRProcess" w:date="2015-11-04T22:10:00Z"/>
        </w:trPr>
        <w:tc>
          <w:tcPr>
            <w:tcW w:w="2268" w:type="dxa"/>
          </w:tcPr>
          <w:p>
            <w:pPr>
              <w:pStyle w:val="nTable"/>
              <w:spacing w:after="40"/>
              <w:rPr>
                <w:del w:id="90" w:author="svcMRProcess" w:date="2015-11-04T22:10:00Z"/>
                <w:b/>
                <w:snapToGrid w:val="0"/>
                <w:sz w:val="19"/>
                <w:lang w:val="en-US"/>
              </w:rPr>
            </w:pPr>
            <w:del w:id="91" w:author="svcMRProcess" w:date="2015-11-04T22:10:00Z">
              <w:r>
                <w:rPr>
                  <w:b/>
                  <w:snapToGrid w:val="0"/>
                  <w:sz w:val="19"/>
                  <w:lang w:val="en-US"/>
                </w:rPr>
                <w:delText>Short title</w:delText>
              </w:r>
            </w:del>
          </w:p>
        </w:tc>
        <w:tc>
          <w:tcPr>
            <w:tcW w:w="1118" w:type="dxa"/>
          </w:tcPr>
          <w:p>
            <w:pPr>
              <w:pStyle w:val="nTable"/>
              <w:spacing w:after="40"/>
              <w:rPr>
                <w:del w:id="92" w:author="svcMRProcess" w:date="2015-11-04T22:10:00Z"/>
                <w:b/>
                <w:snapToGrid w:val="0"/>
                <w:sz w:val="19"/>
                <w:lang w:val="en-US"/>
              </w:rPr>
            </w:pPr>
            <w:del w:id="93" w:author="svcMRProcess" w:date="2015-11-04T22:10:00Z">
              <w:r>
                <w:rPr>
                  <w:b/>
                  <w:snapToGrid w:val="0"/>
                  <w:sz w:val="19"/>
                  <w:lang w:val="en-US"/>
                </w:rPr>
                <w:delText>Number and year</w:delText>
              </w:r>
            </w:del>
          </w:p>
        </w:tc>
        <w:tc>
          <w:tcPr>
            <w:tcW w:w="1134" w:type="dxa"/>
          </w:tcPr>
          <w:p>
            <w:pPr>
              <w:pStyle w:val="nTable"/>
              <w:spacing w:after="40"/>
              <w:rPr>
                <w:del w:id="94" w:author="svcMRProcess" w:date="2015-11-04T22:10:00Z"/>
                <w:b/>
                <w:snapToGrid w:val="0"/>
                <w:sz w:val="19"/>
                <w:lang w:val="en-US"/>
              </w:rPr>
            </w:pPr>
            <w:del w:id="95" w:author="svcMRProcess" w:date="2015-11-04T22:10:00Z">
              <w:r>
                <w:rPr>
                  <w:b/>
                  <w:snapToGrid w:val="0"/>
                  <w:sz w:val="19"/>
                  <w:lang w:val="en-US"/>
                </w:rPr>
                <w:delText>Assent</w:delText>
              </w:r>
            </w:del>
          </w:p>
        </w:tc>
        <w:tc>
          <w:tcPr>
            <w:tcW w:w="2552" w:type="dxa"/>
          </w:tcPr>
          <w:p>
            <w:pPr>
              <w:pStyle w:val="nTable"/>
              <w:spacing w:after="40"/>
              <w:rPr>
                <w:del w:id="96" w:author="svcMRProcess" w:date="2015-11-04T22:10:00Z"/>
                <w:b/>
                <w:snapToGrid w:val="0"/>
                <w:sz w:val="19"/>
                <w:lang w:val="en-US"/>
              </w:rPr>
            </w:pPr>
            <w:del w:id="97" w:author="svcMRProcess" w:date="2015-11-04T22:1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del w:id="98" w:author="svcMRProcess" w:date="2015-11-04T22:10:00Z">
              <w:r>
                <w:rPr>
                  <w:iCs/>
                  <w:snapToGrid w:val="0"/>
                  <w:sz w:val="19"/>
                  <w:lang w:val="en-US"/>
                </w:rPr>
                <w:delText> </w:delText>
              </w:r>
              <w:r>
                <w:rPr>
                  <w:iCs/>
                  <w:snapToGrid w:val="0"/>
                  <w:sz w:val="19"/>
                  <w:vertAlign w:val="superscript"/>
                  <w:lang w:val="en-US"/>
                </w:rPr>
                <w:delText>3</w:delText>
              </w:r>
            </w:del>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4" w:type="dxa"/>
            <w:tcBorders>
              <w:bottom w:val="single" w:sz="4" w:space="0" w:color="auto"/>
            </w:tcBorders>
          </w:tcPr>
          <w:p>
            <w:pPr>
              <w:pStyle w:val="nTable"/>
              <w:spacing w:after="40"/>
              <w:rPr>
                <w:snapToGrid w:val="0"/>
                <w:sz w:val="19"/>
              </w:rPr>
            </w:pPr>
            <w:del w:id="99" w:author="svcMRProcess" w:date="2015-11-04T22:10:00Z">
              <w:r>
                <w:rPr>
                  <w:snapToGrid w:val="0"/>
                  <w:sz w:val="19"/>
                  <w:lang w:val="en-US"/>
                </w:rPr>
                <w:delText>To be proclaimed</w:delText>
              </w:r>
            </w:del>
            <w:ins w:id="100" w:author="svcMRProcess" w:date="2015-11-04T22:10:00Z">
              <w:r>
                <w:rPr>
                  <w:snapToGrid w:val="0"/>
                  <w:sz w:val="19"/>
                </w:rPr>
                <w:t>11 Sep 2010</w:t>
              </w:r>
            </w:ins>
            <w:r>
              <w:rPr>
                <w:snapToGrid w:val="0"/>
                <w:sz w:val="19"/>
              </w:rPr>
              <w:t xml:space="preserve"> (see s. 2(b</w:t>
            </w:r>
            <w:del w:id="101" w:author="svcMRProcess" w:date="2015-11-04T22:10:00Z">
              <w:r>
                <w:rPr>
                  <w:snapToGrid w:val="0"/>
                  <w:sz w:val="19"/>
                  <w:lang w:val="en-US"/>
                </w:rPr>
                <w:delText>))</w:delText>
              </w:r>
            </w:del>
            <w:ins w:id="102" w:author="svcMRProcess" w:date="2015-11-04T22:10: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103" w:author="svcMRProcess" w:date="2015-11-04T22:10:00Z"/>
          <w:snapToGrid w:val="0"/>
          <w:vertAlign w:val="superscript"/>
        </w:rPr>
      </w:pPr>
    </w:p>
    <w:p>
      <w:pPr>
        <w:pStyle w:val="nSubsection"/>
        <w:rPr>
          <w:snapToGrid w:val="0"/>
          <w:vertAlign w:val="superscript"/>
        </w:rPr>
      </w:pPr>
      <w:bookmarkStart w:id="104" w:name="UpToHere"/>
      <w:bookmarkEnd w:id="104"/>
    </w:p>
    <w:p>
      <w:pPr>
        <w:pStyle w:val="nSubsection"/>
      </w:pPr>
      <w:r>
        <w:rPr>
          <w:snapToGrid w:val="0"/>
          <w:vertAlign w:val="superscript"/>
        </w:rPr>
        <w:t>2</w:t>
      </w:r>
      <w:r>
        <w:rPr>
          <w:snapToGrid w:val="0"/>
        </w:rPr>
        <w:tab/>
      </w:r>
      <w:r>
        <w:t xml:space="preserve">Repealed by the </w:t>
      </w:r>
      <w:r>
        <w:rPr>
          <w:i/>
        </w:rPr>
        <w:t>Workers’ Compensation and Assistance Act 1981</w:t>
      </w:r>
      <w:r>
        <w:t xml:space="preserve"> s. 194 (now known as the </w:t>
      </w:r>
      <w:r>
        <w:rPr>
          <w:i/>
        </w:rPr>
        <w:t>Workers’ Compensation and Rehabilitation Act 1981</w:t>
      </w:r>
      <w:r>
        <w:t xml:space="preserve">). </w:t>
      </w:r>
    </w:p>
    <w:p>
      <w:pPr>
        <w:pStyle w:val="nSubsection"/>
        <w:rPr>
          <w:del w:id="105" w:author="svcMRProcess" w:date="2015-11-04T22:10:00Z"/>
          <w:snapToGrid w:val="0"/>
        </w:rPr>
      </w:pPr>
      <w:del w:id="106" w:author="svcMRProcess" w:date="2015-11-04T22:1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07" w:author="svcMRProcess" w:date="2015-11-04T22:10:00Z"/>
        </w:rPr>
      </w:pPr>
    </w:p>
    <w:p>
      <w:pPr>
        <w:pStyle w:val="nzHeading5"/>
        <w:rPr>
          <w:del w:id="108" w:author="svcMRProcess" w:date="2015-11-04T22:10:00Z"/>
        </w:rPr>
      </w:pPr>
      <w:bookmarkStart w:id="109" w:name="_Toc233107854"/>
      <w:bookmarkStart w:id="110" w:name="_Toc255473747"/>
      <w:bookmarkStart w:id="111" w:name="_Toc265583802"/>
      <w:del w:id="112" w:author="svcMRProcess" w:date="2015-11-04T22:10:00Z">
        <w:r>
          <w:rPr>
            <w:rStyle w:val="CharSectno"/>
          </w:rPr>
          <w:delText>51</w:delText>
        </w:r>
        <w:r>
          <w:delText>.</w:delText>
        </w:r>
        <w:r>
          <w:tab/>
          <w:delText>Various written laws amended</w:delText>
        </w:r>
        <w:bookmarkEnd w:id="109"/>
        <w:bookmarkEnd w:id="110"/>
        <w:bookmarkEnd w:id="111"/>
      </w:del>
    </w:p>
    <w:p>
      <w:pPr>
        <w:pStyle w:val="nzSubsection"/>
        <w:rPr>
          <w:del w:id="113" w:author="svcMRProcess" w:date="2015-11-04T22:10:00Z"/>
        </w:rPr>
      </w:pPr>
      <w:del w:id="114" w:author="svcMRProcess" w:date="2015-11-04T22:10:00Z">
        <w:r>
          <w:tab/>
          <w:delText>(1)</w:delText>
        </w:r>
        <w:r>
          <w:tab/>
          <w:delText>This section amends the written laws listed in the Table.</w:delText>
        </w:r>
      </w:del>
    </w:p>
    <w:p>
      <w:pPr>
        <w:pStyle w:val="nzSubsection"/>
        <w:rPr>
          <w:del w:id="115" w:author="svcMRProcess" w:date="2015-11-04T22:10:00Z"/>
        </w:rPr>
      </w:pPr>
      <w:del w:id="116" w:author="svcMRProcess" w:date="2015-11-04T22:10: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17" w:author="svcMRProcess" w:date="2015-11-04T22:10:00Z"/>
        </w:trPr>
        <w:tc>
          <w:tcPr>
            <w:tcW w:w="6804" w:type="dxa"/>
            <w:gridSpan w:val="3"/>
          </w:tcPr>
          <w:p>
            <w:pPr>
              <w:pStyle w:val="TableAm"/>
              <w:keepNext/>
              <w:ind w:left="567" w:hanging="567"/>
              <w:rPr>
                <w:del w:id="118" w:author="svcMRProcess" w:date="2015-11-04T22:10:00Z"/>
                <w:b/>
                <w:bCs/>
                <w:iCs/>
              </w:rPr>
            </w:pPr>
            <w:del w:id="119" w:author="svcMRProcess" w:date="2015-11-04T22:10:00Z">
              <w:r>
                <w:rPr>
                  <w:b/>
                  <w:bCs/>
                </w:rPr>
                <w:delText>62.</w:delText>
              </w:r>
              <w:r>
                <w:rPr>
                  <w:b/>
                  <w:bCs/>
                </w:rPr>
                <w:tab/>
              </w:r>
              <w:r>
                <w:rPr>
                  <w:b/>
                  <w:bCs/>
                  <w:i/>
                  <w:iCs/>
                </w:rPr>
                <w:delText>Police Assistance Compensation Act 1964</w:delText>
              </w:r>
            </w:del>
          </w:p>
        </w:tc>
      </w:tr>
      <w:tr>
        <w:trPr>
          <w:jc w:val="center"/>
          <w:del w:id="120" w:author="svcMRProcess" w:date="2015-11-04T22:10:00Z"/>
        </w:trPr>
        <w:tc>
          <w:tcPr>
            <w:tcW w:w="1702" w:type="dxa"/>
          </w:tcPr>
          <w:p>
            <w:pPr>
              <w:pStyle w:val="TableAm"/>
              <w:rPr>
                <w:del w:id="121" w:author="svcMRProcess" w:date="2015-11-04T22:10:00Z"/>
              </w:rPr>
            </w:pPr>
            <w:del w:id="122" w:author="svcMRProcess" w:date="2015-11-04T22:10:00Z">
              <w:r>
                <w:delText>s. 4</w:delText>
              </w:r>
            </w:del>
          </w:p>
        </w:tc>
        <w:tc>
          <w:tcPr>
            <w:tcW w:w="2551" w:type="dxa"/>
          </w:tcPr>
          <w:p>
            <w:pPr>
              <w:pStyle w:val="TableAm"/>
              <w:rPr>
                <w:del w:id="123" w:author="svcMRProcess" w:date="2015-11-04T22:10:00Z"/>
                <w:snapToGrid w:val="0"/>
              </w:rPr>
            </w:pPr>
            <w:del w:id="124" w:author="svcMRProcess" w:date="2015-11-04T22:10:00Z">
              <w:r>
                <w:rPr>
                  <w:snapToGrid w:val="0"/>
                </w:rPr>
                <w:delText>In this Act,</w:delText>
              </w:r>
            </w:del>
          </w:p>
          <w:p>
            <w:pPr>
              <w:pStyle w:val="TableAm"/>
              <w:rPr>
                <w:del w:id="125" w:author="svcMRProcess" w:date="2015-11-04T22:10:00Z"/>
              </w:rPr>
            </w:pPr>
            <w:del w:id="126" w:author="svcMRProcess" w:date="2015-11-04T22:10:00Z">
              <w:r>
                <w:rPr>
                  <w:i/>
                </w:rPr>
                <w:delText>1892</w:delText>
              </w:r>
              <w:r>
                <w:delText>; and</w:delText>
              </w:r>
            </w:del>
          </w:p>
          <w:p>
            <w:pPr>
              <w:pStyle w:val="TableAm"/>
              <w:rPr>
                <w:del w:id="127" w:author="svcMRProcess" w:date="2015-11-04T22:10:00Z"/>
              </w:rPr>
            </w:pPr>
            <w:del w:id="128" w:author="svcMRProcess" w:date="2015-11-04T22:10:00Z">
              <w:r>
                <w:delText>Expressions</w:delText>
              </w:r>
            </w:del>
          </w:p>
        </w:tc>
        <w:tc>
          <w:tcPr>
            <w:tcW w:w="2551" w:type="dxa"/>
          </w:tcPr>
          <w:p>
            <w:pPr>
              <w:pStyle w:val="TableAm"/>
              <w:rPr>
                <w:del w:id="129" w:author="svcMRProcess" w:date="2015-11-04T22:10:00Z"/>
                <w:snapToGrid w:val="0"/>
              </w:rPr>
            </w:pPr>
            <w:del w:id="130" w:author="svcMRProcess" w:date="2015-11-04T22:10:00Z">
              <w:r>
                <w:rPr>
                  <w:snapToGrid w:val="0"/>
                </w:rPr>
                <w:delText>(1)</w:delText>
              </w:r>
              <w:r>
                <w:rPr>
                  <w:snapToGrid w:val="0"/>
                </w:rPr>
                <w:tab/>
                <w:delText>In this Act,</w:delText>
              </w:r>
            </w:del>
          </w:p>
          <w:p>
            <w:pPr>
              <w:pStyle w:val="TableAm"/>
              <w:rPr>
                <w:del w:id="131" w:author="svcMRProcess" w:date="2015-11-04T22:10:00Z"/>
              </w:rPr>
            </w:pPr>
            <w:del w:id="132" w:author="svcMRProcess" w:date="2015-11-04T22:10:00Z">
              <w:r>
                <w:rPr>
                  <w:i/>
                </w:rPr>
                <w:delText>1892</w:delText>
              </w:r>
              <w:r>
                <w:delText>.</w:delText>
              </w:r>
            </w:del>
          </w:p>
          <w:p>
            <w:pPr>
              <w:pStyle w:val="TableAm"/>
              <w:rPr>
                <w:del w:id="133" w:author="svcMRProcess" w:date="2015-11-04T22:10:00Z"/>
              </w:rPr>
            </w:pPr>
            <w:del w:id="134" w:author="svcMRProcess" w:date="2015-11-04T22:10:00Z">
              <w:r>
                <w:delText>(2)</w:delText>
              </w:r>
              <w:r>
                <w:tab/>
                <w:delText>Expressions</w:delText>
              </w:r>
            </w:del>
          </w:p>
        </w:tc>
      </w:tr>
      <w:tr>
        <w:trPr>
          <w:jc w:val="center"/>
          <w:del w:id="135" w:author="svcMRProcess" w:date="2015-11-04T22:10:00Z"/>
        </w:trPr>
        <w:tc>
          <w:tcPr>
            <w:tcW w:w="1702" w:type="dxa"/>
          </w:tcPr>
          <w:p>
            <w:pPr>
              <w:pStyle w:val="TableAm"/>
              <w:rPr>
                <w:del w:id="136" w:author="svcMRProcess" w:date="2015-11-04T22:10:00Z"/>
              </w:rPr>
            </w:pPr>
            <w:del w:id="137" w:author="svcMRProcess" w:date="2015-11-04T22:10:00Z">
              <w:r>
                <w:delText>s. 5(3)</w:delText>
              </w:r>
            </w:del>
          </w:p>
        </w:tc>
        <w:tc>
          <w:tcPr>
            <w:tcW w:w="2551" w:type="dxa"/>
          </w:tcPr>
          <w:p>
            <w:pPr>
              <w:pStyle w:val="TableAm"/>
              <w:tabs>
                <w:tab w:val="left" w:pos="794"/>
              </w:tabs>
              <w:ind w:left="794" w:hanging="794"/>
              <w:rPr>
                <w:del w:id="138" w:author="svcMRProcess" w:date="2015-11-04T22:10:00Z"/>
              </w:rPr>
            </w:pPr>
            <w:del w:id="139" w:author="svcMRProcess" w:date="2015-11-04T22:10:00Z">
              <w:r>
                <w:delText>(3)  (a)</w:delText>
              </w:r>
              <w:r>
                <w:tab/>
                <w:delText>Subject to paragraph (b),</w:delText>
              </w:r>
            </w:del>
          </w:p>
          <w:p>
            <w:pPr>
              <w:pStyle w:val="TableAm"/>
              <w:ind w:left="567" w:hanging="567"/>
              <w:rPr>
                <w:del w:id="140" w:author="svcMRProcess" w:date="2015-11-04T22:10:00Z"/>
                <w:snapToGrid w:val="0"/>
              </w:rPr>
            </w:pPr>
            <w:del w:id="141" w:author="svcMRProcess" w:date="2015-11-04T22:10:00Z">
              <w:r>
                <w:rPr>
                  <w:snapToGrid w:val="0"/>
                </w:rPr>
                <w:delText>(b)</w:delText>
              </w:r>
              <w:r>
                <w:rPr>
                  <w:snapToGrid w:val="0"/>
                </w:rPr>
                <w:tab/>
                <w:delText>The amount</w:delText>
              </w:r>
            </w:del>
          </w:p>
          <w:p>
            <w:pPr>
              <w:pStyle w:val="TableAm"/>
              <w:ind w:left="567" w:hanging="567"/>
              <w:rPr>
                <w:del w:id="142" w:author="svcMRProcess" w:date="2015-11-04T22:10:00Z"/>
                <w:snapToGrid w:val="0"/>
              </w:rPr>
            </w:pPr>
            <w:del w:id="143" w:author="svcMRProcess" w:date="2015-11-04T22:10:00Z">
              <w:r>
                <w:rPr>
                  <w:snapToGrid w:val="0"/>
                </w:rPr>
                <w:delText>under paragraph (a)</w:delText>
              </w:r>
            </w:del>
          </w:p>
          <w:p>
            <w:pPr>
              <w:pStyle w:val="TableAm"/>
              <w:ind w:left="567" w:hanging="567"/>
              <w:rPr>
                <w:del w:id="144" w:author="svcMRProcess" w:date="2015-11-04T22:10:00Z"/>
                <w:snapToGrid w:val="0"/>
              </w:rPr>
            </w:pPr>
            <w:del w:id="145" w:author="svcMRProcess" w:date="2015-11-04T22:10:00Z">
              <w:r>
                <w:rPr>
                  <w:snapToGrid w:val="0"/>
                </w:rPr>
                <w:delText>(i)</w:delText>
              </w:r>
              <w:r>
                <w:rPr>
                  <w:snapToGrid w:val="0"/>
                </w:rPr>
                <w:tab/>
                <w:delText>in the</w:delText>
              </w:r>
            </w:del>
          </w:p>
          <w:p>
            <w:pPr>
              <w:pStyle w:val="TableAm"/>
              <w:ind w:left="567" w:hanging="567"/>
              <w:rPr>
                <w:del w:id="146" w:author="svcMRProcess" w:date="2015-11-04T22:10:00Z"/>
                <w:snapToGrid w:val="0"/>
              </w:rPr>
            </w:pPr>
            <w:del w:id="147" w:author="svcMRProcess" w:date="2015-11-04T22:10:00Z">
              <w:r>
                <w:rPr>
                  <w:snapToGrid w:val="0"/>
                </w:rPr>
                <w:delText>(ii)</w:delText>
              </w:r>
              <w:r>
                <w:rPr>
                  <w:snapToGrid w:val="0"/>
                </w:rPr>
                <w:tab/>
                <w:delText>in the</w:delText>
              </w:r>
            </w:del>
          </w:p>
          <w:p>
            <w:pPr>
              <w:pStyle w:val="TableAm"/>
              <w:ind w:left="567" w:hanging="567"/>
              <w:rPr>
                <w:del w:id="148" w:author="svcMRProcess" w:date="2015-11-04T22:10:00Z"/>
                <w:snapToGrid w:val="0"/>
              </w:rPr>
            </w:pPr>
            <w:del w:id="149" w:author="svcMRProcess" w:date="2015-11-04T22:10:00Z">
              <w:r>
                <w:rPr>
                  <w:snapToGrid w:val="0"/>
                </w:rPr>
                <w:delText>(c)</w:delText>
              </w:r>
              <w:r>
                <w:rPr>
                  <w:snapToGrid w:val="0"/>
                </w:rPr>
                <w:tab/>
                <w:delText>A person</w:delText>
              </w:r>
            </w:del>
          </w:p>
          <w:p>
            <w:pPr>
              <w:pStyle w:val="TableAm"/>
              <w:ind w:left="567" w:hanging="567"/>
              <w:rPr>
                <w:del w:id="150" w:author="svcMRProcess" w:date="2015-11-04T22:10:00Z"/>
                <w:snapToGrid w:val="0"/>
              </w:rPr>
            </w:pPr>
            <w:del w:id="151" w:author="svcMRProcess" w:date="2015-11-04T22:10:00Z">
              <w:r>
                <w:rPr>
                  <w:snapToGrid w:val="0"/>
                </w:rPr>
                <w:delText>in paragraph (a),</w:delText>
              </w:r>
            </w:del>
          </w:p>
          <w:p>
            <w:pPr>
              <w:pStyle w:val="TableAm"/>
              <w:ind w:left="567" w:hanging="567"/>
              <w:rPr>
                <w:del w:id="152" w:author="svcMRProcess" w:date="2015-11-04T22:10:00Z"/>
              </w:rPr>
            </w:pPr>
            <w:del w:id="153" w:author="svcMRProcess" w:date="2015-11-04T22:10:00Z">
              <w:r>
                <w:rPr>
                  <w:snapToGrid w:val="0"/>
                </w:rPr>
                <w:delText>(d)</w:delText>
              </w:r>
              <w:r>
                <w:rPr>
                  <w:snapToGrid w:val="0"/>
                </w:rPr>
                <w:tab/>
                <w:delText>Where</w:delText>
              </w:r>
            </w:del>
          </w:p>
        </w:tc>
        <w:tc>
          <w:tcPr>
            <w:tcW w:w="2551" w:type="dxa"/>
          </w:tcPr>
          <w:p>
            <w:pPr>
              <w:pStyle w:val="TableAm"/>
              <w:ind w:left="567" w:hanging="567"/>
              <w:rPr>
                <w:del w:id="154" w:author="svcMRProcess" w:date="2015-11-04T22:10:00Z"/>
              </w:rPr>
            </w:pPr>
            <w:del w:id="155" w:author="svcMRProcess" w:date="2015-11-04T22:10:00Z">
              <w:r>
                <w:delText>(3)</w:delText>
              </w:r>
              <w:r>
                <w:tab/>
                <w:delText>Subject to subsection (4),</w:delText>
              </w:r>
            </w:del>
          </w:p>
          <w:p>
            <w:pPr>
              <w:pStyle w:val="TableAm"/>
              <w:ind w:left="567" w:hanging="567"/>
              <w:rPr>
                <w:del w:id="156" w:author="svcMRProcess" w:date="2015-11-04T22:10:00Z"/>
                <w:snapToGrid w:val="0"/>
              </w:rPr>
            </w:pPr>
            <w:del w:id="157" w:author="svcMRProcess" w:date="2015-11-04T22:10:00Z">
              <w:r>
                <w:rPr>
                  <w:snapToGrid w:val="0"/>
                </w:rPr>
                <w:delText>(4)</w:delText>
              </w:r>
              <w:r>
                <w:rPr>
                  <w:snapToGrid w:val="0"/>
                </w:rPr>
                <w:tab/>
                <w:delText>The amount</w:delText>
              </w:r>
            </w:del>
          </w:p>
          <w:p>
            <w:pPr>
              <w:pStyle w:val="TableAm"/>
              <w:ind w:left="567" w:hanging="567"/>
              <w:rPr>
                <w:del w:id="158" w:author="svcMRProcess" w:date="2015-11-04T22:10:00Z"/>
                <w:snapToGrid w:val="0"/>
              </w:rPr>
            </w:pPr>
            <w:del w:id="159" w:author="svcMRProcess" w:date="2015-11-04T22:10:00Z">
              <w:r>
                <w:rPr>
                  <w:snapToGrid w:val="0"/>
                </w:rPr>
                <w:delText>under subsection (3)</w:delText>
              </w:r>
            </w:del>
          </w:p>
          <w:p>
            <w:pPr>
              <w:pStyle w:val="TableAm"/>
              <w:ind w:left="567" w:hanging="567"/>
              <w:rPr>
                <w:del w:id="160" w:author="svcMRProcess" w:date="2015-11-04T22:10:00Z"/>
                <w:snapToGrid w:val="0"/>
              </w:rPr>
            </w:pPr>
            <w:del w:id="161" w:author="svcMRProcess" w:date="2015-11-04T22:10:00Z">
              <w:r>
                <w:rPr>
                  <w:snapToGrid w:val="0"/>
                </w:rPr>
                <w:delText>(a)</w:delText>
              </w:r>
              <w:r>
                <w:rPr>
                  <w:snapToGrid w:val="0"/>
                </w:rPr>
                <w:tab/>
                <w:delText>in the</w:delText>
              </w:r>
            </w:del>
          </w:p>
          <w:p>
            <w:pPr>
              <w:pStyle w:val="TableAm"/>
              <w:ind w:left="567" w:hanging="567"/>
              <w:rPr>
                <w:del w:id="162" w:author="svcMRProcess" w:date="2015-11-04T22:10:00Z"/>
                <w:snapToGrid w:val="0"/>
              </w:rPr>
            </w:pPr>
            <w:del w:id="163" w:author="svcMRProcess" w:date="2015-11-04T22:10:00Z">
              <w:r>
                <w:rPr>
                  <w:snapToGrid w:val="0"/>
                </w:rPr>
                <w:delText>(b)</w:delText>
              </w:r>
              <w:r>
                <w:rPr>
                  <w:snapToGrid w:val="0"/>
                </w:rPr>
                <w:tab/>
                <w:delText>in the</w:delText>
              </w:r>
            </w:del>
          </w:p>
          <w:p>
            <w:pPr>
              <w:pStyle w:val="TableAm"/>
              <w:ind w:left="567" w:hanging="567"/>
              <w:rPr>
                <w:del w:id="164" w:author="svcMRProcess" w:date="2015-11-04T22:10:00Z"/>
                <w:snapToGrid w:val="0"/>
              </w:rPr>
            </w:pPr>
            <w:del w:id="165" w:author="svcMRProcess" w:date="2015-11-04T22:10:00Z">
              <w:r>
                <w:rPr>
                  <w:snapToGrid w:val="0"/>
                </w:rPr>
                <w:delText>(5)</w:delText>
              </w:r>
              <w:r>
                <w:rPr>
                  <w:snapToGrid w:val="0"/>
                </w:rPr>
                <w:tab/>
                <w:delText>A person</w:delText>
              </w:r>
            </w:del>
          </w:p>
          <w:p>
            <w:pPr>
              <w:pStyle w:val="TableAm"/>
              <w:ind w:left="567" w:hanging="567"/>
              <w:rPr>
                <w:del w:id="166" w:author="svcMRProcess" w:date="2015-11-04T22:10:00Z"/>
                <w:snapToGrid w:val="0"/>
              </w:rPr>
            </w:pPr>
            <w:del w:id="167" w:author="svcMRProcess" w:date="2015-11-04T22:10:00Z">
              <w:r>
                <w:rPr>
                  <w:snapToGrid w:val="0"/>
                </w:rPr>
                <w:delText>in subsection (3),</w:delText>
              </w:r>
            </w:del>
          </w:p>
          <w:p>
            <w:pPr>
              <w:pStyle w:val="TableAm"/>
              <w:ind w:left="567" w:hanging="567"/>
              <w:rPr>
                <w:del w:id="168" w:author="svcMRProcess" w:date="2015-11-04T22:10:00Z"/>
              </w:rPr>
            </w:pPr>
            <w:del w:id="169" w:author="svcMRProcess" w:date="2015-11-04T22:10:00Z">
              <w:r>
                <w:rPr>
                  <w:snapToGrid w:val="0"/>
                </w:rPr>
                <w:delText>(6)</w:delText>
              </w:r>
              <w:r>
                <w:rPr>
                  <w:snapToGrid w:val="0"/>
                </w:rPr>
                <w:tab/>
                <w:delText>Where</w:delText>
              </w:r>
            </w:del>
          </w:p>
        </w:tc>
      </w:tr>
    </w:tbl>
    <w:p>
      <w:pPr>
        <w:pStyle w:val="BlankClose"/>
        <w:rPr>
          <w:del w:id="170" w:author="svcMRProcess" w:date="2015-11-04T22:1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73321"/>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1920</Words>
  <Characters>8913</Characters>
  <Application>Microsoft Office Word</Application>
  <DocSecurity>0</DocSecurity>
  <Lines>297</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02-d0-01 - 02-e0-03</dc:title>
  <dc:subject/>
  <dc:creator/>
  <cp:keywords/>
  <dc:description/>
  <cp:lastModifiedBy>svcMRProcess</cp:lastModifiedBy>
  <cp:revision>2</cp:revision>
  <cp:lastPrinted>2002-11-19T00:01:00Z</cp:lastPrinted>
  <dcterms:created xsi:type="dcterms:W3CDTF">2015-11-04T14:10:00Z</dcterms:created>
  <dcterms:modified xsi:type="dcterms:W3CDTF">2015-11-04T14:10:00Z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616</vt:i4>
  </property>
  <property fmtid="{D5CDD505-2E9C-101B-9397-08002B2CF9AE}" pid="6" name="FromSuffix">
    <vt:lpwstr>02-d0-01</vt:lpwstr>
  </property>
  <property fmtid="{D5CDD505-2E9C-101B-9397-08002B2CF9AE}" pid="7" name="FromAsAtDate">
    <vt:lpwstr>28 Jun 2010</vt:lpwstr>
  </property>
  <property fmtid="{D5CDD505-2E9C-101B-9397-08002B2CF9AE}" pid="8" name="ToSuffix">
    <vt:lpwstr>02-e0-03</vt:lpwstr>
  </property>
  <property fmtid="{D5CDD505-2E9C-101B-9397-08002B2CF9AE}" pid="9" name="ToAsAtDate">
    <vt:lpwstr>11 Sep 2010</vt:lpwstr>
  </property>
</Properties>
</file>