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0" w:name="_GoBack"/>
      <w:bookmarkEnd w:id="0"/>
      <w:r>
        <w:rPr>
          <w:snapToGrid w:val="0"/>
        </w:rPr>
        <w:t>n Act to regulate cremation.</w:t>
      </w:r>
    </w:p>
    <w:p>
      <w:pPr>
        <w:pStyle w:val="Heading5"/>
        <w:rPr>
          <w:snapToGrid w:val="0"/>
        </w:rPr>
      </w:pPr>
      <w:bookmarkStart w:id="1" w:name="_Toc448717214"/>
      <w:bookmarkStart w:id="2" w:name="_Toc20537892"/>
      <w:bookmarkStart w:id="3" w:name="_Toc101953531"/>
      <w:bookmarkStart w:id="4" w:name="_Toc272056370"/>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448717215"/>
      <w:bookmarkStart w:id="6" w:name="_Toc20537893"/>
      <w:bookmarkStart w:id="7" w:name="_Toc101953532"/>
      <w:bookmarkStart w:id="8" w:name="_Toc272056371"/>
      <w:r>
        <w:rPr>
          <w:rStyle w:val="CharSectno"/>
        </w:rPr>
        <w:t>2</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Sch. 3 cl. 13.]</w:t>
      </w:r>
    </w:p>
    <w:p>
      <w:pPr>
        <w:pStyle w:val="Heading5"/>
      </w:pPr>
      <w:bookmarkStart w:id="9" w:name="_Toc448717216"/>
      <w:bookmarkStart w:id="10" w:name="_Toc20537894"/>
      <w:bookmarkStart w:id="11" w:name="_Toc101953533"/>
      <w:bookmarkStart w:id="12" w:name="_Toc272056372"/>
      <w:r>
        <w:rPr>
          <w:rStyle w:val="CharSectno"/>
        </w:rPr>
        <w:t>3</w:t>
      </w:r>
      <w:r>
        <w:t>.</w:t>
      </w:r>
      <w:r>
        <w:tab/>
        <w:t>Cremation without licence prohibited</w:t>
      </w:r>
      <w:bookmarkEnd w:id="9"/>
      <w:bookmarkEnd w:id="10"/>
      <w:bookmarkEnd w:id="11"/>
      <w:bookmarkEnd w:id="12"/>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13" w:name="_Toc448717217"/>
      <w:bookmarkStart w:id="14" w:name="_Toc20537895"/>
      <w:bookmarkStart w:id="15" w:name="_Toc101953534"/>
      <w:bookmarkStart w:id="16" w:name="_Toc272056373"/>
      <w:r>
        <w:rPr>
          <w:rStyle w:val="CharSectno"/>
        </w:rPr>
        <w:t>4</w:t>
      </w:r>
      <w:r>
        <w:rPr>
          <w:snapToGrid w:val="0"/>
        </w:rPr>
        <w:t>.</w:t>
      </w:r>
      <w:r>
        <w:rPr>
          <w:snapToGrid w:val="0"/>
        </w:rPr>
        <w:tab/>
        <w:t>Issue of licences</w:t>
      </w:r>
      <w:bookmarkEnd w:id="13"/>
      <w:bookmarkEnd w:id="14"/>
      <w:bookmarkEnd w:id="15"/>
      <w:bookmarkEnd w:id="16"/>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7" w:name="_Toc448717218"/>
      <w:bookmarkStart w:id="18" w:name="_Toc20537896"/>
      <w:bookmarkStart w:id="19" w:name="_Toc101953535"/>
      <w:bookmarkStart w:id="20" w:name="_Toc272056374"/>
      <w:r>
        <w:rPr>
          <w:rStyle w:val="CharSectno"/>
        </w:rPr>
        <w:t>5</w:t>
      </w:r>
      <w:r>
        <w:rPr>
          <w:snapToGrid w:val="0"/>
        </w:rPr>
        <w:t>.</w:t>
      </w:r>
      <w:r>
        <w:rPr>
          <w:snapToGrid w:val="0"/>
        </w:rPr>
        <w:tab/>
        <w:t>Portion of a cemetery may be set aside as a site for a crematorium</w:t>
      </w:r>
      <w:bookmarkEnd w:id="17"/>
      <w:bookmarkEnd w:id="18"/>
      <w:bookmarkEnd w:id="19"/>
      <w:bookmarkEnd w:id="20"/>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1" w:name="_Toc448717219"/>
      <w:bookmarkStart w:id="22" w:name="_Toc20537897"/>
      <w:bookmarkStart w:id="23" w:name="_Toc101953536"/>
      <w:bookmarkStart w:id="24" w:name="_Toc272056375"/>
      <w:r>
        <w:rPr>
          <w:rStyle w:val="CharSectno"/>
        </w:rPr>
        <w:t>6</w:t>
      </w:r>
      <w:r>
        <w:rPr>
          <w:snapToGrid w:val="0"/>
        </w:rPr>
        <w:t>.</w:t>
      </w:r>
      <w:r>
        <w:rPr>
          <w:snapToGrid w:val="0"/>
        </w:rPr>
        <w:tab/>
        <w:t>Site of a crematorium which is not included in a cemetery shall be deemed to be a cemetery for certain purposes</w:t>
      </w:r>
      <w:bookmarkEnd w:id="21"/>
      <w:bookmarkEnd w:id="22"/>
      <w:bookmarkEnd w:id="23"/>
      <w:bookmarkEnd w:id="2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5" w:name="_Toc448717220"/>
      <w:bookmarkStart w:id="26" w:name="_Toc20537898"/>
      <w:bookmarkStart w:id="27" w:name="_Toc101953537"/>
      <w:bookmarkStart w:id="28" w:name="_Toc272056376"/>
      <w:r>
        <w:rPr>
          <w:rStyle w:val="CharSectno"/>
        </w:rPr>
        <w:t>7</w:t>
      </w:r>
      <w:r>
        <w:rPr>
          <w:snapToGrid w:val="0"/>
        </w:rPr>
        <w:t>.</w:t>
      </w:r>
      <w:r>
        <w:rPr>
          <w:snapToGrid w:val="0"/>
        </w:rPr>
        <w:tab/>
        <w:t>Disposal of ashes otherwise than by burial on a site of a crematorium</w:t>
      </w:r>
      <w:bookmarkEnd w:id="25"/>
      <w:bookmarkEnd w:id="26"/>
      <w:bookmarkEnd w:id="27"/>
      <w:bookmarkEnd w:id="28"/>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29" w:name="_Toc448717221"/>
      <w:bookmarkStart w:id="30" w:name="_Toc20537899"/>
      <w:bookmarkStart w:id="31" w:name="_Toc101953538"/>
      <w:bookmarkStart w:id="32" w:name="_Toc272056377"/>
      <w:r>
        <w:rPr>
          <w:rStyle w:val="CharSectno"/>
        </w:rPr>
        <w:t>8</w:t>
      </w:r>
      <w:r>
        <w:rPr>
          <w:snapToGrid w:val="0"/>
        </w:rPr>
        <w:t>.</w:t>
      </w:r>
      <w:r>
        <w:rPr>
          <w:snapToGrid w:val="0"/>
        </w:rPr>
        <w:tab/>
        <w:t>Appointment of medical referees</w:t>
      </w:r>
      <w:bookmarkEnd w:id="29"/>
      <w:bookmarkEnd w:id="30"/>
      <w:bookmarkEnd w:id="31"/>
      <w:bookmarkEnd w:id="32"/>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33" w:name="_Toc448717222"/>
      <w:bookmarkStart w:id="34" w:name="_Toc20537900"/>
      <w:bookmarkStart w:id="35" w:name="_Toc101953539"/>
      <w:bookmarkStart w:id="36" w:name="_Toc272056378"/>
      <w:r>
        <w:rPr>
          <w:rStyle w:val="CharSectno"/>
        </w:rPr>
        <w:t>8A</w:t>
      </w:r>
      <w:r>
        <w:rPr>
          <w:snapToGrid w:val="0"/>
        </w:rPr>
        <w:t>.</w:t>
      </w:r>
      <w:r>
        <w:rPr>
          <w:snapToGrid w:val="0"/>
        </w:rPr>
        <w:tab/>
        <w:t>Permits</w:t>
      </w:r>
      <w:bookmarkEnd w:id="33"/>
      <w:bookmarkEnd w:id="34"/>
      <w:bookmarkEnd w:id="35"/>
      <w:bookmarkEnd w:id="36"/>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37" w:name="_Toc448717223"/>
      <w:bookmarkStart w:id="38" w:name="_Toc20537901"/>
      <w:bookmarkStart w:id="39" w:name="_Toc101953540"/>
      <w:bookmarkStart w:id="40" w:name="_Toc272056379"/>
      <w:r>
        <w:rPr>
          <w:rStyle w:val="CharSectno"/>
        </w:rPr>
        <w:t>8B</w:t>
      </w:r>
      <w:r>
        <w:rPr>
          <w:snapToGrid w:val="0"/>
        </w:rPr>
        <w:t>.</w:t>
      </w:r>
      <w:r>
        <w:rPr>
          <w:snapToGrid w:val="0"/>
        </w:rPr>
        <w:tab/>
        <w:t>Permit to cremate still</w:t>
      </w:r>
      <w:r>
        <w:rPr>
          <w:snapToGrid w:val="0"/>
        </w:rPr>
        <w:noBreakHyphen/>
        <w:t>born child</w:t>
      </w:r>
      <w:bookmarkEnd w:id="37"/>
      <w:bookmarkEnd w:id="38"/>
      <w:bookmarkEnd w:id="39"/>
      <w:bookmarkEnd w:id="40"/>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41" w:name="_Toc448717224"/>
      <w:bookmarkStart w:id="42" w:name="_Toc20537902"/>
      <w:bookmarkStart w:id="43" w:name="_Toc101953541"/>
      <w:bookmarkStart w:id="44" w:name="_Toc272056380"/>
      <w:r>
        <w:rPr>
          <w:rStyle w:val="CharSectno"/>
        </w:rPr>
        <w:t>9</w:t>
      </w:r>
      <w:r>
        <w:rPr>
          <w:snapToGrid w:val="0"/>
        </w:rPr>
        <w:t>.</w:t>
      </w:r>
      <w:r>
        <w:rPr>
          <w:snapToGrid w:val="0"/>
        </w:rPr>
        <w:tab/>
        <w:t>Permit to be sufficient authority to cremate body</w:t>
      </w:r>
      <w:bookmarkEnd w:id="41"/>
      <w:bookmarkEnd w:id="42"/>
      <w:bookmarkEnd w:id="43"/>
      <w:bookmarkEnd w:id="4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5" w:name="_Toc448717225"/>
      <w:bookmarkStart w:id="46" w:name="_Toc20537903"/>
      <w:bookmarkStart w:id="47" w:name="_Toc101953542"/>
      <w:bookmarkStart w:id="48" w:name="_Toc272056381"/>
      <w:r>
        <w:rPr>
          <w:rStyle w:val="CharSectno"/>
        </w:rPr>
        <w:t>10</w:t>
      </w:r>
      <w:r>
        <w:rPr>
          <w:snapToGrid w:val="0"/>
        </w:rPr>
        <w:t>.</w:t>
      </w:r>
      <w:r>
        <w:rPr>
          <w:snapToGrid w:val="0"/>
        </w:rPr>
        <w:tab/>
        <w:t>Medical referee not to issue permit improperly; and no person to cremate body without permit</w:t>
      </w:r>
      <w:bookmarkEnd w:id="45"/>
      <w:bookmarkEnd w:id="46"/>
      <w:bookmarkEnd w:id="47"/>
      <w:bookmarkEnd w:id="48"/>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49" w:name="_Toc448717226"/>
      <w:bookmarkStart w:id="50" w:name="_Toc20537904"/>
      <w:bookmarkStart w:id="51" w:name="_Toc101953543"/>
      <w:bookmarkStart w:id="52" w:name="_Toc272056382"/>
      <w:r>
        <w:rPr>
          <w:rStyle w:val="CharSectno"/>
        </w:rPr>
        <w:t>12</w:t>
      </w:r>
      <w:r>
        <w:rPr>
          <w:snapToGrid w:val="0"/>
        </w:rPr>
        <w:t>.</w:t>
      </w:r>
      <w:r>
        <w:rPr>
          <w:snapToGrid w:val="0"/>
        </w:rPr>
        <w:tab/>
        <w:t>Interested persons not to give certificates</w:t>
      </w:r>
      <w:bookmarkEnd w:id="49"/>
      <w:bookmarkEnd w:id="50"/>
      <w:bookmarkEnd w:id="51"/>
      <w:bookmarkEnd w:id="52"/>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3" w:name="_Toc448717227"/>
      <w:bookmarkStart w:id="54" w:name="_Toc20537905"/>
      <w:bookmarkStart w:id="55" w:name="_Toc101953544"/>
      <w:bookmarkStart w:id="56" w:name="_Toc272056383"/>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53"/>
      <w:bookmarkEnd w:id="54"/>
      <w:bookmarkEnd w:id="55"/>
      <w:bookmarkEnd w:id="56"/>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7" w:name="_Toc448717228"/>
      <w:bookmarkStart w:id="58" w:name="_Toc20537906"/>
      <w:bookmarkStart w:id="59" w:name="_Toc101953545"/>
      <w:bookmarkStart w:id="60" w:name="_Toc272056384"/>
      <w:r>
        <w:rPr>
          <w:rStyle w:val="CharSectno"/>
        </w:rPr>
        <w:t>14</w:t>
      </w:r>
      <w:r>
        <w:rPr>
          <w:snapToGrid w:val="0"/>
        </w:rPr>
        <w:t>.</w:t>
      </w:r>
      <w:r>
        <w:rPr>
          <w:snapToGrid w:val="0"/>
        </w:rPr>
        <w:tab/>
        <w:t>Attorney General or coroner may forbid cremation</w:t>
      </w:r>
      <w:bookmarkEnd w:id="57"/>
      <w:bookmarkEnd w:id="58"/>
      <w:bookmarkEnd w:id="59"/>
      <w:bookmarkEnd w:id="60"/>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61" w:name="_Toc448717229"/>
      <w:bookmarkStart w:id="62" w:name="_Toc20537907"/>
      <w:bookmarkStart w:id="63" w:name="_Toc101953546"/>
      <w:bookmarkStart w:id="64" w:name="_Toc272056385"/>
      <w:r>
        <w:rPr>
          <w:rStyle w:val="CharSectno"/>
        </w:rPr>
        <w:t>15</w:t>
      </w:r>
      <w:r>
        <w:rPr>
          <w:snapToGrid w:val="0"/>
        </w:rPr>
        <w:t>.</w:t>
      </w:r>
      <w:r>
        <w:rPr>
          <w:snapToGrid w:val="0"/>
        </w:rPr>
        <w:tab/>
        <w:t>Offences</w:t>
      </w:r>
      <w:bookmarkEnd w:id="61"/>
      <w:bookmarkEnd w:id="62"/>
      <w:bookmarkEnd w:id="63"/>
      <w:bookmarkEnd w:id="64"/>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65" w:name="_Toc448717230"/>
      <w:bookmarkStart w:id="66" w:name="_Toc20537908"/>
      <w:bookmarkStart w:id="67" w:name="_Toc101953547"/>
      <w:bookmarkStart w:id="68" w:name="_Toc272056386"/>
      <w:r>
        <w:rPr>
          <w:rStyle w:val="CharSectno"/>
        </w:rPr>
        <w:t>16</w:t>
      </w:r>
      <w:r>
        <w:rPr>
          <w:snapToGrid w:val="0"/>
        </w:rPr>
        <w:t>.</w:t>
      </w:r>
      <w:r>
        <w:rPr>
          <w:snapToGrid w:val="0"/>
        </w:rPr>
        <w:tab/>
        <w:t>Revocation of licences</w:t>
      </w:r>
      <w:bookmarkEnd w:id="65"/>
      <w:bookmarkEnd w:id="66"/>
      <w:bookmarkEnd w:id="67"/>
      <w:bookmarkEnd w:id="68"/>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69" w:name="_Toc448717231"/>
      <w:bookmarkStart w:id="70" w:name="_Toc20537909"/>
      <w:bookmarkStart w:id="71" w:name="_Toc101953548"/>
      <w:bookmarkStart w:id="72" w:name="_Toc272056387"/>
      <w:r>
        <w:rPr>
          <w:rStyle w:val="CharSectno"/>
        </w:rPr>
        <w:t>17</w:t>
      </w:r>
      <w:r>
        <w:rPr>
          <w:snapToGrid w:val="0"/>
        </w:rPr>
        <w:t>.</w:t>
      </w:r>
      <w:r>
        <w:rPr>
          <w:snapToGrid w:val="0"/>
        </w:rPr>
        <w:tab/>
        <w:t>Regulations</w:t>
      </w:r>
      <w:bookmarkEnd w:id="69"/>
      <w:bookmarkEnd w:id="70"/>
      <w:bookmarkEnd w:id="71"/>
      <w:bookmarkEnd w:id="72"/>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3" w:name="_Toc89499498"/>
      <w:bookmarkStart w:id="74" w:name="_Toc89499583"/>
      <w:bookmarkStart w:id="75" w:name="_Toc89510850"/>
      <w:bookmarkStart w:id="76" w:name="_Toc92513111"/>
      <w:bookmarkStart w:id="77" w:name="_Toc101953507"/>
      <w:bookmarkStart w:id="78" w:name="_Toc101953549"/>
      <w:bookmarkStart w:id="79" w:name="_Toc199738526"/>
      <w:bookmarkStart w:id="80" w:name="_Toc199738572"/>
      <w:bookmarkStart w:id="81" w:name="_Toc199815663"/>
      <w:bookmarkStart w:id="82" w:name="_Toc202235196"/>
      <w:bookmarkStart w:id="83" w:name="_Toc202250099"/>
      <w:bookmarkStart w:id="84" w:name="_Toc203379060"/>
      <w:bookmarkStart w:id="85" w:name="_Toc215479483"/>
      <w:bookmarkStart w:id="86" w:name="_Toc268268721"/>
      <w:bookmarkStart w:id="87" w:name="_Toc272056388"/>
      <w:r>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88" w:name="_Toc272056389"/>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Cremation Act 1929</w:t>
            </w:r>
          </w:p>
        </w:tc>
        <w:tc>
          <w:tcPr>
            <w:tcW w:w="1138" w:type="dxa"/>
            <w:tcBorders>
              <w:top w:val="single" w:sz="8" w:space="0" w:color="auto"/>
            </w:tcBorders>
          </w:tcPr>
          <w:p>
            <w:pPr>
              <w:pStyle w:val="nTable"/>
              <w:spacing w:after="40"/>
              <w:rPr>
                <w:sz w:val="19"/>
              </w:rPr>
            </w:pPr>
            <w:r>
              <w:rPr>
                <w:sz w:val="19"/>
              </w:rPr>
              <w:t>22 of 1929</w:t>
            </w:r>
            <w:r>
              <w:rPr>
                <w:sz w:val="19"/>
              </w:rPr>
              <w:br/>
              <w:t>(20 Geo. V No. 20)</w:t>
            </w:r>
          </w:p>
        </w:tc>
        <w:tc>
          <w:tcPr>
            <w:tcW w:w="1135" w:type="dxa"/>
            <w:tcBorders>
              <w:top w:val="single" w:sz="8" w:space="0" w:color="auto"/>
            </w:tcBorders>
          </w:tcPr>
          <w:p>
            <w:pPr>
              <w:pStyle w:val="nTable"/>
              <w:spacing w:after="40"/>
              <w:rPr>
                <w:sz w:val="19"/>
              </w:rPr>
            </w:pPr>
            <w:r>
              <w:rPr>
                <w:sz w:val="19"/>
              </w:rPr>
              <w:t>11 Dec 1929</w:t>
            </w:r>
          </w:p>
        </w:tc>
        <w:tc>
          <w:tcPr>
            <w:tcW w:w="2570" w:type="dxa"/>
            <w:gridSpan w:val="3"/>
            <w:tcBorders>
              <w:top w:val="single" w:sz="8" w:space="0" w:color="auto"/>
            </w:tcBorders>
          </w:tcPr>
          <w:p>
            <w:pPr>
              <w:pStyle w:val="nTable"/>
              <w:spacing w:after="40"/>
              <w:rPr>
                <w:sz w:val="19"/>
              </w:rPr>
            </w:pPr>
            <w:r>
              <w:rPr>
                <w:sz w:val="19"/>
              </w:rPr>
              <w:t>11 Dec 1929</w:t>
            </w:r>
          </w:p>
        </w:tc>
      </w:tr>
      <w:tr>
        <w:trPr>
          <w:cantSplit/>
        </w:trPr>
        <w:tc>
          <w:tcPr>
            <w:tcW w:w="2273" w:type="dxa"/>
          </w:tcPr>
          <w:p>
            <w:pPr>
              <w:pStyle w:val="nTable"/>
              <w:spacing w:after="40"/>
              <w:ind w:right="113"/>
              <w:rPr>
                <w:sz w:val="19"/>
              </w:rPr>
            </w:pPr>
            <w:r>
              <w:rPr>
                <w:i/>
                <w:sz w:val="19"/>
              </w:rPr>
              <w:t>Cremation Act Amendment Act 1935</w:t>
            </w:r>
          </w:p>
        </w:tc>
        <w:tc>
          <w:tcPr>
            <w:tcW w:w="1138" w:type="dxa"/>
          </w:tcPr>
          <w:p>
            <w:pPr>
              <w:pStyle w:val="nTable"/>
              <w:spacing w:after="40"/>
              <w:rPr>
                <w:sz w:val="19"/>
              </w:rPr>
            </w:pPr>
            <w:r>
              <w:rPr>
                <w:sz w:val="19"/>
              </w:rPr>
              <w:t>8 of 1935</w:t>
            </w:r>
            <w:r>
              <w:rPr>
                <w:sz w:val="19"/>
              </w:rPr>
              <w:br/>
              <w:t>(26 Geo. V No. 8)</w:t>
            </w:r>
          </w:p>
        </w:tc>
        <w:tc>
          <w:tcPr>
            <w:tcW w:w="1135" w:type="dxa"/>
          </w:tcPr>
          <w:p>
            <w:pPr>
              <w:pStyle w:val="nTable"/>
              <w:spacing w:after="40"/>
              <w:rPr>
                <w:sz w:val="19"/>
              </w:rPr>
            </w:pPr>
            <w:r>
              <w:rPr>
                <w:sz w:val="19"/>
              </w:rPr>
              <w:t>5 Oct 1935</w:t>
            </w:r>
          </w:p>
        </w:tc>
        <w:tc>
          <w:tcPr>
            <w:tcW w:w="2570" w:type="dxa"/>
            <w:gridSpan w:val="3"/>
          </w:tcPr>
          <w:p>
            <w:pPr>
              <w:pStyle w:val="nTable"/>
              <w:spacing w:after="40"/>
              <w:rPr>
                <w:sz w:val="19"/>
              </w:rPr>
            </w:pPr>
            <w:r>
              <w:rPr>
                <w:sz w:val="19"/>
              </w:rPr>
              <w:t>5 Oct 1935</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Cremation Act Amendment Act 1953</w:t>
            </w:r>
          </w:p>
        </w:tc>
        <w:tc>
          <w:tcPr>
            <w:tcW w:w="1138" w:type="dxa"/>
          </w:tcPr>
          <w:p>
            <w:pPr>
              <w:pStyle w:val="nTable"/>
              <w:spacing w:after="40"/>
              <w:rPr>
                <w:sz w:val="19"/>
              </w:rPr>
            </w:pPr>
            <w:r>
              <w:rPr>
                <w:sz w:val="19"/>
              </w:rPr>
              <w:t>80 of 1953</w:t>
            </w:r>
            <w:r>
              <w:rPr>
                <w:sz w:val="19"/>
              </w:rPr>
              <w:br/>
              <w:t>(2 Eliz. II No. 80)</w:t>
            </w:r>
          </w:p>
        </w:tc>
        <w:tc>
          <w:tcPr>
            <w:tcW w:w="1135" w:type="dxa"/>
          </w:tcPr>
          <w:p>
            <w:pPr>
              <w:pStyle w:val="nTable"/>
              <w:spacing w:after="40"/>
              <w:rPr>
                <w:sz w:val="19"/>
              </w:rPr>
            </w:pPr>
            <w:r>
              <w:rPr>
                <w:sz w:val="19"/>
              </w:rPr>
              <w:t>18 Jan 1954</w:t>
            </w:r>
          </w:p>
        </w:tc>
        <w:tc>
          <w:tcPr>
            <w:tcW w:w="2570" w:type="dxa"/>
            <w:gridSpan w:val="3"/>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273" w:type="dxa"/>
          </w:tcPr>
          <w:p>
            <w:pPr>
              <w:pStyle w:val="nTable"/>
              <w:spacing w:after="40"/>
              <w:ind w:right="113"/>
              <w:rPr>
                <w:sz w:val="19"/>
              </w:rPr>
            </w:pPr>
            <w:r>
              <w:rPr>
                <w:i/>
                <w:sz w:val="19"/>
              </w:rPr>
              <w:t>Cremation Act Amendment Act 1967</w:t>
            </w:r>
          </w:p>
        </w:tc>
        <w:tc>
          <w:tcPr>
            <w:tcW w:w="1138" w:type="dxa"/>
          </w:tcPr>
          <w:p>
            <w:pPr>
              <w:pStyle w:val="nTable"/>
              <w:spacing w:after="40"/>
              <w:rPr>
                <w:sz w:val="19"/>
              </w:rPr>
            </w:pPr>
            <w:r>
              <w:rPr>
                <w:sz w:val="19"/>
              </w:rPr>
              <w:t>35 of 1967</w:t>
            </w:r>
          </w:p>
        </w:tc>
        <w:tc>
          <w:tcPr>
            <w:tcW w:w="1135" w:type="dxa"/>
          </w:tcPr>
          <w:p>
            <w:pPr>
              <w:pStyle w:val="nTable"/>
              <w:spacing w:after="40"/>
              <w:rPr>
                <w:sz w:val="19"/>
              </w:rPr>
            </w:pPr>
            <w:r>
              <w:rPr>
                <w:sz w:val="19"/>
              </w:rPr>
              <w:t>21 Nov 1967</w:t>
            </w:r>
          </w:p>
        </w:tc>
        <w:tc>
          <w:tcPr>
            <w:tcW w:w="2570" w:type="dxa"/>
            <w:gridSpan w:val="3"/>
          </w:tcPr>
          <w:p>
            <w:pPr>
              <w:pStyle w:val="nTable"/>
              <w:spacing w:after="40"/>
              <w:rPr>
                <w:sz w:val="19"/>
              </w:rPr>
            </w:pPr>
            <w:r>
              <w:rPr>
                <w:sz w:val="19"/>
              </w:rPr>
              <w:t>21 Nov 1967</w:t>
            </w:r>
          </w:p>
        </w:tc>
      </w:tr>
      <w:tr>
        <w:trPr>
          <w:cantSplit/>
        </w:trPr>
        <w:tc>
          <w:tcPr>
            <w:tcW w:w="2273" w:type="dxa"/>
          </w:tcPr>
          <w:p>
            <w:pPr>
              <w:pStyle w:val="nTable"/>
              <w:spacing w:after="40"/>
              <w:ind w:right="113"/>
              <w:rPr>
                <w:sz w:val="19"/>
              </w:rPr>
            </w:pPr>
            <w:r>
              <w:rPr>
                <w:i/>
                <w:sz w:val="19"/>
              </w:rPr>
              <w:t>Cremation Act Amendment Act 1968</w:t>
            </w:r>
          </w:p>
        </w:tc>
        <w:tc>
          <w:tcPr>
            <w:tcW w:w="1138" w:type="dxa"/>
          </w:tcPr>
          <w:p>
            <w:pPr>
              <w:pStyle w:val="nTable"/>
              <w:spacing w:after="40"/>
              <w:rPr>
                <w:sz w:val="19"/>
              </w:rPr>
            </w:pPr>
            <w:r>
              <w:rPr>
                <w:sz w:val="19"/>
              </w:rPr>
              <w:t>2 of 1968</w:t>
            </w:r>
          </w:p>
        </w:tc>
        <w:tc>
          <w:tcPr>
            <w:tcW w:w="1135" w:type="dxa"/>
          </w:tcPr>
          <w:p>
            <w:pPr>
              <w:pStyle w:val="nTable"/>
              <w:spacing w:after="40"/>
              <w:rPr>
                <w:sz w:val="19"/>
              </w:rPr>
            </w:pPr>
            <w:r>
              <w:rPr>
                <w:sz w:val="19"/>
              </w:rPr>
              <w:t>26 Sep 1968</w:t>
            </w:r>
          </w:p>
        </w:tc>
        <w:tc>
          <w:tcPr>
            <w:tcW w:w="2570" w:type="dxa"/>
            <w:gridSpan w:val="3"/>
          </w:tcPr>
          <w:p>
            <w:pPr>
              <w:pStyle w:val="nTable"/>
              <w:spacing w:after="40"/>
              <w:rPr>
                <w:sz w:val="19"/>
              </w:rPr>
            </w:pPr>
            <w:r>
              <w:rPr>
                <w:sz w:val="19"/>
              </w:rPr>
              <w:t>26 Sep 1968</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73" w:type="dxa"/>
          </w:tcPr>
          <w:p>
            <w:pPr>
              <w:pStyle w:val="nTable"/>
              <w:spacing w:after="40"/>
              <w:ind w:right="113"/>
              <w:rPr>
                <w:sz w:val="19"/>
              </w:rPr>
            </w:pPr>
            <w:r>
              <w:rPr>
                <w:i/>
                <w:sz w:val="19"/>
              </w:rPr>
              <w:t>Health Legislation Amendment Act 1984</w:t>
            </w:r>
            <w:r>
              <w:rPr>
                <w:sz w:val="19"/>
              </w:rPr>
              <w:t xml:space="preserve"> Pt. IV</w:t>
            </w:r>
          </w:p>
        </w:tc>
        <w:tc>
          <w:tcPr>
            <w:tcW w:w="1138" w:type="dxa"/>
          </w:tcPr>
          <w:p>
            <w:pPr>
              <w:pStyle w:val="nTable"/>
              <w:spacing w:after="40"/>
              <w:rPr>
                <w:sz w:val="19"/>
              </w:rPr>
            </w:pPr>
            <w:r>
              <w:rPr>
                <w:sz w:val="19"/>
              </w:rPr>
              <w:t>28 of 1984</w:t>
            </w:r>
          </w:p>
        </w:tc>
        <w:tc>
          <w:tcPr>
            <w:tcW w:w="1135" w:type="dxa"/>
          </w:tcPr>
          <w:p>
            <w:pPr>
              <w:pStyle w:val="nTable"/>
              <w:spacing w:after="40"/>
              <w:rPr>
                <w:sz w:val="19"/>
              </w:rPr>
            </w:pPr>
            <w:r>
              <w:rPr>
                <w:sz w:val="19"/>
              </w:rPr>
              <w:t>31 May 1984</w:t>
            </w:r>
          </w:p>
        </w:tc>
        <w:tc>
          <w:tcPr>
            <w:tcW w:w="2570" w:type="dxa"/>
            <w:gridSpan w:val="3"/>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73" w:type="dxa"/>
          </w:tcPr>
          <w:p>
            <w:pPr>
              <w:pStyle w:val="nTable"/>
              <w:spacing w:after="40"/>
              <w:ind w:right="113"/>
              <w:rPr>
                <w:sz w:val="19"/>
              </w:rPr>
            </w:pPr>
            <w:r>
              <w:rPr>
                <w:i/>
                <w:sz w:val="19"/>
              </w:rPr>
              <w:t>Cremation Amendment Act 1986</w:t>
            </w:r>
          </w:p>
        </w:tc>
        <w:tc>
          <w:tcPr>
            <w:tcW w:w="1138" w:type="dxa"/>
          </w:tcPr>
          <w:p>
            <w:pPr>
              <w:pStyle w:val="nTable"/>
              <w:spacing w:after="40"/>
              <w:rPr>
                <w:sz w:val="19"/>
              </w:rPr>
            </w:pPr>
            <w:r>
              <w:rPr>
                <w:sz w:val="19"/>
              </w:rPr>
              <w:t>103 of 1986</w:t>
            </w:r>
          </w:p>
        </w:tc>
        <w:tc>
          <w:tcPr>
            <w:tcW w:w="1135" w:type="dxa"/>
          </w:tcPr>
          <w:p>
            <w:pPr>
              <w:pStyle w:val="nTable"/>
              <w:spacing w:after="40"/>
              <w:rPr>
                <w:sz w:val="19"/>
              </w:rPr>
            </w:pPr>
            <w:r>
              <w:rPr>
                <w:sz w:val="19"/>
              </w:rPr>
              <w:t>12 Dec 1986</w:t>
            </w:r>
          </w:p>
        </w:tc>
        <w:tc>
          <w:tcPr>
            <w:tcW w:w="2570" w:type="dxa"/>
            <w:gridSpan w:val="3"/>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25</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3"/>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8" w:type="dxa"/>
          </w:tcPr>
          <w:p>
            <w:pPr>
              <w:pStyle w:val="nTable"/>
              <w:spacing w:after="40"/>
              <w:rPr>
                <w:sz w:val="19"/>
              </w:rPr>
            </w:pPr>
            <w:r>
              <w:rPr>
                <w:sz w:val="19"/>
              </w:rPr>
              <w:t>40 of 1998</w:t>
            </w:r>
          </w:p>
        </w:tc>
        <w:tc>
          <w:tcPr>
            <w:tcW w:w="1135" w:type="dxa"/>
          </w:tcPr>
          <w:p>
            <w:pPr>
              <w:pStyle w:val="nTable"/>
              <w:spacing w:after="40"/>
              <w:rPr>
                <w:sz w:val="19"/>
              </w:rPr>
            </w:pPr>
            <w:r>
              <w:rPr>
                <w:sz w:val="19"/>
              </w:rPr>
              <w:t>30 Oct 1998</w:t>
            </w:r>
          </w:p>
        </w:tc>
        <w:tc>
          <w:tcPr>
            <w:tcW w:w="2570" w:type="dxa"/>
            <w:gridSpan w:val="3"/>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(Lesbian and Gay Law Reform) Act 2002 </w:t>
            </w:r>
            <w:r>
              <w:rPr>
                <w:sz w:val="19"/>
              </w:rPr>
              <w:t>Pt. 6</w:t>
            </w:r>
          </w:p>
        </w:tc>
        <w:tc>
          <w:tcPr>
            <w:tcW w:w="1138" w:type="dxa"/>
          </w:tcPr>
          <w:p>
            <w:pPr>
              <w:pStyle w:val="nTable"/>
              <w:spacing w:after="40"/>
              <w:rPr>
                <w:sz w:val="19"/>
              </w:rPr>
            </w:pPr>
            <w:r>
              <w:rPr>
                <w:sz w:val="19"/>
              </w:rPr>
              <w:t>3 of 2002</w:t>
            </w:r>
          </w:p>
        </w:tc>
        <w:tc>
          <w:tcPr>
            <w:tcW w:w="1135" w:type="dxa"/>
          </w:tcPr>
          <w:p>
            <w:pPr>
              <w:pStyle w:val="nTable"/>
              <w:spacing w:after="40"/>
              <w:rPr>
                <w:sz w:val="19"/>
              </w:rPr>
            </w:pPr>
            <w:r>
              <w:rPr>
                <w:sz w:val="19"/>
              </w:rPr>
              <w:t>17 Apr 2002</w:t>
            </w:r>
          </w:p>
        </w:tc>
        <w:tc>
          <w:tcPr>
            <w:tcW w:w="2570" w:type="dxa"/>
            <w:gridSpan w:val="3"/>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73"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Sch. 3 cl. 13</w:t>
            </w:r>
          </w:p>
        </w:tc>
        <w:tc>
          <w:tcPr>
            <w:tcW w:w="1138"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116" w:type="dxa"/>
            <w:gridSpan w:val="6"/>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 except those in the </w:t>
            </w:r>
            <w:r>
              <w:rPr>
                <w:i/>
                <w:snapToGrid w:val="0"/>
              </w:rPr>
              <w:t>Medical Practitioners Act 2008</w:t>
            </w:r>
            <w:r>
              <w:rPr>
                <w:sz w:val="19"/>
              </w:rPr>
              <w:t>)</w:t>
            </w:r>
          </w:p>
        </w:tc>
      </w:tr>
      <w:tr>
        <w:trPr>
          <w:gridAfter w:val="1"/>
          <w:wAfter w:w="17"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 w:name="_Toc7405065"/>
      <w:bookmarkStart w:id="90" w:name="_Toc272056390"/>
      <w:r>
        <w:t>Provisions that have not come into operation</w:t>
      </w:r>
      <w:bookmarkEnd w:id="89"/>
      <w:bookmarkEnd w:id="9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14</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91" w:author="svcMRProcess" w:date="2015-12-12T10:14:00Z">
              <w:r>
                <w:rPr>
                  <w:snapToGrid w:val="0"/>
                  <w:sz w:val="19"/>
                  <w:lang w:val="en-US"/>
                </w:rPr>
                <w:delText>To be proclaimed</w:delText>
              </w:r>
            </w:del>
            <w:ins w:id="92" w:author="svcMRProcess" w:date="2015-12-12T10:14:00Z">
              <w:r>
                <w:rPr>
                  <w:snapToGrid w:val="0"/>
                  <w:sz w:val="19"/>
                  <w:lang w:val="en-US"/>
                </w:rPr>
                <w:t>18 Oct 2010</w:t>
              </w:r>
            </w:ins>
            <w:r>
              <w:rPr>
                <w:snapToGrid w:val="0"/>
                <w:sz w:val="19"/>
                <w:lang w:val="en-US"/>
              </w:rPr>
              <w:t xml:space="preserve"> (see s. 2(b</w:t>
            </w:r>
            <w:del w:id="93" w:author="svcMRProcess" w:date="2015-12-12T10:14:00Z">
              <w:r>
                <w:rPr>
                  <w:snapToGrid w:val="0"/>
                  <w:sz w:val="19"/>
                  <w:lang w:val="en-US"/>
                </w:rPr>
                <w:delText>))</w:delText>
              </w:r>
            </w:del>
            <w:ins w:id="94" w:author="svcMRProcess" w:date="2015-12-12T10:14: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 xml:space="preserve">The renumbering of sections effected in the 1943 reprint (in Volume 2 of the Reprinted Acts of </w:t>
      </w:r>
      <w:bookmarkStart w:id="95" w:name="UpToHere"/>
      <w:bookmarkEnd w:id="95"/>
      <w:r>
        <w:rPr>
          <w:snapToGrid w:val="0"/>
        </w:rPr>
        <w:t>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14 had not come into operation.  It reads as follows:</w:t>
      </w:r>
    </w:p>
    <w:p>
      <w:pPr>
        <w:pStyle w:val="BlankOpen"/>
      </w:pPr>
    </w:p>
    <w:p>
      <w:pPr>
        <w:pStyle w:val="nzHeading3"/>
      </w:pPr>
      <w:bookmarkStart w:id="96" w:name="_Toc262066635"/>
      <w:bookmarkStart w:id="97" w:name="_Toc270079184"/>
      <w:bookmarkStart w:id="98" w:name="_Toc270349104"/>
      <w:r>
        <w:rPr>
          <w:rStyle w:val="CharDivNo"/>
        </w:rPr>
        <w:t>Division 14</w:t>
      </w:r>
      <w:r>
        <w:t> — </w:t>
      </w:r>
      <w:r>
        <w:rPr>
          <w:rStyle w:val="CharDivText"/>
          <w:i/>
          <w:iCs/>
        </w:rPr>
        <w:t>Cremation Act 1929</w:t>
      </w:r>
      <w:r>
        <w:rPr>
          <w:rStyle w:val="CharDivText"/>
        </w:rPr>
        <w:t xml:space="preserve"> amended</w:t>
      </w:r>
      <w:bookmarkEnd w:id="96"/>
      <w:bookmarkEnd w:id="97"/>
      <w:bookmarkEnd w:id="98"/>
    </w:p>
    <w:p>
      <w:pPr>
        <w:pStyle w:val="nzHeading5"/>
      </w:pPr>
      <w:bookmarkStart w:id="99" w:name="_Toc270349105"/>
      <w:r>
        <w:rPr>
          <w:rStyle w:val="CharSectno"/>
        </w:rPr>
        <w:t>51</w:t>
      </w:r>
      <w:r>
        <w:t>.</w:t>
      </w:r>
      <w:r>
        <w:tab/>
        <w:t>Act amended</w:t>
      </w:r>
      <w:bookmarkEnd w:id="99"/>
    </w:p>
    <w:p>
      <w:pPr>
        <w:pStyle w:val="nzSubsection"/>
      </w:pPr>
      <w:r>
        <w:tab/>
      </w:r>
      <w:r>
        <w:tab/>
        <w:t>This Division amends the</w:t>
      </w:r>
      <w:r>
        <w:rPr>
          <w:i/>
          <w:iCs/>
        </w:rPr>
        <w:t xml:space="preserve"> Cremation Act 1929</w:t>
      </w:r>
      <w:r>
        <w:t>.</w:t>
      </w:r>
    </w:p>
    <w:p>
      <w:pPr>
        <w:pStyle w:val="nzHeading5"/>
      </w:pPr>
      <w:bookmarkStart w:id="100" w:name="_Toc270349106"/>
      <w:r>
        <w:rPr>
          <w:rStyle w:val="CharSectno"/>
        </w:rPr>
        <w:t>52</w:t>
      </w:r>
      <w:r>
        <w:t>.</w:t>
      </w:r>
      <w:r>
        <w:tab/>
        <w:t>Section 2 amended</w:t>
      </w:r>
      <w:bookmarkEnd w:id="100"/>
    </w:p>
    <w:p>
      <w:pPr>
        <w:pStyle w:val="nzSubsection"/>
      </w:pPr>
      <w:r>
        <w:tab/>
      </w:r>
      <w:r>
        <w:tab/>
        <w:t>In section 2 delete the definition of</w:t>
      </w:r>
      <w:r>
        <w:rPr>
          <w:b/>
          <w:bCs/>
        </w:rPr>
        <w:t xml:space="preserve"> </w:t>
      </w:r>
      <w:r>
        <w:rPr>
          <w:b/>
          <w:bCs/>
          <w:i/>
          <w:iCs/>
        </w:rPr>
        <w:t>medical practitioner</w:t>
      </w:r>
      <w:r>
        <w:rPr>
          <w:b/>
          <w:bCs/>
        </w:rPr>
        <w:t xml:space="preserve"> </w:t>
      </w:r>
      <w:r>
        <w:t>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7B862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62DF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6A43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8A02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pStyle w:val="ListNumber"/>
      <w:lvlText w:val="%1."/>
      <w:lvlJc w:val="left"/>
      <w:pPr>
        <w:tabs>
          <w:tab w:val="num" w:pos="360"/>
        </w:tabs>
        <w:ind w:left="360" w:hanging="360"/>
      </w:pPr>
    </w:lvl>
  </w:abstractNum>
  <w:abstractNum w:abstractNumId="9">
    <w:nsid w:val="FFFFFF89"/>
    <w:multiLevelType w:val="singleLevel"/>
    <w:tmpl w:val="F2FAED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780C0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28ABB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147"/>
    <w:docVar w:name="WAFER_20151210132147" w:val="RemoveTrackChanges"/>
    <w:docVar w:name="WAFER_20151210132147_GUID" w:val="c48a381b-70f8-4443-8ec7-e1cdba4044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4504</Words>
  <Characters>20857</Characters>
  <Application>Microsoft Office Word</Application>
  <DocSecurity>0</DocSecurity>
  <Lines>595</Lines>
  <Paragraphs>278</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25083</CharactersWithSpaces>
  <SharedDoc>false</SharedDoc>
  <HLinks>
    <vt:vector size="12" baseType="variant">
      <vt:variant>
        <vt:i4>131085</vt:i4>
      </vt:variant>
      <vt:variant>
        <vt:i4>23902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05-e0-02 - 05-f0-02</dc:title>
  <dc:subject/>
  <dc:creator/>
  <cp:keywords/>
  <dc:description/>
  <cp:lastModifiedBy>svcMRProcess</cp:lastModifiedBy>
  <cp:revision>2</cp:revision>
  <cp:lastPrinted>2008-07-09T07:05:00Z</cp:lastPrinted>
  <dcterms:created xsi:type="dcterms:W3CDTF">2015-12-12T02:14:00Z</dcterms:created>
  <dcterms:modified xsi:type="dcterms:W3CDTF">2015-12-12T02:14:00Z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11 Sep 2010</vt:lpwstr>
  </property>
  <property fmtid="{D5CDD505-2E9C-101B-9397-08002B2CF9AE}" pid="9" name="ToSuffix">
    <vt:lpwstr>05-f0-02</vt:lpwstr>
  </property>
  <property fmtid="{D5CDD505-2E9C-101B-9397-08002B2CF9AE}" pid="10" name="ToAsAtDate">
    <vt:lpwstr>01 Oct 2010</vt:lpwstr>
  </property>
</Properties>
</file>