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bookmarkStart w:id="11" w:name="_Toc257374438"/>
      <w:bookmarkStart w:id="12" w:name="_Toc257374491"/>
      <w:bookmarkStart w:id="13" w:name="_Toc257375209"/>
      <w:bookmarkStart w:id="14" w:name="_Toc260130328"/>
      <w:bookmarkStart w:id="15" w:name="_Toc260391256"/>
      <w:bookmarkStart w:id="16" w:name="_Toc261357775"/>
      <w:bookmarkStart w:id="17" w:name="_Toc268269955"/>
      <w:bookmarkStart w:id="18" w:name="_Toc2743011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7984391"/>
      <w:bookmarkStart w:id="20" w:name="_Toc3776809"/>
      <w:bookmarkStart w:id="21" w:name="_Toc139270794"/>
      <w:bookmarkStart w:id="22" w:name="_Toc274301113"/>
      <w:bookmarkStart w:id="23" w:name="_Toc268269956"/>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24" w:name="_Toc417984392"/>
      <w:bookmarkStart w:id="25" w:name="_Toc3776810"/>
      <w:bookmarkStart w:id="26" w:name="_Toc139270795"/>
      <w:bookmarkStart w:id="27" w:name="_Toc274301114"/>
      <w:bookmarkStart w:id="28" w:name="_Toc26826995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9" w:name="_Toc417984393"/>
      <w:bookmarkStart w:id="30" w:name="_Toc3776811"/>
      <w:bookmarkStart w:id="31" w:name="_Toc139270796"/>
      <w:bookmarkStart w:id="32" w:name="_Toc274301115"/>
      <w:bookmarkStart w:id="33" w:name="_Toc268269958"/>
      <w:r>
        <w:rPr>
          <w:rStyle w:val="CharSectno"/>
        </w:rPr>
        <w:t>3</w:t>
      </w:r>
      <w:r>
        <w:rPr>
          <w:snapToGrid w:val="0"/>
        </w:rPr>
        <w:t>.</w:t>
      </w:r>
      <w:r>
        <w:rPr>
          <w:snapToGrid w:val="0"/>
        </w:rPr>
        <w:tab/>
      </w:r>
      <w:bookmarkEnd w:id="29"/>
      <w:bookmarkEnd w:id="30"/>
      <w:bookmarkEnd w:id="31"/>
      <w:r>
        <w:rPr>
          <w:snapToGrid w:val="0"/>
        </w:rPr>
        <w:t>Terms used</w:t>
      </w:r>
      <w:bookmarkEnd w:id="32"/>
      <w:bookmarkEnd w:id="3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34" w:name="_Toc96326695"/>
      <w:bookmarkStart w:id="35" w:name="_Toc96502917"/>
      <w:bookmarkStart w:id="36" w:name="_Toc103063014"/>
      <w:bookmarkStart w:id="37" w:name="_Toc139270797"/>
      <w:bookmarkStart w:id="38" w:name="_Toc139270847"/>
      <w:bookmarkStart w:id="39" w:name="_Toc139446473"/>
      <w:bookmarkStart w:id="40" w:name="_Toc158008831"/>
      <w:bookmarkStart w:id="41" w:name="_Toc196195112"/>
      <w:bookmarkStart w:id="42" w:name="_Toc202241297"/>
      <w:bookmarkStart w:id="43" w:name="_Toc241291067"/>
      <w:bookmarkStart w:id="44" w:name="_Toc257374442"/>
      <w:bookmarkStart w:id="45" w:name="_Toc257374495"/>
      <w:bookmarkStart w:id="46" w:name="_Toc257375213"/>
      <w:bookmarkStart w:id="47" w:name="_Toc260130332"/>
      <w:bookmarkStart w:id="48" w:name="_Toc260391260"/>
      <w:bookmarkStart w:id="49" w:name="_Toc261357779"/>
      <w:bookmarkStart w:id="50" w:name="_Toc268269959"/>
      <w:bookmarkStart w:id="51" w:name="_Toc274301116"/>
      <w:r>
        <w:rPr>
          <w:rStyle w:val="CharPartNo"/>
        </w:rPr>
        <w:t>Part II</w:t>
      </w:r>
      <w:r>
        <w:rPr>
          <w:rStyle w:val="CharDivNo"/>
        </w:rPr>
        <w:t> </w:t>
      </w:r>
      <w:r>
        <w:t>—</w:t>
      </w:r>
      <w:r>
        <w:rPr>
          <w:rStyle w:val="CharDivText"/>
        </w:rPr>
        <w:t> </w:t>
      </w:r>
      <w:r>
        <w:rPr>
          <w:rStyle w:val="CharPartText"/>
        </w:rPr>
        <w:t>Establishment of the Western Australian Sports Centre Trust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17984394"/>
      <w:bookmarkStart w:id="53" w:name="_Toc3776812"/>
      <w:bookmarkStart w:id="54" w:name="_Toc139270798"/>
      <w:bookmarkStart w:id="55" w:name="_Toc274301117"/>
      <w:bookmarkStart w:id="56" w:name="_Toc268269960"/>
      <w:r>
        <w:rPr>
          <w:rStyle w:val="CharSectno"/>
        </w:rPr>
        <w:t>4</w:t>
      </w:r>
      <w:r>
        <w:rPr>
          <w:snapToGrid w:val="0"/>
        </w:rPr>
        <w:t>.</w:t>
      </w:r>
      <w:r>
        <w:rPr>
          <w:snapToGrid w:val="0"/>
        </w:rPr>
        <w:tab/>
        <w:t>Western Australian Sports Centre Trust established</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57" w:name="_Toc417984395"/>
      <w:bookmarkStart w:id="58" w:name="_Toc3776813"/>
      <w:bookmarkStart w:id="59" w:name="_Toc139270799"/>
      <w:bookmarkStart w:id="60" w:name="_Toc274301118"/>
      <w:bookmarkStart w:id="61" w:name="_Toc268269961"/>
      <w:r>
        <w:rPr>
          <w:rStyle w:val="CharSectno"/>
        </w:rPr>
        <w:t>5</w:t>
      </w:r>
      <w:r>
        <w:rPr>
          <w:snapToGrid w:val="0"/>
        </w:rPr>
        <w:t>.</w:t>
      </w:r>
      <w:r>
        <w:rPr>
          <w:snapToGrid w:val="0"/>
        </w:rPr>
        <w:tab/>
        <w:t>The board of the Trust</w:t>
      </w:r>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62" w:name="_Toc417984396"/>
      <w:bookmarkStart w:id="63" w:name="_Toc3776814"/>
      <w:bookmarkStart w:id="64" w:name="_Toc139270800"/>
      <w:bookmarkStart w:id="65" w:name="_Toc274301119"/>
      <w:bookmarkStart w:id="66" w:name="_Toc268269962"/>
      <w:r>
        <w:rPr>
          <w:rStyle w:val="CharSectno"/>
        </w:rPr>
        <w:t>6</w:t>
      </w:r>
      <w:r>
        <w:rPr>
          <w:snapToGrid w:val="0"/>
        </w:rPr>
        <w:t>.</w:t>
      </w:r>
      <w:r>
        <w:rPr>
          <w:snapToGrid w:val="0"/>
        </w:rPr>
        <w:tab/>
        <w:t>Constitution, meetings and procedure of the board</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67" w:name="_Toc417984397"/>
      <w:bookmarkStart w:id="68" w:name="_Toc3776815"/>
      <w:bookmarkStart w:id="69" w:name="_Toc139270801"/>
      <w:bookmarkStart w:id="70" w:name="_Toc274301120"/>
      <w:bookmarkStart w:id="71" w:name="_Toc268269963"/>
      <w:r>
        <w:rPr>
          <w:rStyle w:val="CharSectno"/>
        </w:rPr>
        <w:t>7</w:t>
      </w:r>
      <w:r>
        <w:rPr>
          <w:snapToGrid w:val="0"/>
        </w:rPr>
        <w:t>.</w:t>
      </w:r>
      <w:r>
        <w:rPr>
          <w:snapToGrid w:val="0"/>
        </w:rPr>
        <w:tab/>
        <w:t>Remuneration and allowances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Heading2"/>
      </w:pPr>
      <w:bookmarkStart w:id="72" w:name="_Toc96326700"/>
      <w:bookmarkStart w:id="73" w:name="_Toc96502922"/>
      <w:bookmarkStart w:id="74" w:name="_Toc103063019"/>
      <w:bookmarkStart w:id="75" w:name="_Toc139270802"/>
      <w:bookmarkStart w:id="76" w:name="_Toc139270852"/>
      <w:bookmarkStart w:id="77" w:name="_Toc139446478"/>
      <w:bookmarkStart w:id="78" w:name="_Toc158008836"/>
      <w:bookmarkStart w:id="79" w:name="_Toc196195117"/>
      <w:bookmarkStart w:id="80" w:name="_Toc202241302"/>
      <w:bookmarkStart w:id="81" w:name="_Toc241291072"/>
      <w:bookmarkStart w:id="82" w:name="_Toc257374447"/>
      <w:bookmarkStart w:id="83" w:name="_Toc257374500"/>
      <w:bookmarkStart w:id="84" w:name="_Toc257375218"/>
      <w:bookmarkStart w:id="85" w:name="_Toc260130337"/>
      <w:bookmarkStart w:id="86" w:name="_Toc260391265"/>
      <w:bookmarkStart w:id="87" w:name="_Toc261357784"/>
      <w:bookmarkStart w:id="88" w:name="_Toc268269964"/>
      <w:bookmarkStart w:id="89" w:name="_Toc274301121"/>
      <w:r>
        <w:rPr>
          <w:rStyle w:val="CharPartNo"/>
        </w:rPr>
        <w:t>Part III</w:t>
      </w:r>
      <w:r>
        <w:rPr>
          <w:rStyle w:val="CharDivNo"/>
        </w:rPr>
        <w:t> </w:t>
      </w:r>
      <w:r>
        <w:t>—</w:t>
      </w:r>
      <w:r>
        <w:rPr>
          <w:rStyle w:val="CharDivText"/>
        </w:rPr>
        <w:t> </w:t>
      </w:r>
      <w:r>
        <w:rPr>
          <w:rStyle w:val="CharPartText"/>
        </w:rPr>
        <w:t>Functions and powers of the Trust</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17984398"/>
      <w:bookmarkStart w:id="91" w:name="_Toc3776816"/>
      <w:bookmarkStart w:id="92" w:name="_Toc139270803"/>
      <w:bookmarkStart w:id="93" w:name="_Toc274301122"/>
      <w:bookmarkStart w:id="94" w:name="_Toc268269965"/>
      <w:r>
        <w:rPr>
          <w:rStyle w:val="CharSectno"/>
        </w:rPr>
        <w:t>8</w:t>
      </w:r>
      <w:r>
        <w:rPr>
          <w:snapToGrid w:val="0"/>
        </w:rPr>
        <w:t>.</w:t>
      </w:r>
      <w:r>
        <w:rPr>
          <w:snapToGrid w:val="0"/>
        </w:rPr>
        <w:tab/>
        <w:t>Functions of the Trust</w:t>
      </w:r>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95" w:name="_Toc417984399"/>
      <w:bookmarkStart w:id="96" w:name="_Toc3776817"/>
      <w:bookmarkStart w:id="97" w:name="_Toc139270804"/>
      <w:bookmarkStart w:id="98" w:name="_Toc274301123"/>
      <w:bookmarkStart w:id="99" w:name="_Toc268269966"/>
      <w:r>
        <w:rPr>
          <w:rStyle w:val="CharSectno"/>
        </w:rPr>
        <w:t>9</w:t>
      </w:r>
      <w:r>
        <w:rPr>
          <w:snapToGrid w:val="0"/>
        </w:rPr>
        <w:t>.</w:t>
      </w:r>
      <w:r>
        <w:rPr>
          <w:snapToGrid w:val="0"/>
        </w:rPr>
        <w:tab/>
        <w:t>General powers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100" w:name="_Toc417984400"/>
      <w:bookmarkStart w:id="101" w:name="_Toc3776818"/>
      <w:bookmarkStart w:id="102" w:name="_Toc139270805"/>
      <w:bookmarkStart w:id="103" w:name="_Toc274301124"/>
      <w:bookmarkStart w:id="104" w:name="_Toc268269967"/>
      <w:r>
        <w:rPr>
          <w:rStyle w:val="CharSectno"/>
        </w:rPr>
        <w:t>10</w:t>
      </w:r>
      <w:r>
        <w:rPr>
          <w:snapToGrid w:val="0"/>
        </w:rPr>
        <w:t>.</w:t>
      </w:r>
      <w:r>
        <w:rPr>
          <w:snapToGrid w:val="0"/>
        </w:rPr>
        <w:tab/>
        <w:t>Power to establish committees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105" w:name="_Toc417984401"/>
      <w:bookmarkStart w:id="106" w:name="_Toc3776819"/>
      <w:bookmarkStart w:id="107" w:name="_Toc139270806"/>
      <w:bookmarkStart w:id="108" w:name="_Toc274301125"/>
      <w:bookmarkStart w:id="109" w:name="_Toc268269968"/>
      <w:r>
        <w:rPr>
          <w:rStyle w:val="CharSectno"/>
        </w:rPr>
        <w:t>11</w:t>
      </w:r>
      <w:r>
        <w:rPr>
          <w:snapToGrid w:val="0"/>
        </w:rPr>
        <w:t>.</w:t>
      </w:r>
      <w:r>
        <w:rPr>
          <w:snapToGrid w:val="0"/>
        </w:rPr>
        <w:tab/>
        <w:t>Appointment or use of staff and facilities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110" w:name="_Toc417984402"/>
      <w:bookmarkStart w:id="111" w:name="_Toc3776820"/>
      <w:bookmarkStart w:id="112" w:name="_Toc139270807"/>
      <w:bookmarkStart w:id="113" w:name="_Toc274301126"/>
      <w:bookmarkStart w:id="114" w:name="_Toc268269969"/>
      <w:r>
        <w:rPr>
          <w:rStyle w:val="CharSectno"/>
        </w:rPr>
        <w:t>12</w:t>
      </w:r>
      <w:r>
        <w:rPr>
          <w:snapToGrid w:val="0"/>
        </w:rPr>
        <w:t>.</w:t>
      </w:r>
      <w:r>
        <w:rPr>
          <w:snapToGrid w:val="0"/>
        </w:rPr>
        <w:tab/>
        <w:t>General manager of the Western Australian Sports Centre</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15" w:name="_Toc417984403"/>
      <w:bookmarkStart w:id="116" w:name="_Toc3776821"/>
      <w:bookmarkStart w:id="117" w:name="_Toc139270808"/>
      <w:bookmarkStart w:id="118" w:name="_Toc274301127"/>
      <w:bookmarkStart w:id="119" w:name="_Toc268269970"/>
      <w:r>
        <w:rPr>
          <w:rStyle w:val="CharSectno"/>
        </w:rPr>
        <w:t>13</w:t>
      </w:r>
      <w:r>
        <w:rPr>
          <w:snapToGrid w:val="0"/>
        </w:rPr>
        <w:t>.</w:t>
      </w:r>
      <w:r>
        <w:rPr>
          <w:snapToGrid w:val="0"/>
        </w:rPr>
        <w:tab/>
        <w:t>Delegation</w:t>
      </w:r>
      <w:bookmarkEnd w:id="115"/>
      <w:bookmarkEnd w:id="116"/>
      <w:bookmarkEnd w:id="117"/>
      <w:bookmarkEnd w:id="118"/>
      <w:bookmarkEnd w:id="119"/>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20" w:name="_Toc417984404"/>
      <w:bookmarkStart w:id="121" w:name="_Toc3776822"/>
      <w:bookmarkStart w:id="122" w:name="_Toc139270809"/>
      <w:bookmarkStart w:id="123" w:name="_Toc274301128"/>
      <w:bookmarkStart w:id="124" w:name="_Toc268269971"/>
      <w:r>
        <w:rPr>
          <w:rStyle w:val="CharSectno"/>
        </w:rPr>
        <w:t>14</w:t>
      </w:r>
      <w:r>
        <w:rPr>
          <w:snapToGrid w:val="0"/>
        </w:rPr>
        <w:t>.</w:t>
      </w:r>
      <w:r>
        <w:rPr>
          <w:snapToGrid w:val="0"/>
        </w:rPr>
        <w:tab/>
        <w:t>Minister may give directions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125" w:name="_Toc417984405"/>
      <w:bookmarkStart w:id="126" w:name="_Toc3776823"/>
      <w:bookmarkStart w:id="127" w:name="_Toc139270810"/>
      <w:bookmarkStart w:id="128" w:name="_Toc274301129"/>
      <w:bookmarkStart w:id="129" w:name="_Toc268269972"/>
      <w:r>
        <w:rPr>
          <w:rStyle w:val="CharSectno"/>
        </w:rPr>
        <w:t>14A</w:t>
      </w:r>
      <w:r>
        <w:rPr>
          <w:snapToGrid w:val="0"/>
        </w:rPr>
        <w:t>.</w:t>
      </w:r>
      <w:r>
        <w:rPr>
          <w:snapToGrid w:val="0"/>
        </w:rPr>
        <w:tab/>
        <w:t>Minister to have access to information</w:t>
      </w:r>
      <w:bookmarkEnd w:id="125"/>
      <w:bookmarkEnd w:id="126"/>
      <w:bookmarkEnd w:id="127"/>
      <w:bookmarkEnd w:id="128"/>
      <w:bookmarkEnd w:id="129"/>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30" w:name="_Toc96326709"/>
      <w:bookmarkStart w:id="131" w:name="_Toc96502931"/>
      <w:bookmarkStart w:id="132" w:name="_Toc103063028"/>
      <w:bookmarkStart w:id="133" w:name="_Toc139270811"/>
      <w:bookmarkStart w:id="134" w:name="_Toc139270861"/>
      <w:bookmarkStart w:id="135" w:name="_Toc139446487"/>
      <w:bookmarkStart w:id="136" w:name="_Toc158008845"/>
      <w:bookmarkStart w:id="137" w:name="_Toc196195126"/>
      <w:bookmarkStart w:id="138" w:name="_Toc202241311"/>
      <w:bookmarkStart w:id="139" w:name="_Toc241291081"/>
      <w:bookmarkStart w:id="140" w:name="_Toc257374456"/>
      <w:bookmarkStart w:id="141" w:name="_Toc257374509"/>
      <w:bookmarkStart w:id="142" w:name="_Toc257375227"/>
      <w:bookmarkStart w:id="143" w:name="_Toc260130346"/>
      <w:bookmarkStart w:id="144" w:name="_Toc260391274"/>
      <w:bookmarkStart w:id="145" w:name="_Toc261357793"/>
      <w:bookmarkStart w:id="146" w:name="_Toc268269973"/>
      <w:bookmarkStart w:id="147" w:name="_Toc274301130"/>
      <w:r>
        <w:rPr>
          <w:rStyle w:val="CharPartNo"/>
        </w:rPr>
        <w:t>Part IV</w:t>
      </w:r>
      <w:r>
        <w:rPr>
          <w:rStyle w:val="CharDivNo"/>
        </w:rPr>
        <w:t> </w:t>
      </w:r>
      <w:r>
        <w:t>—</w:t>
      </w:r>
      <w:r>
        <w:rPr>
          <w:rStyle w:val="CharDivText"/>
        </w:rPr>
        <w:t> </w:t>
      </w:r>
      <w:r>
        <w:rPr>
          <w:rStyle w:val="CharPartText"/>
        </w:rPr>
        <w:t>Financial provisions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17984406"/>
      <w:bookmarkStart w:id="149" w:name="_Toc3776824"/>
      <w:bookmarkStart w:id="150" w:name="_Toc139270812"/>
      <w:bookmarkStart w:id="151" w:name="_Toc274301131"/>
      <w:bookmarkStart w:id="152" w:name="_Toc268269974"/>
      <w:r>
        <w:rPr>
          <w:rStyle w:val="CharSectno"/>
        </w:rPr>
        <w:t>15</w:t>
      </w:r>
      <w:r>
        <w:rPr>
          <w:snapToGrid w:val="0"/>
        </w:rPr>
        <w:t>.</w:t>
      </w:r>
      <w:r>
        <w:rPr>
          <w:snapToGrid w:val="0"/>
        </w:rPr>
        <w:tab/>
        <w:t>Funds of the Trust</w:t>
      </w:r>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153" w:name="_Toc417984407"/>
      <w:bookmarkStart w:id="154" w:name="_Toc3776825"/>
      <w:bookmarkStart w:id="155" w:name="_Toc139270813"/>
      <w:bookmarkStart w:id="156" w:name="_Toc274301132"/>
      <w:bookmarkStart w:id="157" w:name="_Toc268269975"/>
      <w:r>
        <w:rPr>
          <w:rStyle w:val="CharSectno"/>
        </w:rPr>
        <w:t>16</w:t>
      </w:r>
      <w:r>
        <w:rPr>
          <w:snapToGrid w:val="0"/>
        </w:rPr>
        <w:t>.</w:t>
      </w:r>
      <w:r>
        <w:rPr>
          <w:snapToGrid w:val="0"/>
        </w:rPr>
        <w:tab/>
        <w:t>Certain property and instruments exempt from rates, taxes and duty</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158" w:name="_Toc417984408"/>
      <w:bookmarkStart w:id="159" w:name="_Toc3776826"/>
      <w:bookmarkStart w:id="160" w:name="_Toc139270814"/>
      <w:bookmarkStart w:id="161" w:name="_Toc274301133"/>
      <w:bookmarkStart w:id="162" w:name="_Toc268269976"/>
      <w:r>
        <w:rPr>
          <w:rStyle w:val="CharSectno"/>
        </w:rPr>
        <w:t>17</w:t>
      </w:r>
      <w:r>
        <w:rPr>
          <w:snapToGrid w:val="0"/>
        </w:rPr>
        <w:t>.</w:t>
      </w:r>
      <w:r>
        <w:rPr>
          <w:snapToGrid w:val="0"/>
        </w:rPr>
        <w:tab/>
        <w:t>Application of</w:t>
      </w:r>
      <w:bookmarkEnd w:id="158"/>
      <w:bookmarkEnd w:id="159"/>
      <w:bookmarkEnd w:id="160"/>
      <w:r>
        <w:rPr>
          <w:i/>
          <w:iCs/>
        </w:rPr>
        <w:t xml:space="preserve"> Financial Management Act 2006</w:t>
      </w:r>
      <w:r>
        <w:t xml:space="preserve"> and </w:t>
      </w:r>
      <w:r>
        <w:rPr>
          <w:i/>
          <w:iCs/>
        </w:rPr>
        <w:t>Auditor General Act 2006</w:t>
      </w:r>
      <w:bookmarkEnd w:id="161"/>
      <w:bookmarkEnd w:id="16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163" w:name="_Toc96326713"/>
      <w:bookmarkStart w:id="164" w:name="_Toc96502935"/>
      <w:bookmarkStart w:id="165" w:name="_Toc103063032"/>
      <w:bookmarkStart w:id="166" w:name="_Toc139270815"/>
      <w:bookmarkStart w:id="167" w:name="_Toc139270865"/>
      <w:bookmarkStart w:id="168" w:name="_Toc139446491"/>
      <w:bookmarkStart w:id="169" w:name="_Toc158008849"/>
      <w:bookmarkStart w:id="170" w:name="_Toc196195130"/>
      <w:bookmarkStart w:id="171" w:name="_Toc202241315"/>
      <w:bookmarkStart w:id="172" w:name="_Toc241291085"/>
      <w:bookmarkStart w:id="173" w:name="_Toc257374460"/>
      <w:bookmarkStart w:id="174" w:name="_Toc257374513"/>
      <w:bookmarkStart w:id="175" w:name="_Toc257375231"/>
      <w:bookmarkStart w:id="176" w:name="_Toc260130350"/>
      <w:bookmarkStart w:id="177" w:name="_Toc260391278"/>
      <w:bookmarkStart w:id="178" w:name="_Toc261357797"/>
      <w:bookmarkStart w:id="179" w:name="_Toc268269977"/>
      <w:bookmarkStart w:id="180" w:name="_Toc274301134"/>
      <w:r>
        <w:rPr>
          <w:rStyle w:val="CharPartNo"/>
        </w:rPr>
        <w:t>Part V</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417984409"/>
      <w:bookmarkStart w:id="182" w:name="_Toc3776827"/>
      <w:bookmarkStart w:id="183" w:name="_Toc139270816"/>
      <w:bookmarkStart w:id="184" w:name="_Toc274301135"/>
      <w:bookmarkStart w:id="185" w:name="_Toc268269978"/>
      <w:r>
        <w:rPr>
          <w:rStyle w:val="CharSectno"/>
        </w:rPr>
        <w:t>18</w:t>
      </w:r>
      <w:r>
        <w:rPr>
          <w:snapToGrid w:val="0"/>
        </w:rPr>
        <w:t>.</w:t>
      </w:r>
      <w:r>
        <w:rPr>
          <w:snapToGrid w:val="0"/>
        </w:rPr>
        <w:tab/>
        <w:t>Regulations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86" w:name="_Toc417984410"/>
      <w:bookmarkStart w:id="187" w:name="_Toc3776828"/>
      <w:bookmarkStart w:id="188" w:name="_Toc139270817"/>
      <w:bookmarkStart w:id="189" w:name="_Toc274301136"/>
      <w:bookmarkStart w:id="190" w:name="_Toc268269979"/>
      <w:r>
        <w:rPr>
          <w:rStyle w:val="CharSectno"/>
        </w:rPr>
        <w:t>18A</w:t>
      </w:r>
      <w:r>
        <w:rPr>
          <w:snapToGrid w:val="0"/>
        </w:rPr>
        <w:t>.</w:t>
      </w:r>
      <w:r>
        <w:rPr>
          <w:snapToGrid w:val="0"/>
        </w:rPr>
        <w:tab/>
        <w:t>Traffic regulations</w:t>
      </w:r>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91" w:name="_Toc417984411"/>
      <w:bookmarkStart w:id="192" w:name="_Toc3776829"/>
      <w:bookmarkStart w:id="193" w:name="_Toc139270818"/>
      <w:bookmarkStart w:id="194" w:name="_Toc274301137"/>
      <w:bookmarkStart w:id="195" w:name="_Toc268269980"/>
      <w:r>
        <w:rPr>
          <w:rStyle w:val="CharSectno"/>
        </w:rPr>
        <w:t>18B</w:t>
      </w:r>
      <w:r>
        <w:rPr>
          <w:snapToGrid w:val="0"/>
        </w:rPr>
        <w:t>.</w:t>
      </w:r>
      <w:r>
        <w:rPr>
          <w:snapToGrid w:val="0"/>
        </w:rPr>
        <w:tab/>
        <w:t>Penalty for contravention of regulations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96" w:name="_Toc417984412"/>
      <w:bookmarkStart w:id="197" w:name="_Toc3776830"/>
      <w:bookmarkStart w:id="198" w:name="_Toc139270819"/>
      <w:bookmarkStart w:id="199" w:name="_Toc274301138"/>
      <w:bookmarkStart w:id="200" w:name="_Toc268269981"/>
      <w:r>
        <w:rPr>
          <w:rStyle w:val="CharSectno"/>
        </w:rPr>
        <w:t>18C</w:t>
      </w:r>
      <w:r>
        <w:rPr>
          <w:snapToGrid w:val="0"/>
        </w:rPr>
        <w:t>.</w:t>
      </w:r>
      <w:r>
        <w:rPr>
          <w:snapToGrid w:val="0"/>
        </w:rPr>
        <w:tab/>
        <w:t>Infringement notices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201" w:name="_Toc417984413"/>
      <w:bookmarkStart w:id="202" w:name="_Toc3776831"/>
      <w:bookmarkStart w:id="203" w:name="_Toc139270820"/>
      <w:bookmarkStart w:id="204" w:name="_Toc274301139"/>
      <w:bookmarkStart w:id="205" w:name="_Toc268269982"/>
      <w:r>
        <w:rPr>
          <w:rStyle w:val="CharSectno"/>
        </w:rPr>
        <w:t>18D</w:t>
      </w:r>
      <w:r>
        <w:rPr>
          <w:snapToGrid w:val="0"/>
        </w:rPr>
        <w:t>.</w:t>
      </w:r>
      <w:r>
        <w:rPr>
          <w:snapToGrid w:val="0"/>
        </w:rPr>
        <w:tab/>
        <w:t>Owner onus in relation to motor vehicles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206" w:name="_Toc417984414"/>
      <w:bookmarkStart w:id="207" w:name="_Toc3776832"/>
      <w:bookmarkStart w:id="208" w:name="_Toc139270821"/>
      <w:bookmarkStart w:id="209" w:name="_Toc274301140"/>
      <w:bookmarkStart w:id="210" w:name="_Toc268269983"/>
      <w:r>
        <w:rPr>
          <w:rStyle w:val="CharSectno"/>
        </w:rPr>
        <w:t>19</w:t>
      </w:r>
      <w:r>
        <w:rPr>
          <w:snapToGrid w:val="0"/>
        </w:rPr>
        <w:t>.</w:t>
      </w:r>
      <w:r>
        <w:rPr>
          <w:snapToGrid w:val="0"/>
        </w:rPr>
        <w:tab/>
        <w:t>Staff transitional provisions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211" w:name="_Toc417984415"/>
      <w:bookmarkStart w:id="212" w:name="_Toc3776833"/>
      <w:bookmarkStart w:id="213" w:name="_Toc139270822"/>
      <w:bookmarkStart w:id="214" w:name="_Toc274301141"/>
      <w:bookmarkStart w:id="215" w:name="_Toc268269984"/>
      <w:r>
        <w:rPr>
          <w:rStyle w:val="CharSectno"/>
        </w:rPr>
        <w:t>20</w:t>
      </w:r>
      <w:r>
        <w:rPr>
          <w:snapToGrid w:val="0"/>
        </w:rPr>
        <w:t>.</w:t>
      </w:r>
      <w:r>
        <w:rPr>
          <w:snapToGrid w:val="0"/>
        </w:rPr>
        <w:tab/>
        <w:t>Review of the Act</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6" w:name="_Toc139270823"/>
      <w:bookmarkStart w:id="217" w:name="_Toc139270873"/>
      <w:bookmarkStart w:id="218" w:name="_Toc139446499"/>
      <w:bookmarkStart w:id="219" w:name="_Toc158008857"/>
      <w:bookmarkStart w:id="220" w:name="_Toc196195138"/>
      <w:bookmarkStart w:id="221" w:name="_Toc202241323"/>
      <w:bookmarkStart w:id="222" w:name="_Toc241291093"/>
      <w:bookmarkStart w:id="223" w:name="_Toc257374468"/>
      <w:bookmarkStart w:id="224" w:name="_Toc257374521"/>
      <w:bookmarkStart w:id="225" w:name="_Toc257375239"/>
      <w:bookmarkStart w:id="226" w:name="_Toc260130358"/>
      <w:bookmarkStart w:id="227" w:name="_Toc260391286"/>
      <w:bookmarkStart w:id="228" w:name="_Toc261357805"/>
      <w:bookmarkStart w:id="229" w:name="_Toc268269985"/>
      <w:bookmarkStart w:id="230" w:name="_Toc274301142"/>
      <w:r>
        <w:rPr>
          <w:rStyle w:val="CharSchNo"/>
        </w:rPr>
        <w:t>Schedule 1</w:t>
      </w:r>
      <w:bookmarkEnd w:id="216"/>
      <w:bookmarkEnd w:id="217"/>
      <w:bookmarkEnd w:id="218"/>
      <w:bookmarkEnd w:id="219"/>
      <w:bookmarkEnd w:id="220"/>
      <w:bookmarkEnd w:id="221"/>
      <w:bookmarkEnd w:id="222"/>
      <w:bookmarkEnd w:id="223"/>
      <w:bookmarkEnd w:id="224"/>
      <w:bookmarkEnd w:id="225"/>
      <w:bookmarkEnd w:id="226"/>
      <w:bookmarkEnd w:id="227"/>
      <w:bookmarkEnd w:id="228"/>
      <w:r>
        <w:t> — </w:t>
      </w:r>
      <w:r>
        <w:rPr>
          <w:rStyle w:val="CharSchText"/>
        </w:rPr>
        <w:t>Provisions relating to the Trustees</w:t>
      </w:r>
      <w:bookmarkEnd w:id="229"/>
      <w:bookmarkEnd w:id="230"/>
    </w:p>
    <w:p>
      <w:pPr>
        <w:pStyle w:val="yShoulderClause"/>
        <w:rPr>
          <w:snapToGrid w:val="0"/>
        </w:rPr>
      </w:pPr>
      <w:r>
        <w:rPr>
          <w:snapToGrid w:val="0"/>
        </w:rPr>
        <w:t>[s. 6(1)]</w:t>
      </w:r>
    </w:p>
    <w:p>
      <w:pPr>
        <w:pStyle w:val="yFootnoteheading"/>
        <w:rPr>
          <w:rStyle w:val="CharSClsNo"/>
        </w:rPr>
      </w:pPr>
      <w:bookmarkStart w:id="231" w:name="_Toc3776837"/>
      <w:bookmarkStart w:id="232" w:name="_Toc139270824"/>
      <w:r>
        <w:tab/>
        <w:t>[Heading amended by No. 19 of 2010 s. 4.]</w:t>
      </w:r>
    </w:p>
    <w:p>
      <w:pPr>
        <w:pStyle w:val="yHeading5"/>
        <w:ind w:left="890" w:hanging="890"/>
        <w:outlineLvl w:val="9"/>
        <w:rPr>
          <w:snapToGrid w:val="0"/>
        </w:rPr>
      </w:pPr>
      <w:bookmarkStart w:id="233" w:name="_Toc274301143"/>
      <w:bookmarkStart w:id="234" w:name="_Toc268269986"/>
      <w:r>
        <w:rPr>
          <w:rStyle w:val="CharSClsNo"/>
        </w:rPr>
        <w:t>1</w:t>
      </w:r>
      <w:r>
        <w:rPr>
          <w:snapToGrid w:val="0"/>
        </w:rPr>
        <w:t>.</w:t>
      </w:r>
      <w:r>
        <w:rPr>
          <w:snapToGrid w:val="0"/>
        </w:rPr>
        <w:tab/>
        <w:t>Certain persons ineligible for appointment</w:t>
      </w:r>
      <w:bookmarkEnd w:id="231"/>
      <w:bookmarkEnd w:id="232"/>
      <w:bookmarkEnd w:id="233"/>
      <w:bookmarkEnd w:id="234"/>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235" w:name="_Toc3776838"/>
      <w:bookmarkStart w:id="236" w:name="_Toc139270825"/>
      <w:bookmarkStart w:id="237" w:name="_Toc274301144"/>
      <w:bookmarkStart w:id="238" w:name="_Toc268269987"/>
      <w:r>
        <w:rPr>
          <w:rStyle w:val="CharSClsNo"/>
        </w:rPr>
        <w:t>2</w:t>
      </w:r>
      <w:r>
        <w:rPr>
          <w:snapToGrid w:val="0"/>
        </w:rPr>
        <w:t>.</w:t>
      </w:r>
      <w:r>
        <w:rPr>
          <w:snapToGrid w:val="0"/>
        </w:rPr>
        <w:tab/>
        <w:t>Nomination for appointment</w:t>
      </w:r>
      <w:bookmarkEnd w:id="235"/>
      <w:bookmarkEnd w:id="236"/>
      <w:bookmarkEnd w:id="237"/>
      <w:bookmarkEnd w:id="238"/>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39" w:name="_Toc3776839"/>
      <w:bookmarkStart w:id="240" w:name="_Toc139270826"/>
      <w:bookmarkStart w:id="241" w:name="_Toc274301145"/>
      <w:bookmarkStart w:id="242" w:name="_Toc268269988"/>
      <w:r>
        <w:rPr>
          <w:rStyle w:val="CharSClsNo"/>
        </w:rPr>
        <w:t>3</w:t>
      </w:r>
      <w:r>
        <w:rPr>
          <w:snapToGrid w:val="0"/>
        </w:rPr>
        <w:t>.</w:t>
      </w:r>
      <w:r>
        <w:rPr>
          <w:snapToGrid w:val="0"/>
        </w:rPr>
        <w:tab/>
        <w:t>Term of office</w:t>
      </w:r>
      <w:bookmarkEnd w:id="239"/>
      <w:bookmarkEnd w:id="240"/>
      <w:bookmarkEnd w:id="241"/>
      <w:bookmarkEnd w:id="242"/>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43" w:name="_Toc3776840"/>
      <w:bookmarkStart w:id="244" w:name="_Toc139270827"/>
      <w:bookmarkStart w:id="245" w:name="_Toc274301146"/>
      <w:bookmarkStart w:id="246" w:name="_Toc268269989"/>
      <w:r>
        <w:rPr>
          <w:rStyle w:val="CharSClsNo"/>
        </w:rPr>
        <w:t>4</w:t>
      </w:r>
      <w:r>
        <w:rPr>
          <w:snapToGrid w:val="0"/>
        </w:rPr>
        <w:t>.</w:t>
      </w:r>
      <w:r>
        <w:rPr>
          <w:snapToGrid w:val="0"/>
        </w:rPr>
        <w:tab/>
        <w:t>Extraordinary vacancies</w:t>
      </w:r>
      <w:bookmarkEnd w:id="243"/>
      <w:bookmarkEnd w:id="244"/>
      <w:bookmarkEnd w:id="245"/>
      <w:bookmarkEnd w:id="246"/>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247" w:name="_Toc3776841"/>
      <w:bookmarkStart w:id="248" w:name="_Toc139270828"/>
      <w:bookmarkStart w:id="249" w:name="_Toc274301147"/>
      <w:bookmarkStart w:id="250" w:name="_Toc268269990"/>
      <w:r>
        <w:rPr>
          <w:rStyle w:val="CharSClsNo"/>
        </w:rPr>
        <w:t>5</w:t>
      </w:r>
      <w:r>
        <w:rPr>
          <w:snapToGrid w:val="0"/>
        </w:rPr>
        <w:t>.</w:t>
      </w:r>
      <w:r>
        <w:rPr>
          <w:snapToGrid w:val="0"/>
        </w:rPr>
        <w:tab/>
        <w:t>Chairman</w:t>
      </w:r>
      <w:bookmarkEnd w:id="247"/>
      <w:bookmarkEnd w:id="248"/>
      <w:bookmarkEnd w:id="249"/>
      <w:bookmarkEnd w:id="250"/>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51" w:name="_Toc3776842"/>
      <w:bookmarkStart w:id="252" w:name="_Toc139270829"/>
      <w:bookmarkStart w:id="253" w:name="_Toc274301148"/>
      <w:bookmarkStart w:id="254" w:name="_Toc268269991"/>
      <w:r>
        <w:rPr>
          <w:rStyle w:val="CharSClsNo"/>
        </w:rPr>
        <w:t>6</w:t>
      </w:r>
      <w:r>
        <w:rPr>
          <w:snapToGrid w:val="0"/>
        </w:rPr>
        <w:t>.</w:t>
      </w:r>
      <w:r>
        <w:rPr>
          <w:snapToGrid w:val="0"/>
        </w:rPr>
        <w:tab/>
        <w:t>Appointment of deputy</w:t>
      </w:r>
      <w:bookmarkEnd w:id="251"/>
      <w:bookmarkEnd w:id="252"/>
      <w:bookmarkEnd w:id="253"/>
      <w:bookmarkEnd w:id="254"/>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55" w:name="_Toc3776843"/>
      <w:bookmarkStart w:id="256" w:name="_Toc139270830"/>
      <w:bookmarkStart w:id="257" w:name="_Toc274301149"/>
      <w:bookmarkStart w:id="258" w:name="_Toc268269992"/>
      <w:r>
        <w:rPr>
          <w:rStyle w:val="CharSClsNo"/>
        </w:rPr>
        <w:t>7</w:t>
      </w:r>
      <w:r>
        <w:rPr>
          <w:snapToGrid w:val="0"/>
        </w:rPr>
        <w:t>.</w:t>
      </w:r>
      <w:r>
        <w:rPr>
          <w:snapToGrid w:val="0"/>
        </w:rPr>
        <w:tab/>
        <w:t>Disclosure of pecuniary interests</w:t>
      </w:r>
      <w:bookmarkEnd w:id="255"/>
      <w:bookmarkEnd w:id="256"/>
      <w:bookmarkEnd w:id="257"/>
      <w:bookmarkEnd w:id="258"/>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59" w:name="_Toc3776844"/>
      <w:bookmarkStart w:id="260" w:name="_Toc139270831"/>
      <w:bookmarkStart w:id="261" w:name="_Toc274301150"/>
      <w:bookmarkStart w:id="262" w:name="_Toc268269993"/>
      <w:r>
        <w:rPr>
          <w:rStyle w:val="CharSClsNo"/>
        </w:rPr>
        <w:t>8</w:t>
      </w:r>
      <w:r>
        <w:rPr>
          <w:snapToGrid w:val="0"/>
        </w:rPr>
        <w:t>.</w:t>
      </w:r>
      <w:r>
        <w:rPr>
          <w:snapToGrid w:val="0"/>
        </w:rPr>
        <w:tab/>
        <w:t>Common seal</w:t>
      </w:r>
      <w:bookmarkEnd w:id="259"/>
      <w:bookmarkEnd w:id="260"/>
      <w:bookmarkEnd w:id="261"/>
      <w:bookmarkEnd w:id="262"/>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263" w:name="_Toc139270832"/>
      <w:bookmarkStart w:id="264" w:name="_Toc139270882"/>
      <w:bookmarkStart w:id="265" w:name="_Toc139446508"/>
      <w:bookmarkStart w:id="266" w:name="_Toc158008866"/>
      <w:bookmarkStart w:id="267" w:name="_Toc196195148"/>
      <w:bookmarkStart w:id="268" w:name="_Toc202241333"/>
      <w:bookmarkStart w:id="269" w:name="_Toc241291103"/>
      <w:bookmarkStart w:id="270" w:name="_Toc257374478"/>
      <w:bookmarkStart w:id="271" w:name="_Toc257374531"/>
      <w:bookmarkStart w:id="272" w:name="_Toc257375249"/>
      <w:bookmarkStart w:id="273" w:name="_Toc260130368"/>
      <w:bookmarkStart w:id="274" w:name="_Toc260391296"/>
      <w:bookmarkStart w:id="275" w:name="_Toc261357815"/>
      <w:bookmarkStart w:id="276" w:name="_Toc268269994"/>
      <w:bookmarkStart w:id="277" w:name="_Toc274301151"/>
      <w:r>
        <w:rPr>
          <w:rStyle w:val="CharSchNo"/>
        </w:rPr>
        <w:t>Schedule 2</w:t>
      </w:r>
      <w:bookmarkEnd w:id="263"/>
      <w:bookmarkEnd w:id="264"/>
      <w:bookmarkEnd w:id="265"/>
      <w:bookmarkEnd w:id="266"/>
      <w:bookmarkEnd w:id="267"/>
      <w:bookmarkEnd w:id="268"/>
      <w:bookmarkEnd w:id="269"/>
      <w:bookmarkEnd w:id="270"/>
      <w:bookmarkEnd w:id="271"/>
      <w:bookmarkEnd w:id="272"/>
      <w:bookmarkEnd w:id="273"/>
      <w:bookmarkEnd w:id="274"/>
      <w:bookmarkEnd w:id="275"/>
      <w:r>
        <w:t> — </w:t>
      </w:r>
      <w:r>
        <w:rPr>
          <w:rStyle w:val="CharSchText"/>
        </w:rPr>
        <w:t>Meetings and procedures of the board of the Trust</w:t>
      </w:r>
      <w:bookmarkEnd w:id="276"/>
      <w:bookmarkEnd w:id="277"/>
    </w:p>
    <w:p>
      <w:pPr>
        <w:pStyle w:val="yShoulderClause"/>
        <w:rPr>
          <w:snapToGrid w:val="0"/>
        </w:rPr>
      </w:pPr>
      <w:r>
        <w:rPr>
          <w:snapToGrid w:val="0"/>
        </w:rPr>
        <w:t>[s. 6(2)]</w:t>
      </w:r>
    </w:p>
    <w:p>
      <w:pPr>
        <w:pStyle w:val="yFootnoteheading"/>
        <w:rPr>
          <w:b/>
          <w:snapToGrid w:val="0"/>
        </w:rPr>
      </w:pPr>
      <w:bookmarkStart w:id="278" w:name="_Toc3776845"/>
      <w:bookmarkStart w:id="279" w:name="_Toc139270833"/>
      <w:r>
        <w:tab/>
        <w:t>[Heading amended by No. 19 of 2010 s. 4.]</w:t>
      </w:r>
    </w:p>
    <w:p>
      <w:pPr>
        <w:pStyle w:val="yHeading5"/>
        <w:ind w:left="890" w:hanging="890"/>
        <w:outlineLvl w:val="9"/>
        <w:rPr>
          <w:snapToGrid w:val="0"/>
        </w:rPr>
      </w:pPr>
      <w:bookmarkStart w:id="280" w:name="_Toc274301152"/>
      <w:bookmarkStart w:id="281" w:name="_Toc268269995"/>
      <w:r>
        <w:rPr>
          <w:rStyle w:val="CharSClsNo"/>
        </w:rPr>
        <w:t>1</w:t>
      </w:r>
      <w:r>
        <w:rPr>
          <w:snapToGrid w:val="0"/>
        </w:rPr>
        <w:t>.</w:t>
      </w:r>
      <w:r>
        <w:rPr>
          <w:snapToGrid w:val="0"/>
        </w:rPr>
        <w:tab/>
        <w:t>Procedure and quorum</w:t>
      </w:r>
      <w:bookmarkEnd w:id="278"/>
      <w:bookmarkEnd w:id="279"/>
      <w:bookmarkEnd w:id="280"/>
      <w:bookmarkEnd w:id="281"/>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82" w:name="_Toc3776846"/>
      <w:bookmarkStart w:id="283" w:name="_Toc139270834"/>
      <w:bookmarkStart w:id="284" w:name="_Toc274301153"/>
      <w:bookmarkStart w:id="285" w:name="_Toc268269996"/>
      <w:r>
        <w:rPr>
          <w:rStyle w:val="CharSClsNo"/>
        </w:rPr>
        <w:t>2</w:t>
      </w:r>
      <w:r>
        <w:rPr>
          <w:snapToGrid w:val="0"/>
        </w:rPr>
        <w:t>.</w:t>
      </w:r>
      <w:r>
        <w:rPr>
          <w:snapToGrid w:val="0"/>
        </w:rPr>
        <w:tab/>
        <w:t>Minutes of meetings</w:t>
      </w:r>
      <w:bookmarkEnd w:id="282"/>
      <w:bookmarkEnd w:id="283"/>
      <w:bookmarkEnd w:id="284"/>
      <w:bookmarkEnd w:id="285"/>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86" w:name="_Toc3776847"/>
      <w:bookmarkStart w:id="287" w:name="_Toc139270835"/>
      <w:bookmarkStart w:id="288" w:name="_Toc274301154"/>
      <w:bookmarkStart w:id="289" w:name="_Toc268269997"/>
      <w:r>
        <w:rPr>
          <w:rStyle w:val="CharSClsNo"/>
        </w:rPr>
        <w:t>3</w:t>
      </w:r>
      <w:r>
        <w:rPr>
          <w:snapToGrid w:val="0"/>
        </w:rPr>
        <w:t>.</w:t>
      </w:r>
      <w:r>
        <w:rPr>
          <w:snapToGrid w:val="0"/>
        </w:rPr>
        <w:tab/>
        <w:t>Chairman to preside at meetings if present</w:t>
      </w:r>
      <w:bookmarkEnd w:id="286"/>
      <w:bookmarkEnd w:id="287"/>
      <w:bookmarkEnd w:id="288"/>
      <w:bookmarkEnd w:id="289"/>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90" w:name="_Toc139270836"/>
      <w:bookmarkStart w:id="291" w:name="_Toc139270886"/>
      <w:bookmarkStart w:id="292" w:name="_Toc139446512"/>
      <w:bookmarkStart w:id="293" w:name="_Toc158008870"/>
      <w:bookmarkStart w:id="294" w:name="_Toc196195153"/>
      <w:bookmarkStart w:id="295" w:name="_Toc202241338"/>
      <w:bookmarkStart w:id="296" w:name="_Toc241291108"/>
      <w:bookmarkStart w:id="297" w:name="_Toc257374483"/>
      <w:bookmarkStart w:id="298" w:name="_Toc257374536"/>
      <w:bookmarkStart w:id="299" w:name="_Toc257375254"/>
      <w:bookmarkStart w:id="300" w:name="_Toc260130373"/>
      <w:bookmarkStart w:id="301" w:name="_Toc260391301"/>
      <w:bookmarkStart w:id="302" w:name="_Toc261357820"/>
      <w:bookmarkStart w:id="303" w:name="_Toc268269998"/>
      <w:bookmarkStart w:id="304" w:name="_Toc274301155"/>
      <w:r>
        <w:rPr>
          <w:rStyle w:val="CharSchNo"/>
        </w:rPr>
        <w:t>Schedule 3</w:t>
      </w:r>
      <w:bookmarkEnd w:id="290"/>
      <w:bookmarkEnd w:id="291"/>
      <w:bookmarkEnd w:id="292"/>
      <w:bookmarkEnd w:id="293"/>
      <w:bookmarkEnd w:id="294"/>
      <w:bookmarkEnd w:id="295"/>
      <w:bookmarkEnd w:id="296"/>
      <w:bookmarkEnd w:id="297"/>
      <w:bookmarkEnd w:id="298"/>
      <w:bookmarkEnd w:id="299"/>
      <w:bookmarkEnd w:id="300"/>
      <w:bookmarkEnd w:id="301"/>
      <w:bookmarkEnd w:id="302"/>
      <w:r>
        <w:t> — </w:t>
      </w:r>
      <w:r>
        <w:rPr>
          <w:rStyle w:val="CharSchText"/>
        </w:rPr>
        <w:t>Provisions relating to the general manager</w:t>
      </w:r>
      <w:bookmarkEnd w:id="303"/>
      <w:bookmarkEnd w:id="304"/>
    </w:p>
    <w:p>
      <w:pPr>
        <w:pStyle w:val="yShoulderClause"/>
        <w:rPr>
          <w:snapToGrid w:val="0"/>
        </w:rPr>
      </w:pPr>
      <w:r>
        <w:rPr>
          <w:snapToGrid w:val="0"/>
        </w:rPr>
        <w:t>[s. 12(3)]</w:t>
      </w:r>
    </w:p>
    <w:p>
      <w:pPr>
        <w:pStyle w:val="yFootnoteheading"/>
        <w:rPr>
          <w:rStyle w:val="CharSClsNo"/>
        </w:rPr>
      </w:pPr>
      <w:bookmarkStart w:id="305" w:name="_Toc3776848"/>
      <w:bookmarkStart w:id="306" w:name="_Toc139270837"/>
      <w:r>
        <w:tab/>
        <w:t>[Heading amended by No. 19 of 2010 s. 4.]</w:t>
      </w:r>
    </w:p>
    <w:p>
      <w:pPr>
        <w:pStyle w:val="yHeading5"/>
        <w:ind w:left="890" w:hanging="890"/>
        <w:outlineLvl w:val="9"/>
        <w:rPr>
          <w:snapToGrid w:val="0"/>
        </w:rPr>
      </w:pPr>
      <w:bookmarkStart w:id="307" w:name="_Toc274301156"/>
      <w:bookmarkStart w:id="308" w:name="_Toc268269999"/>
      <w:r>
        <w:rPr>
          <w:rStyle w:val="CharSClsNo"/>
        </w:rPr>
        <w:t>1</w:t>
      </w:r>
      <w:r>
        <w:rPr>
          <w:snapToGrid w:val="0"/>
        </w:rPr>
        <w:t>.</w:t>
      </w:r>
      <w:r>
        <w:rPr>
          <w:snapToGrid w:val="0"/>
        </w:rPr>
        <w:tab/>
        <w:t>General manager to devote all his time to his duties</w:t>
      </w:r>
      <w:bookmarkEnd w:id="305"/>
      <w:bookmarkEnd w:id="306"/>
      <w:bookmarkEnd w:id="307"/>
      <w:bookmarkEnd w:id="308"/>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309" w:name="_Toc3776849"/>
      <w:bookmarkStart w:id="310" w:name="_Toc139270838"/>
      <w:bookmarkStart w:id="311" w:name="_Toc274301157"/>
      <w:bookmarkStart w:id="312" w:name="_Toc268270000"/>
      <w:r>
        <w:rPr>
          <w:rStyle w:val="CharSClsNo"/>
        </w:rPr>
        <w:t>2</w:t>
      </w:r>
      <w:r>
        <w:rPr>
          <w:snapToGrid w:val="0"/>
        </w:rPr>
        <w:t>.</w:t>
      </w:r>
      <w:r>
        <w:rPr>
          <w:snapToGrid w:val="0"/>
        </w:rPr>
        <w:tab/>
        <w:t>Attendance of general manager at meetings</w:t>
      </w:r>
      <w:bookmarkEnd w:id="309"/>
      <w:bookmarkEnd w:id="310"/>
      <w:bookmarkEnd w:id="311"/>
      <w:bookmarkEnd w:id="312"/>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313" w:name="_Toc3776850"/>
      <w:bookmarkStart w:id="314" w:name="_Toc139270839"/>
      <w:bookmarkStart w:id="315" w:name="_Toc274301158"/>
      <w:bookmarkStart w:id="316" w:name="_Toc268270001"/>
      <w:r>
        <w:rPr>
          <w:rStyle w:val="CharSClsNo"/>
        </w:rPr>
        <w:t>3</w:t>
      </w:r>
      <w:r>
        <w:rPr>
          <w:snapToGrid w:val="0"/>
        </w:rPr>
        <w:t>.</w:t>
      </w:r>
      <w:r>
        <w:rPr>
          <w:snapToGrid w:val="0"/>
        </w:rPr>
        <w:tab/>
        <w:t>Schedule 1 clause 7 to apply to general manager</w:t>
      </w:r>
      <w:bookmarkEnd w:id="313"/>
      <w:bookmarkEnd w:id="314"/>
      <w:bookmarkEnd w:id="315"/>
      <w:bookmarkEnd w:id="316"/>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17" w:name="_Toc96326738"/>
      <w:bookmarkStart w:id="318" w:name="_Toc96502960"/>
      <w:bookmarkStart w:id="319" w:name="_Toc103063057"/>
      <w:bookmarkStart w:id="320" w:name="_Toc139270840"/>
      <w:bookmarkStart w:id="321" w:name="_Toc139270890"/>
      <w:bookmarkStart w:id="322" w:name="_Toc139446516"/>
      <w:bookmarkStart w:id="323" w:name="_Toc158008874"/>
      <w:bookmarkStart w:id="324" w:name="_Toc196195158"/>
      <w:bookmarkStart w:id="325" w:name="_Toc202241343"/>
      <w:bookmarkStart w:id="326" w:name="_Toc241291113"/>
      <w:bookmarkStart w:id="327" w:name="_Toc257374488"/>
      <w:bookmarkStart w:id="328" w:name="_Toc257374541"/>
      <w:bookmarkStart w:id="329" w:name="_Toc257375259"/>
      <w:bookmarkStart w:id="330" w:name="_Toc260130378"/>
      <w:bookmarkStart w:id="331" w:name="_Toc260391306"/>
      <w:bookmarkStart w:id="332" w:name="_Toc261357825"/>
      <w:bookmarkStart w:id="333" w:name="_Toc268270002"/>
      <w:bookmarkStart w:id="334" w:name="_Toc274301159"/>
      <w:r>
        <w:t>Notes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5" w:name="_Toc274301160"/>
      <w:bookmarkStart w:id="336" w:name="_Toc268270003"/>
      <w:r>
        <w:rPr>
          <w:snapToGrid w:val="0"/>
        </w:rPr>
        <w:t>Compilation table</w:t>
      </w:r>
      <w:bookmarkEnd w:id="335"/>
      <w:bookmarkEnd w:id="336"/>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Western Australian Sports Centre Trust Act 1986</w:t>
            </w:r>
          </w:p>
        </w:tc>
        <w:tc>
          <w:tcPr>
            <w:tcW w:w="1139" w:type="dxa"/>
          </w:tcPr>
          <w:p>
            <w:pPr>
              <w:pStyle w:val="nTable"/>
              <w:spacing w:after="40"/>
              <w:rPr>
                <w:sz w:val="19"/>
              </w:rPr>
            </w:pPr>
            <w:r>
              <w:rPr>
                <w:sz w:val="19"/>
              </w:rPr>
              <w:t>101 of 1986</w:t>
            </w:r>
          </w:p>
        </w:tc>
        <w:tc>
          <w:tcPr>
            <w:tcW w:w="1136" w:type="dxa"/>
          </w:tcPr>
          <w:p>
            <w:pPr>
              <w:pStyle w:val="nTable"/>
              <w:spacing w:after="40"/>
              <w:rPr>
                <w:sz w:val="19"/>
              </w:rPr>
            </w:pPr>
            <w:r>
              <w:rPr>
                <w:sz w:val="19"/>
              </w:rPr>
              <w:t>12 Dec 1986</w:t>
            </w:r>
          </w:p>
        </w:tc>
        <w:tc>
          <w:tcPr>
            <w:tcW w:w="2600" w:type="dxa"/>
          </w:tcPr>
          <w:p>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00"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Western Australian Sports Centre Trust Amendment Act 1997</w:t>
            </w:r>
          </w:p>
        </w:tc>
        <w:tc>
          <w:tcPr>
            <w:tcW w:w="1139" w:type="dxa"/>
          </w:tcPr>
          <w:p>
            <w:pPr>
              <w:pStyle w:val="nTable"/>
              <w:spacing w:after="40"/>
              <w:rPr>
                <w:sz w:val="19"/>
              </w:rPr>
            </w:pPr>
            <w:r>
              <w:rPr>
                <w:sz w:val="19"/>
              </w:rPr>
              <w:t>4 of 1997</w:t>
            </w:r>
          </w:p>
        </w:tc>
        <w:tc>
          <w:tcPr>
            <w:tcW w:w="1136" w:type="dxa"/>
          </w:tcPr>
          <w:p>
            <w:pPr>
              <w:pStyle w:val="nTable"/>
              <w:spacing w:after="40"/>
              <w:rPr>
                <w:sz w:val="19"/>
              </w:rPr>
            </w:pPr>
            <w:r>
              <w:rPr>
                <w:sz w:val="19"/>
              </w:rPr>
              <w:t>10 Jun 1997</w:t>
            </w:r>
          </w:p>
        </w:tc>
        <w:tc>
          <w:tcPr>
            <w:tcW w:w="2600" w:type="dxa"/>
          </w:tcPr>
          <w:p>
            <w:pPr>
              <w:pStyle w:val="nTable"/>
              <w:spacing w:after="40"/>
              <w:rPr>
                <w:sz w:val="19"/>
              </w:rPr>
            </w:pPr>
            <w:r>
              <w:rPr>
                <w:sz w:val="19"/>
              </w:rPr>
              <w:t>10 Jun 1997 (see s. 2)</w:t>
            </w:r>
          </w:p>
        </w:tc>
      </w:tr>
      <w:tr>
        <w:trPr>
          <w:cantSplit/>
        </w:trPr>
        <w:tc>
          <w:tcPr>
            <w:tcW w:w="2278" w:type="dxa"/>
          </w:tcPr>
          <w:p>
            <w:pPr>
              <w:pStyle w:val="nTable"/>
              <w:spacing w:after="40"/>
              <w:ind w:right="113"/>
              <w:rPr>
                <w:sz w:val="19"/>
              </w:rPr>
            </w:pPr>
            <w:r>
              <w:rPr>
                <w:i/>
                <w:sz w:val="19"/>
              </w:rPr>
              <w:t xml:space="preserve">Acts Amendment (Land Administration) Act 1997 </w:t>
            </w:r>
            <w:r>
              <w:rPr>
                <w:sz w:val="19"/>
              </w:rPr>
              <w:t>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0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Equal Opportunity Amendment Act (No. 3) 1997 </w:t>
            </w:r>
            <w:r>
              <w:rPr>
                <w:sz w:val="19"/>
              </w:rPr>
              <w:t>s. 8</w:t>
            </w:r>
          </w:p>
        </w:tc>
        <w:tc>
          <w:tcPr>
            <w:tcW w:w="1139" w:type="dxa"/>
          </w:tcPr>
          <w:p>
            <w:pPr>
              <w:pStyle w:val="nTable"/>
              <w:spacing w:after="40"/>
              <w:rPr>
                <w:sz w:val="19"/>
              </w:rPr>
            </w:pPr>
            <w:r>
              <w:rPr>
                <w:sz w:val="19"/>
              </w:rPr>
              <w:t>42 of 1997</w:t>
            </w:r>
          </w:p>
        </w:tc>
        <w:tc>
          <w:tcPr>
            <w:tcW w:w="1136" w:type="dxa"/>
          </w:tcPr>
          <w:p>
            <w:pPr>
              <w:pStyle w:val="nTable"/>
              <w:spacing w:after="40"/>
              <w:rPr>
                <w:sz w:val="19"/>
              </w:rPr>
            </w:pPr>
            <w:r>
              <w:rPr>
                <w:sz w:val="19"/>
              </w:rPr>
              <w:t>9 Dec 1997</w:t>
            </w:r>
          </w:p>
        </w:tc>
        <w:tc>
          <w:tcPr>
            <w:tcW w:w="2600" w:type="dxa"/>
          </w:tcPr>
          <w:p>
            <w:pPr>
              <w:pStyle w:val="nTable"/>
              <w:spacing w:after="40"/>
              <w:rPr>
                <w:sz w:val="19"/>
              </w:rPr>
            </w:pPr>
            <w:r>
              <w:rPr>
                <w:sz w:val="19"/>
              </w:rPr>
              <w:t>6 Jan 1998 (see s. 2(1))</w:t>
            </w:r>
          </w:p>
        </w:tc>
      </w:tr>
      <w:tr>
        <w:trPr>
          <w:cantSplit/>
        </w:trPr>
        <w:tc>
          <w:tcPr>
            <w:tcW w:w="7153" w:type="dxa"/>
            <w:gridSpan w:val="4"/>
          </w:tcPr>
          <w:p>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78" w:type="dxa"/>
          </w:tcPr>
          <w:p>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00"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keepNext/>
              <w:spacing w:after="40"/>
              <w:rPr>
                <w:sz w:val="19"/>
              </w:rPr>
            </w:pPr>
            <w:r>
              <w:rPr>
                <w:sz w:val="19"/>
              </w:rPr>
              <w:t>21 Dec 2006</w:t>
            </w:r>
          </w:p>
        </w:tc>
        <w:tc>
          <w:tcPr>
            <w:tcW w:w="2600" w:type="dxa"/>
          </w:tcPr>
          <w:p>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41</w:t>
            </w:r>
          </w:p>
        </w:tc>
        <w:tc>
          <w:tcPr>
            <w:tcW w:w="1139" w:type="dxa"/>
          </w:tcPr>
          <w:p>
            <w:pPr>
              <w:pStyle w:val="nTable"/>
              <w:spacing w:after="40"/>
              <w:rPr>
                <w:sz w:val="19"/>
              </w:rPr>
            </w:pPr>
            <w:r>
              <w:rPr>
                <w:sz w:val="19"/>
              </w:rPr>
              <w:t>12 of 2008</w:t>
            </w:r>
          </w:p>
        </w:tc>
        <w:tc>
          <w:tcPr>
            <w:tcW w:w="1136" w:type="dxa"/>
          </w:tcPr>
          <w:p>
            <w:pPr>
              <w:pStyle w:val="nTable"/>
              <w:spacing w:after="40"/>
              <w:rPr>
                <w:sz w:val="19"/>
              </w:rPr>
            </w:pPr>
            <w:r>
              <w:rPr>
                <w:sz w:val="19"/>
              </w:rPr>
              <w:t>14 Apr 2008</w:t>
            </w:r>
          </w:p>
        </w:tc>
        <w:tc>
          <w:tcPr>
            <w:tcW w:w="2600" w:type="dxa"/>
          </w:tcPr>
          <w:p>
            <w:pPr>
              <w:pStyle w:val="nTable"/>
              <w:spacing w:after="40"/>
              <w:rPr>
                <w:sz w:val="19"/>
              </w:rPr>
            </w:pPr>
            <w:r>
              <w:rPr>
                <w:sz w:val="19"/>
              </w:rPr>
              <w:t>1 Jul 2008 (see s. 2(d))</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7153" w:type="dxa"/>
            <w:gridSpan w:val="4"/>
          </w:tcPr>
          <w:p>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337" w:name="_Hlt507390729"/>
      <w:bookmarkEnd w:id="33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8" w:name="_Toc511102521"/>
      <w:bookmarkStart w:id="339" w:name="_Toc139270842"/>
      <w:bookmarkStart w:id="340" w:name="_Toc274301161"/>
      <w:bookmarkStart w:id="341" w:name="_Toc268270004"/>
      <w:r>
        <w:t>Provisions that have not come into operation</w:t>
      </w:r>
      <w:bookmarkEnd w:id="338"/>
      <w:bookmarkEnd w:id="339"/>
      <w:bookmarkEnd w:id="340"/>
      <w:bookmarkEnd w:id="34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ins w:id="342" w:author="svcMRProcess" w:date="2015-11-12T22:40:00Z"/>
        </w:trPr>
        <w:tc>
          <w:tcPr>
            <w:tcW w:w="2268" w:type="dxa"/>
            <w:tcBorders>
              <w:bottom w:val="single" w:sz="4" w:space="0" w:color="auto"/>
            </w:tcBorders>
          </w:tcPr>
          <w:p>
            <w:pPr>
              <w:pStyle w:val="nTable"/>
              <w:spacing w:before="120"/>
              <w:ind w:right="113"/>
              <w:rPr>
                <w:ins w:id="343" w:author="svcMRProcess" w:date="2015-11-12T22:40:00Z"/>
                <w:i/>
                <w:snapToGrid w:val="0"/>
                <w:sz w:val="19"/>
              </w:rPr>
            </w:pPr>
            <w:ins w:id="344" w:author="svcMRProcess" w:date="2015-11-12T22:40: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5</w:t>
              </w:r>
            </w:ins>
          </w:p>
        </w:tc>
        <w:tc>
          <w:tcPr>
            <w:tcW w:w="1134" w:type="dxa"/>
            <w:tcBorders>
              <w:bottom w:val="single" w:sz="4" w:space="0" w:color="auto"/>
            </w:tcBorders>
          </w:tcPr>
          <w:p>
            <w:pPr>
              <w:pStyle w:val="nTable"/>
              <w:keepNext/>
              <w:spacing w:before="120"/>
              <w:rPr>
                <w:ins w:id="345" w:author="svcMRProcess" w:date="2015-11-12T22:40:00Z"/>
                <w:sz w:val="19"/>
              </w:rPr>
            </w:pPr>
            <w:ins w:id="346" w:author="svcMRProcess" w:date="2015-11-12T22:40:00Z">
              <w:r>
                <w:rPr>
                  <w:snapToGrid w:val="0"/>
                  <w:sz w:val="19"/>
                  <w:lang w:val="en-US"/>
                </w:rPr>
                <w:t>39 of 2010</w:t>
              </w:r>
            </w:ins>
          </w:p>
        </w:tc>
        <w:tc>
          <w:tcPr>
            <w:tcW w:w="1134" w:type="dxa"/>
            <w:tcBorders>
              <w:bottom w:val="single" w:sz="4" w:space="0" w:color="auto"/>
            </w:tcBorders>
          </w:tcPr>
          <w:p>
            <w:pPr>
              <w:pStyle w:val="nTable"/>
              <w:keepNext/>
              <w:spacing w:before="120"/>
              <w:rPr>
                <w:ins w:id="347" w:author="svcMRProcess" w:date="2015-11-12T22:40:00Z"/>
                <w:sz w:val="19"/>
              </w:rPr>
            </w:pPr>
            <w:ins w:id="348" w:author="svcMRProcess" w:date="2015-11-12T22:40:00Z">
              <w:r>
                <w:rPr>
                  <w:snapToGrid w:val="0"/>
                  <w:sz w:val="19"/>
                  <w:lang w:val="en-US"/>
                </w:rPr>
                <w:t>1 Oct 2010</w:t>
              </w:r>
            </w:ins>
          </w:p>
        </w:tc>
        <w:tc>
          <w:tcPr>
            <w:tcW w:w="2552" w:type="dxa"/>
            <w:tcBorders>
              <w:bottom w:val="single" w:sz="4" w:space="0" w:color="auto"/>
            </w:tcBorders>
          </w:tcPr>
          <w:p>
            <w:pPr>
              <w:pStyle w:val="nTable"/>
              <w:keepNext/>
              <w:spacing w:before="120"/>
              <w:rPr>
                <w:ins w:id="349" w:author="svcMRProcess" w:date="2015-11-12T22:40:00Z"/>
                <w:sz w:val="19"/>
              </w:rPr>
            </w:pPr>
            <w:ins w:id="350" w:author="svcMRProcess" w:date="2015-11-12T22:40:00Z">
              <w:r>
                <w:rPr>
                  <w:snapToGrid w:val="0"/>
                  <w:sz w:val="19"/>
                  <w:lang w:val="en-US"/>
                </w:rPr>
                <w:t>To be proclaimed (see s. 2(b))</w:t>
              </w:r>
            </w:ins>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rPr>
          <w:ins w:id="351" w:author="svcMRProcess" w:date="2015-11-12T22:40:00Z"/>
          <w:snapToGrid w:val="0"/>
        </w:rPr>
      </w:pPr>
      <w:bookmarkStart w:id="352" w:name="AutoSch"/>
      <w:bookmarkEnd w:id="352"/>
      <w:ins w:id="353" w:author="svcMRProcess" w:date="2015-11-12T22:40: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54" w:author="svcMRProcess" w:date="2015-11-12T22:40:00Z"/>
        </w:rPr>
      </w:pPr>
    </w:p>
    <w:p>
      <w:pPr>
        <w:pStyle w:val="nzHeading5"/>
        <w:spacing w:before="240"/>
        <w:rPr>
          <w:ins w:id="355" w:author="svcMRProcess" w:date="2015-11-12T22:40:00Z"/>
        </w:rPr>
      </w:pPr>
      <w:bookmarkStart w:id="356" w:name="_Toc273538032"/>
      <w:bookmarkStart w:id="357" w:name="_Toc273964959"/>
      <w:bookmarkStart w:id="358" w:name="_Toc273971506"/>
      <w:ins w:id="359" w:author="svcMRProcess" w:date="2015-11-12T22:40:00Z">
        <w:r>
          <w:rPr>
            <w:rStyle w:val="CharSectno"/>
          </w:rPr>
          <w:t>89</w:t>
        </w:r>
        <w:r>
          <w:t>.</w:t>
        </w:r>
        <w:r>
          <w:tab/>
          <w:t>Various references to “Minister for Public Sector Management” amended</w:t>
        </w:r>
        <w:bookmarkEnd w:id="356"/>
        <w:bookmarkEnd w:id="357"/>
        <w:bookmarkEnd w:id="358"/>
      </w:ins>
    </w:p>
    <w:p>
      <w:pPr>
        <w:pStyle w:val="nzSubsection"/>
        <w:rPr>
          <w:ins w:id="360" w:author="svcMRProcess" w:date="2015-11-12T22:40:00Z"/>
        </w:rPr>
      </w:pPr>
      <w:ins w:id="361" w:author="svcMRProcess" w:date="2015-11-12T22:40:00Z">
        <w:r>
          <w:tab/>
          <w:t>(1)</w:t>
        </w:r>
        <w:r>
          <w:tab/>
          <w:t>This section amends the Acts listed in the Table.</w:t>
        </w:r>
      </w:ins>
    </w:p>
    <w:p>
      <w:pPr>
        <w:pStyle w:val="nzSubsection"/>
        <w:rPr>
          <w:ins w:id="362" w:author="svcMRProcess" w:date="2015-11-12T22:40:00Z"/>
        </w:rPr>
      </w:pPr>
      <w:ins w:id="363" w:author="svcMRProcess" w:date="2015-11-12T22:40:00Z">
        <w:r>
          <w:tab/>
          <w:t>(2)</w:t>
        </w:r>
        <w:r>
          <w:tab/>
          <w:t>In the provisions listed in the Table delete “Minister for Public Sector Management” and insert:</w:t>
        </w:r>
      </w:ins>
    </w:p>
    <w:p>
      <w:pPr>
        <w:pStyle w:val="BlankOpen"/>
        <w:rPr>
          <w:ins w:id="364" w:author="svcMRProcess" w:date="2015-11-12T22:40:00Z"/>
        </w:rPr>
      </w:pPr>
    </w:p>
    <w:p>
      <w:pPr>
        <w:pStyle w:val="nzSubsection"/>
        <w:rPr>
          <w:ins w:id="365" w:author="svcMRProcess" w:date="2015-11-12T22:40:00Z"/>
        </w:rPr>
      </w:pPr>
      <w:ins w:id="366" w:author="svcMRProcess" w:date="2015-11-12T22:40:00Z">
        <w:r>
          <w:tab/>
        </w:r>
        <w:r>
          <w:tab/>
          <w:t>Public Sector Commissioner</w:t>
        </w:r>
      </w:ins>
    </w:p>
    <w:p>
      <w:pPr>
        <w:pStyle w:val="BlankClose"/>
        <w:rPr>
          <w:ins w:id="367" w:author="svcMRProcess" w:date="2015-11-12T22:40:00Z"/>
        </w:rPr>
      </w:pPr>
    </w:p>
    <w:p>
      <w:pPr>
        <w:pStyle w:val="nzMiscellaneousHeading"/>
        <w:rPr>
          <w:ins w:id="368" w:author="svcMRProcess" w:date="2015-11-12T22:40:00Z"/>
          <w:b/>
          <w:bCs/>
        </w:rPr>
      </w:pPr>
      <w:ins w:id="369" w:author="svcMRProcess" w:date="2015-11-12T22:40:00Z">
        <w:r>
          <w:rPr>
            <w:b/>
            <w:bCs/>
          </w:rPr>
          <w:t>Table</w:t>
        </w:r>
      </w:ins>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ins w:id="370" w:author="svcMRProcess" w:date="2015-11-12T22:40:00Z"/>
        </w:trPr>
        <w:tc>
          <w:tcPr>
            <w:tcW w:w="3287" w:type="dxa"/>
          </w:tcPr>
          <w:p>
            <w:pPr>
              <w:pStyle w:val="nzTable"/>
              <w:rPr>
                <w:ins w:id="371" w:author="svcMRProcess" w:date="2015-11-12T22:40:00Z"/>
                <w:i/>
                <w:iCs/>
              </w:rPr>
            </w:pPr>
            <w:ins w:id="372" w:author="svcMRProcess" w:date="2015-11-12T22:40:00Z">
              <w:r>
                <w:rPr>
                  <w:i/>
                  <w:iCs/>
                </w:rPr>
                <w:t>Western Australian Sports Centre Trust Act 1986</w:t>
              </w:r>
            </w:ins>
          </w:p>
        </w:tc>
        <w:tc>
          <w:tcPr>
            <w:tcW w:w="2944" w:type="dxa"/>
          </w:tcPr>
          <w:p>
            <w:pPr>
              <w:pStyle w:val="nzTable"/>
              <w:rPr>
                <w:ins w:id="373" w:author="svcMRProcess" w:date="2015-11-12T22:40:00Z"/>
              </w:rPr>
            </w:pPr>
            <w:ins w:id="374" w:author="svcMRProcess" w:date="2015-11-12T22:40:00Z">
              <w:r>
                <w:t>s. 7, 11(2)</w:t>
              </w:r>
            </w:ins>
          </w:p>
        </w:tc>
      </w:tr>
    </w:tbl>
    <w:p>
      <w:pPr>
        <w:pStyle w:val="BlankClose"/>
        <w:rPr>
          <w:ins w:id="375" w:author="svcMRProcess" w:date="2015-11-12T22:40:00Z"/>
        </w:rPr>
      </w:pPr>
    </w:p>
    <w:p>
      <w:bookmarkStart w:id="376" w:name="UpToHere"/>
      <w:bookmarkEnd w:id="376"/>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7006</Words>
  <Characters>32862</Characters>
  <Application>Microsoft Office Word</Application>
  <DocSecurity>0</DocSecurity>
  <Lines>912</Lines>
  <Paragraphs>498</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39370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02-c0-02 - 02-d0-01</dc:title>
  <dc:subject/>
  <dc:creator/>
  <cp:keywords/>
  <dc:description/>
  <cp:lastModifiedBy>svcMRProcess</cp:lastModifiedBy>
  <cp:revision>2</cp:revision>
  <cp:lastPrinted>2010-04-30T05:28:00Z</cp:lastPrinted>
  <dcterms:created xsi:type="dcterms:W3CDTF">2015-11-12T14:40:00Z</dcterms:created>
  <dcterms:modified xsi:type="dcterms:W3CDTF">2015-11-12T14:40:00Z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11 Sep 2010</vt:lpwstr>
  </property>
  <property fmtid="{D5CDD505-2E9C-101B-9397-08002B2CF9AE}" pid="9" name="ToSuffix">
    <vt:lpwstr>02-d0-01</vt:lpwstr>
  </property>
  <property fmtid="{D5CDD505-2E9C-101B-9397-08002B2CF9AE}" pid="10" name="ToAsAtDate">
    <vt:lpwstr>01 Oct 2010</vt:lpwstr>
  </property>
</Properties>
</file>