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bookmarkStart w:id="20" w:name="_Toc241285397"/>
      <w:bookmarkStart w:id="21" w:name="_Toc241462400"/>
      <w:bookmarkStart w:id="22" w:name="_Toc243803987"/>
      <w:bookmarkStart w:id="23" w:name="_Toc244570518"/>
      <w:bookmarkStart w:id="24" w:name="_Toc244571879"/>
      <w:bookmarkStart w:id="25" w:name="_Toc244573033"/>
      <w:bookmarkStart w:id="26" w:name="_Toc244999395"/>
      <w:bookmarkStart w:id="27" w:name="_Toc246914075"/>
      <w:bookmarkStart w:id="28" w:name="_Toc271194717"/>
      <w:bookmarkStart w:id="29" w:name="_Toc274311329"/>
      <w:bookmarkStart w:id="30" w:name="_Toc2752550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21612310"/>
      <w:bookmarkStart w:id="32" w:name="_Toc37750188"/>
      <w:bookmarkStart w:id="33" w:name="_Toc275255064"/>
      <w:r>
        <w:rPr>
          <w:rStyle w:val="CharSectno"/>
        </w:rPr>
        <w:t>1</w:t>
      </w:r>
      <w:r>
        <w:rPr>
          <w:snapToGrid w:val="0"/>
        </w:rPr>
        <w:t>.</w:t>
      </w:r>
      <w:r>
        <w:rPr>
          <w:snapToGrid w:val="0"/>
        </w:rPr>
        <w:tab/>
        <w:t>Short title</w:t>
      </w:r>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34" w:name="_Toc421612311"/>
      <w:bookmarkStart w:id="35" w:name="_Toc37750189"/>
      <w:bookmarkStart w:id="36" w:name="_Toc275255065"/>
      <w:r>
        <w:rPr>
          <w:rStyle w:val="CharSectno"/>
        </w:rPr>
        <w:t>2</w:t>
      </w:r>
      <w:r>
        <w:rPr>
          <w:snapToGrid w:val="0"/>
        </w:rPr>
        <w:t>.</w:t>
      </w:r>
      <w:r>
        <w:rPr>
          <w:snapToGrid w:val="0"/>
        </w:rPr>
        <w:tab/>
        <w:t>Commencement</w:t>
      </w:r>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37" w:name="_Toc421612312"/>
      <w:bookmarkStart w:id="38" w:name="_Toc37750190"/>
      <w:bookmarkStart w:id="39" w:name="_Toc275255066"/>
      <w:r>
        <w:rPr>
          <w:rStyle w:val="CharSectno"/>
        </w:rPr>
        <w:t>4</w:t>
      </w:r>
      <w:r>
        <w:rPr>
          <w:snapToGrid w:val="0"/>
        </w:rPr>
        <w:t>.</w:t>
      </w:r>
      <w:r>
        <w:rPr>
          <w:snapToGrid w:val="0"/>
        </w:rPr>
        <w:tab/>
      </w:r>
      <w:bookmarkEnd w:id="37"/>
      <w:bookmarkEnd w:id="38"/>
      <w:r>
        <w:rPr>
          <w:snapToGrid w:val="0"/>
        </w:rPr>
        <w:t>Terms used</w:t>
      </w:r>
      <w:bookmarkEnd w:id="39"/>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Defstart"/>
      </w:pPr>
      <w:r>
        <w:rPr>
          <w:b/>
        </w:rPr>
        <w:tab/>
      </w:r>
      <w:r>
        <w:rPr>
          <w:rStyle w:val="CharDefText"/>
        </w:rPr>
        <w:t>seller</w:t>
      </w:r>
      <w:r>
        <w:t xml:space="preserve"> includes any person acting or representing himself to be acting for a seller; and</w:t>
      </w:r>
    </w:p>
    <w:p>
      <w:pPr>
        <w:pStyle w:val="Defstart"/>
      </w:pPr>
      <w:r>
        <w:rPr>
          <w:b/>
        </w:rPr>
        <w:tab/>
      </w:r>
      <w:r>
        <w:rPr>
          <w:rStyle w:val="CharDefText"/>
        </w:rPr>
        <w:t>the repealed Acts</w:t>
      </w:r>
      <w:r>
        <w:t xml:space="preserve"> means the Acts repealed by this Act pursuant to section 5.</w:t>
      </w:r>
    </w:p>
    <w:p>
      <w:pPr>
        <w:pStyle w:val="Footnotesection"/>
      </w:pPr>
      <w:r>
        <w:tab/>
        <w:t>[Section 4 amended by No. 63 of 1981 s. 4; No. 28 of 1984 s. 96 and 97; No. 21 of 2006 Sch. 3 cl. 5(2)</w:t>
      </w:r>
      <w:r>
        <w:noBreakHyphen/>
        <w:t>(4).]</w:t>
      </w:r>
    </w:p>
    <w:p>
      <w:pPr>
        <w:pStyle w:val="Ednotesection"/>
      </w:pPr>
      <w:bookmarkStart w:id="40" w:name="_Toc421612314"/>
      <w:bookmarkStart w:id="41" w:name="_Toc37750192"/>
      <w:r>
        <w:t>[</w:t>
      </w:r>
      <w:r>
        <w:rPr>
          <w:b/>
          <w:bCs/>
        </w:rPr>
        <w:t>5.</w:t>
      </w:r>
      <w:r>
        <w:tab/>
        <w:t>Deleted by No. 21 of 2006 Sch. 3 cl. 5(5).]</w:t>
      </w:r>
    </w:p>
    <w:p>
      <w:pPr>
        <w:pStyle w:val="Heading5"/>
        <w:spacing w:before="200"/>
        <w:rPr>
          <w:snapToGrid w:val="0"/>
        </w:rPr>
      </w:pPr>
      <w:bookmarkStart w:id="42" w:name="_Toc275255067"/>
      <w:r>
        <w:rPr>
          <w:rStyle w:val="CharSectno"/>
        </w:rPr>
        <w:t>6</w:t>
      </w:r>
      <w:r>
        <w:rPr>
          <w:snapToGrid w:val="0"/>
        </w:rPr>
        <w:t>.</w:t>
      </w:r>
      <w:r>
        <w:rPr>
          <w:snapToGrid w:val="0"/>
        </w:rPr>
        <w:tab/>
        <w:t>Application of this Act, and exemptions</w:t>
      </w:r>
      <w:bookmarkEnd w:id="40"/>
      <w:bookmarkEnd w:id="41"/>
      <w:bookmarkEnd w:id="42"/>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43" w:name="_Toc421612315"/>
      <w:bookmarkStart w:id="44" w:name="_Toc37750193"/>
      <w:bookmarkStart w:id="45" w:name="_Toc275255068"/>
      <w:r>
        <w:rPr>
          <w:rStyle w:val="CharSectno"/>
        </w:rPr>
        <w:t>7</w:t>
      </w:r>
      <w:r>
        <w:rPr>
          <w:snapToGrid w:val="0"/>
        </w:rPr>
        <w:t>.</w:t>
      </w:r>
      <w:r>
        <w:rPr>
          <w:snapToGrid w:val="0"/>
        </w:rPr>
        <w:tab/>
        <w:t>Crown bound</w:t>
      </w:r>
      <w:bookmarkEnd w:id="43"/>
      <w:bookmarkEnd w:id="44"/>
      <w:bookmarkEnd w:id="45"/>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46" w:name="_Toc421612316"/>
      <w:bookmarkStart w:id="47" w:name="_Toc37750194"/>
      <w:bookmarkStart w:id="48" w:name="_Toc275255069"/>
      <w:r>
        <w:rPr>
          <w:rStyle w:val="CharSectno"/>
        </w:rPr>
        <w:t>8</w:t>
      </w:r>
      <w:r>
        <w:rPr>
          <w:snapToGrid w:val="0"/>
        </w:rPr>
        <w:t>.</w:t>
      </w:r>
      <w:r>
        <w:rPr>
          <w:snapToGrid w:val="0"/>
        </w:rPr>
        <w:tab/>
        <w:t>Prohibition</w:t>
      </w:r>
      <w:bookmarkEnd w:id="46"/>
      <w:bookmarkEnd w:id="47"/>
      <w:bookmarkEnd w:id="48"/>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49" w:name="_Toc421612317"/>
      <w:bookmarkStart w:id="50" w:name="_Toc37750195"/>
      <w:bookmarkStart w:id="51" w:name="_Toc275255070"/>
      <w:r>
        <w:rPr>
          <w:rStyle w:val="CharSectno"/>
        </w:rPr>
        <w:t>9</w:t>
      </w:r>
      <w:r>
        <w:rPr>
          <w:snapToGrid w:val="0"/>
        </w:rPr>
        <w:t>.</w:t>
      </w:r>
      <w:r>
        <w:rPr>
          <w:snapToGrid w:val="0"/>
        </w:rPr>
        <w:tab/>
        <w:t>Civil remedies</w:t>
      </w:r>
      <w:bookmarkEnd w:id="49"/>
      <w:bookmarkEnd w:id="50"/>
      <w:bookmarkEnd w:id="51"/>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52" w:name="_Toc89506024"/>
      <w:bookmarkStart w:id="53" w:name="_Toc89585320"/>
      <w:bookmarkStart w:id="54" w:name="_Toc92700003"/>
      <w:bookmarkStart w:id="55" w:name="_Toc96924375"/>
      <w:bookmarkStart w:id="56" w:name="_Toc102535159"/>
      <w:bookmarkStart w:id="57" w:name="_Toc102726315"/>
      <w:bookmarkStart w:id="58" w:name="_Toc102726382"/>
      <w:bookmarkStart w:id="59" w:name="_Toc112555237"/>
      <w:bookmarkStart w:id="60" w:name="_Toc112556584"/>
      <w:bookmarkStart w:id="61" w:name="_Toc115076921"/>
      <w:bookmarkStart w:id="62" w:name="_Toc118524933"/>
      <w:bookmarkStart w:id="63" w:name="_Toc118525314"/>
      <w:bookmarkStart w:id="64" w:name="_Toc120001935"/>
      <w:bookmarkStart w:id="65" w:name="_Toc137975585"/>
      <w:bookmarkStart w:id="66" w:name="_Toc148238567"/>
      <w:bookmarkStart w:id="67" w:name="_Toc170789567"/>
      <w:bookmarkStart w:id="68" w:name="_Toc170789763"/>
      <w:bookmarkStart w:id="69" w:name="_Toc177878682"/>
      <w:bookmarkStart w:id="70" w:name="_Toc196803488"/>
      <w:bookmarkStart w:id="71" w:name="_Toc241285405"/>
      <w:bookmarkStart w:id="72" w:name="_Toc241462408"/>
      <w:bookmarkStart w:id="73" w:name="_Toc243803995"/>
      <w:bookmarkStart w:id="74" w:name="_Toc244570526"/>
      <w:bookmarkStart w:id="75" w:name="_Toc244571887"/>
      <w:bookmarkStart w:id="76" w:name="_Toc244573041"/>
      <w:bookmarkStart w:id="77" w:name="_Toc244999403"/>
      <w:bookmarkStart w:id="78" w:name="_Toc246914083"/>
      <w:bookmarkStart w:id="79" w:name="_Toc271194725"/>
      <w:bookmarkStart w:id="80" w:name="_Toc274311337"/>
      <w:bookmarkStart w:id="81" w:name="_Toc275255071"/>
      <w:r>
        <w:rPr>
          <w:rStyle w:val="CharPartNo"/>
        </w:rPr>
        <w:t>Part II</w:t>
      </w:r>
      <w:r>
        <w:rPr>
          <w:rStyle w:val="CharDivNo"/>
        </w:rPr>
        <w:t> </w:t>
      </w:r>
      <w:r>
        <w:t>—</w:t>
      </w:r>
      <w:r>
        <w:rPr>
          <w:rStyle w:val="CharDivText"/>
        </w:rPr>
        <w:t> </w:t>
      </w:r>
      <w:r>
        <w:rPr>
          <w:rStyle w:val="CharPartText"/>
        </w:rPr>
        <w:t>Administrative provisions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421612318"/>
      <w:bookmarkStart w:id="83" w:name="_Toc37750196"/>
      <w:bookmarkStart w:id="84" w:name="_Toc275255072"/>
      <w:r>
        <w:rPr>
          <w:rStyle w:val="CharSectno"/>
        </w:rPr>
        <w:t>10</w:t>
      </w:r>
      <w:r>
        <w:rPr>
          <w:snapToGrid w:val="0"/>
        </w:rPr>
        <w:t>.</w:t>
      </w:r>
      <w:r>
        <w:rPr>
          <w:snapToGrid w:val="0"/>
        </w:rPr>
        <w:tab/>
        <w:t>Duty of Minister and administrative arrangements</w:t>
      </w:r>
      <w:bookmarkEnd w:id="82"/>
      <w:bookmarkEnd w:id="83"/>
      <w:bookmarkEnd w:id="84"/>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85" w:name="_Toc421612319"/>
      <w:bookmarkStart w:id="86" w:name="_Toc37750197"/>
      <w:bookmarkStart w:id="87" w:name="_Toc275255073"/>
      <w:r>
        <w:rPr>
          <w:rStyle w:val="CharSectno"/>
        </w:rPr>
        <w:t>11</w:t>
      </w:r>
      <w:r>
        <w:rPr>
          <w:snapToGrid w:val="0"/>
        </w:rPr>
        <w:t>.</w:t>
      </w:r>
      <w:r>
        <w:rPr>
          <w:snapToGrid w:val="0"/>
        </w:rPr>
        <w:tab/>
        <w:t>Further functions of the Council</w:t>
      </w:r>
      <w:bookmarkEnd w:id="85"/>
      <w:bookmarkEnd w:id="86"/>
      <w:bookmarkEnd w:id="87"/>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88" w:name="_Toc421612320"/>
      <w:bookmarkStart w:id="89" w:name="_Toc37750198"/>
      <w:bookmarkStart w:id="90" w:name="_Toc275255074"/>
      <w:r>
        <w:rPr>
          <w:rStyle w:val="CharSectno"/>
        </w:rPr>
        <w:t>12</w:t>
      </w:r>
      <w:r>
        <w:rPr>
          <w:snapToGrid w:val="0"/>
        </w:rPr>
        <w:t>.</w:t>
      </w:r>
      <w:r>
        <w:rPr>
          <w:snapToGrid w:val="0"/>
        </w:rPr>
        <w:tab/>
      </w:r>
      <w:bookmarkEnd w:id="88"/>
      <w:bookmarkEnd w:id="89"/>
      <w:r>
        <w:rPr>
          <w:snapToGrid w:val="0"/>
        </w:rPr>
        <w:t>Reviews</w:t>
      </w:r>
      <w:bookmarkEnd w:id="90"/>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91" w:name="_Toc421612321"/>
      <w:bookmarkStart w:id="92" w:name="_Toc37750199"/>
      <w:r>
        <w:tab/>
        <w:t>[(2)</w:t>
      </w:r>
      <w:r>
        <w:tab/>
        <w:t>deleted]</w:t>
      </w:r>
    </w:p>
    <w:p>
      <w:pPr>
        <w:pStyle w:val="Footnotesection"/>
      </w:pPr>
      <w:r>
        <w:tab/>
        <w:t>[Section 12 amended by No. 55 of 2004 s. 994.]</w:t>
      </w:r>
    </w:p>
    <w:p>
      <w:pPr>
        <w:pStyle w:val="Heading5"/>
        <w:rPr>
          <w:snapToGrid w:val="0"/>
        </w:rPr>
      </w:pPr>
      <w:bookmarkStart w:id="93" w:name="_Toc275255075"/>
      <w:r>
        <w:rPr>
          <w:rStyle w:val="CharSectno"/>
        </w:rPr>
        <w:t>13</w:t>
      </w:r>
      <w:r>
        <w:rPr>
          <w:snapToGrid w:val="0"/>
        </w:rPr>
        <w:t>.</w:t>
      </w:r>
      <w:r>
        <w:rPr>
          <w:snapToGrid w:val="0"/>
        </w:rPr>
        <w:tab/>
        <w:t>Radiological Council</w:t>
      </w:r>
      <w:bookmarkEnd w:id="91"/>
      <w:bookmarkEnd w:id="92"/>
      <w:bookmarkEnd w:id="93"/>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w:t>
      </w:r>
    </w:p>
    <w:p>
      <w:pPr>
        <w:pStyle w:val="Heading5"/>
        <w:rPr>
          <w:snapToGrid w:val="0"/>
        </w:rPr>
      </w:pPr>
      <w:bookmarkStart w:id="94" w:name="_Toc421612322"/>
      <w:bookmarkStart w:id="95" w:name="_Toc37750200"/>
      <w:bookmarkStart w:id="96" w:name="_Toc275255076"/>
      <w:r>
        <w:rPr>
          <w:rStyle w:val="CharSectno"/>
        </w:rPr>
        <w:t>14</w:t>
      </w:r>
      <w:r>
        <w:rPr>
          <w:snapToGrid w:val="0"/>
        </w:rPr>
        <w:t>.</w:t>
      </w:r>
      <w:r>
        <w:rPr>
          <w:snapToGrid w:val="0"/>
        </w:rPr>
        <w:tab/>
        <w:t>Tenure of office</w:t>
      </w:r>
      <w:bookmarkEnd w:id="94"/>
      <w:bookmarkEnd w:id="95"/>
      <w:bookmarkEnd w:id="96"/>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97" w:name="_Toc421612323"/>
      <w:bookmarkStart w:id="98" w:name="_Toc37750201"/>
      <w:bookmarkStart w:id="99" w:name="_Toc275255077"/>
      <w:r>
        <w:rPr>
          <w:rStyle w:val="CharSectno"/>
        </w:rPr>
        <w:t>15</w:t>
      </w:r>
      <w:r>
        <w:rPr>
          <w:snapToGrid w:val="0"/>
        </w:rPr>
        <w:t>.</w:t>
      </w:r>
      <w:r>
        <w:rPr>
          <w:snapToGrid w:val="0"/>
        </w:rPr>
        <w:tab/>
        <w:t>Deputies and casual vacancies</w:t>
      </w:r>
      <w:bookmarkEnd w:id="97"/>
      <w:bookmarkEnd w:id="98"/>
      <w:bookmarkEnd w:id="99"/>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100" w:name="_Toc421612324"/>
      <w:bookmarkStart w:id="101" w:name="_Toc37750202"/>
      <w:bookmarkStart w:id="102" w:name="_Toc275255078"/>
      <w:r>
        <w:rPr>
          <w:rStyle w:val="CharSectno"/>
        </w:rPr>
        <w:t>16</w:t>
      </w:r>
      <w:r>
        <w:rPr>
          <w:snapToGrid w:val="0"/>
        </w:rPr>
        <w:t>.</w:t>
      </w:r>
      <w:r>
        <w:rPr>
          <w:snapToGrid w:val="0"/>
        </w:rPr>
        <w:tab/>
        <w:t>Proceedings</w:t>
      </w:r>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103" w:name="_Toc421612325"/>
      <w:bookmarkStart w:id="104" w:name="_Toc37750203"/>
      <w:bookmarkStart w:id="105" w:name="_Toc275255079"/>
      <w:r>
        <w:rPr>
          <w:rStyle w:val="CharSectno"/>
        </w:rPr>
        <w:t>17</w:t>
      </w:r>
      <w:r>
        <w:rPr>
          <w:snapToGrid w:val="0"/>
        </w:rPr>
        <w:t>.</w:t>
      </w:r>
      <w:r>
        <w:rPr>
          <w:snapToGrid w:val="0"/>
        </w:rPr>
        <w:tab/>
        <w:t>Co</w:t>
      </w:r>
      <w:r>
        <w:rPr>
          <w:snapToGrid w:val="0"/>
        </w:rPr>
        <w:noBreakHyphen/>
        <w:t>option and consultants</w:t>
      </w:r>
      <w:bookmarkEnd w:id="103"/>
      <w:bookmarkEnd w:id="104"/>
      <w:bookmarkEnd w:id="105"/>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106" w:name="_Toc421612326"/>
      <w:bookmarkStart w:id="107" w:name="_Toc37750204"/>
      <w:bookmarkStart w:id="108" w:name="_Toc275255080"/>
      <w:r>
        <w:rPr>
          <w:rStyle w:val="CharSectno"/>
        </w:rPr>
        <w:t>18</w:t>
      </w:r>
      <w:r>
        <w:rPr>
          <w:snapToGrid w:val="0"/>
        </w:rPr>
        <w:t>.</w:t>
      </w:r>
      <w:r>
        <w:rPr>
          <w:snapToGrid w:val="0"/>
        </w:rPr>
        <w:tab/>
        <w:t>Delegation</w:t>
      </w:r>
      <w:bookmarkEnd w:id="106"/>
      <w:bookmarkEnd w:id="107"/>
      <w:bookmarkEnd w:id="108"/>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09" w:name="_Toc421612327"/>
      <w:bookmarkStart w:id="110" w:name="_Toc37750205"/>
      <w:bookmarkStart w:id="111" w:name="_Toc275255081"/>
      <w:r>
        <w:rPr>
          <w:rStyle w:val="CharSectno"/>
        </w:rPr>
        <w:t>19</w:t>
      </w:r>
      <w:r>
        <w:rPr>
          <w:snapToGrid w:val="0"/>
        </w:rPr>
        <w:t>.</w:t>
      </w:r>
      <w:r>
        <w:rPr>
          <w:snapToGrid w:val="0"/>
        </w:rPr>
        <w:tab/>
        <w:t>Committees</w:t>
      </w:r>
      <w:bookmarkEnd w:id="109"/>
      <w:bookmarkEnd w:id="110"/>
      <w:bookmarkEnd w:id="111"/>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12" w:name="_Toc421612328"/>
      <w:bookmarkStart w:id="113" w:name="_Toc37750206"/>
      <w:bookmarkStart w:id="114" w:name="_Toc275255082"/>
      <w:r>
        <w:rPr>
          <w:rStyle w:val="CharSectno"/>
        </w:rPr>
        <w:t>20</w:t>
      </w:r>
      <w:r>
        <w:rPr>
          <w:snapToGrid w:val="0"/>
        </w:rPr>
        <w:t>.</w:t>
      </w:r>
      <w:r>
        <w:rPr>
          <w:snapToGrid w:val="0"/>
        </w:rPr>
        <w:tab/>
        <w:t>Restriction on remuneration</w:t>
      </w:r>
      <w:bookmarkEnd w:id="112"/>
      <w:bookmarkEnd w:id="113"/>
      <w:bookmarkEnd w:id="114"/>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115" w:name="_Toc421612329"/>
      <w:bookmarkStart w:id="116" w:name="_Toc37750207"/>
      <w:bookmarkStart w:id="117" w:name="_Toc275255083"/>
      <w:r>
        <w:rPr>
          <w:rStyle w:val="CharSectno"/>
        </w:rPr>
        <w:t>21</w:t>
      </w:r>
      <w:r>
        <w:rPr>
          <w:snapToGrid w:val="0"/>
        </w:rPr>
        <w:t>.</w:t>
      </w:r>
      <w:r>
        <w:rPr>
          <w:snapToGrid w:val="0"/>
        </w:rPr>
        <w:tab/>
        <w:t>Transfer of property</w:t>
      </w:r>
      <w:bookmarkEnd w:id="115"/>
      <w:bookmarkEnd w:id="116"/>
      <w:bookmarkEnd w:id="117"/>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18" w:name="_Toc421612330"/>
      <w:bookmarkStart w:id="119" w:name="_Toc37750208"/>
      <w:bookmarkStart w:id="120" w:name="_Toc275255084"/>
      <w:r>
        <w:rPr>
          <w:rStyle w:val="CharSectno"/>
        </w:rPr>
        <w:t>22</w:t>
      </w:r>
      <w:r>
        <w:rPr>
          <w:snapToGrid w:val="0"/>
        </w:rPr>
        <w:t>.</w:t>
      </w:r>
      <w:r>
        <w:rPr>
          <w:snapToGrid w:val="0"/>
        </w:rPr>
        <w:tab/>
        <w:t>Annual report of Council etc.</w:t>
      </w:r>
      <w:bookmarkEnd w:id="118"/>
      <w:bookmarkEnd w:id="119"/>
      <w:bookmarkEnd w:id="120"/>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21" w:name="_Toc421612331"/>
      <w:bookmarkStart w:id="122" w:name="_Toc37750209"/>
      <w:bookmarkStart w:id="123" w:name="_Toc275255085"/>
      <w:r>
        <w:rPr>
          <w:rStyle w:val="CharSectno"/>
        </w:rPr>
        <w:t>23</w:t>
      </w:r>
      <w:r>
        <w:rPr>
          <w:snapToGrid w:val="0"/>
        </w:rPr>
        <w:t>.</w:t>
      </w:r>
      <w:r>
        <w:rPr>
          <w:snapToGrid w:val="0"/>
        </w:rPr>
        <w:tab/>
        <w:t>Disputes with governmental bodies</w:t>
      </w:r>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24" w:name="_Toc421612332"/>
      <w:bookmarkStart w:id="125" w:name="_Toc37750210"/>
      <w:bookmarkStart w:id="126" w:name="_Toc275255086"/>
      <w:r>
        <w:rPr>
          <w:rStyle w:val="CharSectno"/>
        </w:rPr>
        <w:t>24</w:t>
      </w:r>
      <w:r>
        <w:rPr>
          <w:snapToGrid w:val="0"/>
        </w:rPr>
        <w:t>.</w:t>
      </w:r>
      <w:r>
        <w:rPr>
          <w:snapToGrid w:val="0"/>
        </w:rPr>
        <w:tab/>
        <w:t>Actions, claims and demands</w:t>
      </w:r>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27" w:name="_Toc275255087"/>
      <w:r>
        <w:rPr>
          <w:rStyle w:val="CharSectno"/>
        </w:rPr>
        <w:t>24A</w:t>
      </w:r>
      <w:r>
        <w:t>.</w:t>
      </w:r>
      <w:r>
        <w:tab/>
        <w:t>Disclosure of information to the Medical Radiation Technologists Board of Western Australia</w:t>
      </w:r>
      <w:bookmarkEnd w:id="127"/>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w:t>
      </w:r>
    </w:p>
    <w:p>
      <w:pPr>
        <w:pStyle w:val="Heading2"/>
      </w:pPr>
      <w:bookmarkStart w:id="128" w:name="_Toc89506040"/>
      <w:bookmarkStart w:id="129" w:name="_Toc89585336"/>
      <w:bookmarkStart w:id="130" w:name="_Toc92700019"/>
      <w:bookmarkStart w:id="131" w:name="_Toc96924391"/>
      <w:bookmarkStart w:id="132" w:name="_Toc102535175"/>
      <w:bookmarkStart w:id="133" w:name="_Toc102726331"/>
      <w:bookmarkStart w:id="134" w:name="_Toc102726398"/>
      <w:bookmarkStart w:id="135" w:name="_Toc112555253"/>
      <w:bookmarkStart w:id="136" w:name="_Toc112556600"/>
      <w:bookmarkStart w:id="137" w:name="_Toc115076937"/>
      <w:bookmarkStart w:id="138" w:name="_Toc118524949"/>
      <w:bookmarkStart w:id="139" w:name="_Toc118525330"/>
      <w:bookmarkStart w:id="140" w:name="_Toc120001951"/>
      <w:bookmarkStart w:id="141" w:name="_Toc137975601"/>
      <w:bookmarkStart w:id="142" w:name="_Toc148238583"/>
      <w:bookmarkStart w:id="143" w:name="_Toc170789584"/>
      <w:bookmarkStart w:id="144" w:name="_Toc170789780"/>
      <w:bookmarkStart w:id="145" w:name="_Toc177878699"/>
      <w:bookmarkStart w:id="146" w:name="_Toc196803505"/>
      <w:bookmarkStart w:id="147" w:name="_Toc241285422"/>
      <w:bookmarkStart w:id="148" w:name="_Toc241462425"/>
      <w:bookmarkStart w:id="149" w:name="_Toc243804012"/>
      <w:bookmarkStart w:id="150" w:name="_Toc244570543"/>
      <w:bookmarkStart w:id="151" w:name="_Toc244571904"/>
      <w:bookmarkStart w:id="152" w:name="_Toc244573058"/>
      <w:bookmarkStart w:id="153" w:name="_Toc244999420"/>
      <w:bookmarkStart w:id="154" w:name="_Toc246914100"/>
      <w:bookmarkStart w:id="155" w:name="_Toc271194742"/>
      <w:bookmarkStart w:id="156" w:name="_Toc274311354"/>
      <w:bookmarkStart w:id="157" w:name="_Toc275255088"/>
      <w:r>
        <w:rPr>
          <w:rStyle w:val="CharPartNo"/>
        </w:rPr>
        <w:t>Part III</w:t>
      </w:r>
      <w:r>
        <w:rPr>
          <w:rStyle w:val="CharDivNo"/>
        </w:rPr>
        <w:t> </w:t>
      </w:r>
      <w:r>
        <w:t>—</w:t>
      </w:r>
      <w:r>
        <w:rPr>
          <w:rStyle w:val="CharDivText"/>
        </w:rPr>
        <w:t> </w:t>
      </w:r>
      <w:r>
        <w:rPr>
          <w:rStyle w:val="CharPartText"/>
        </w:rPr>
        <w:t>Licensing and registration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421612333"/>
      <w:bookmarkStart w:id="159" w:name="_Toc37750211"/>
      <w:bookmarkStart w:id="160" w:name="_Toc275255089"/>
      <w:r>
        <w:rPr>
          <w:rStyle w:val="CharSectno"/>
        </w:rPr>
        <w:t>25</w:t>
      </w:r>
      <w:r>
        <w:rPr>
          <w:snapToGrid w:val="0"/>
        </w:rPr>
        <w:t>.</w:t>
      </w:r>
      <w:r>
        <w:rPr>
          <w:snapToGrid w:val="0"/>
        </w:rPr>
        <w:tab/>
        <w:t>Matters requiring a licence</w:t>
      </w:r>
      <w:bookmarkEnd w:id="158"/>
      <w:bookmarkEnd w:id="159"/>
      <w:bookmarkEnd w:id="160"/>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61" w:name="_Toc421612334"/>
      <w:bookmarkStart w:id="162" w:name="_Toc37750212"/>
      <w:bookmarkStart w:id="163" w:name="_Toc275255090"/>
      <w:r>
        <w:rPr>
          <w:rStyle w:val="CharSectno"/>
        </w:rPr>
        <w:t>26</w:t>
      </w:r>
      <w:r>
        <w:rPr>
          <w:snapToGrid w:val="0"/>
        </w:rPr>
        <w:t>.</w:t>
      </w:r>
      <w:r>
        <w:rPr>
          <w:snapToGrid w:val="0"/>
        </w:rPr>
        <w:tab/>
        <w:t>Licensing of persons</w:t>
      </w:r>
      <w:bookmarkEnd w:id="161"/>
      <w:bookmarkEnd w:id="162"/>
      <w:bookmarkEnd w:id="163"/>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164" w:name="_Toc421612335"/>
      <w:bookmarkStart w:id="165" w:name="_Toc37750213"/>
      <w:bookmarkStart w:id="166" w:name="_Toc275255091"/>
      <w:r>
        <w:rPr>
          <w:rStyle w:val="CharSectno"/>
        </w:rPr>
        <w:t>27</w:t>
      </w:r>
      <w:r>
        <w:rPr>
          <w:snapToGrid w:val="0"/>
        </w:rPr>
        <w:t>.</w:t>
      </w:r>
      <w:r>
        <w:rPr>
          <w:snapToGrid w:val="0"/>
        </w:rPr>
        <w:tab/>
        <w:t>Use of radioactive substances or radiation on persons</w:t>
      </w:r>
      <w:bookmarkEnd w:id="164"/>
      <w:bookmarkEnd w:id="165"/>
      <w:bookmarkEnd w:id="166"/>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(Western Australia)</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(Western Australia)</w:t>
      </w:r>
      <w:r>
        <w:t xml:space="preserve"> in the medical profession; or</w:t>
      </w:r>
    </w:p>
    <w:p>
      <w:pPr>
        <w:pStyle w:val="Indenti"/>
      </w:pPr>
      <w:r>
        <w:tab/>
        <w:t>(iv)</w:t>
      </w:r>
      <w:r>
        <w:tab/>
        <w:t xml:space="preserve">registered under the </w:t>
      </w:r>
      <w:r>
        <w:rPr>
          <w:i/>
        </w:rPr>
        <w:t>Health Practitioner Regulation National Law (Western Australia)</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147(1).]</w:t>
      </w:r>
    </w:p>
    <w:p>
      <w:pPr>
        <w:pStyle w:val="Heading5"/>
        <w:rPr>
          <w:snapToGrid w:val="0"/>
        </w:rPr>
      </w:pPr>
      <w:bookmarkStart w:id="167" w:name="_Toc421612336"/>
      <w:bookmarkStart w:id="168" w:name="_Toc37750214"/>
      <w:bookmarkStart w:id="169" w:name="_Toc275255092"/>
      <w:r>
        <w:rPr>
          <w:rStyle w:val="CharSectno"/>
        </w:rPr>
        <w:t>28</w:t>
      </w:r>
      <w:r>
        <w:rPr>
          <w:snapToGrid w:val="0"/>
        </w:rPr>
        <w:t>.</w:t>
      </w:r>
      <w:r>
        <w:rPr>
          <w:snapToGrid w:val="0"/>
        </w:rPr>
        <w:tab/>
        <w:t>Registration</w:t>
      </w:r>
      <w:bookmarkEnd w:id="167"/>
      <w:bookmarkEnd w:id="168"/>
      <w:bookmarkEnd w:id="169"/>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70" w:name="_Toc421612337"/>
      <w:bookmarkStart w:id="171" w:name="_Toc37750215"/>
      <w:bookmarkStart w:id="172" w:name="_Toc275255093"/>
      <w:r>
        <w:rPr>
          <w:rStyle w:val="CharSectno"/>
        </w:rPr>
        <w:t>29</w:t>
      </w:r>
      <w:r>
        <w:rPr>
          <w:snapToGrid w:val="0"/>
        </w:rPr>
        <w:t>.</w:t>
      </w:r>
      <w:r>
        <w:rPr>
          <w:snapToGrid w:val="0"/>
        </w:rPr>
        <w:tab/>
        <w:t>Sales and purchases</w:t>
      </w:r>
      <w:bookmarkEnd w:id="170"/>
      <w:bookmarkEnd w:id="171"/>
      <w:bookmarkEnd w:id="172"/>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73" w:name="_Toc421612338"/>
      <w:bookmarkStart w:id="174" w:name="_Toc37750216"/>
      <w:bookmarkStart w:id="175" w:name="_Toc275255094"/>
      <w:r>
        <w:rPr>
          <w:rStyle w:val="CharSectno"/>
        </w:rPr>
        <w:t>30</w:t>
      </w:r>
      <w:r>
        <w:rPr>
          <w:snapToGrid w:val="0"/>
        </w:rPr>
        <w:t>.</w:t>
      </w:r>
      <w:r>
        <w:rPr>
          <w:snapToGrid w:val="0"/>
        </w:rPr>
        <w:tab/>
        <w:t>Registration of defective premises, apparatus or products prohibited</w:t>
      </w:r>
      <w:bookmarkEnd w:id="173"/>
      <w:bookmarkEnd w:id="174"/>
      <w:bookmarkEnd w:id="175"/>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76" w:name="_Toc421612339"/>
      <w:bookmarkStart w:id="177" w:name="_Toc37750217"/>
      <w:bookmarkStart w:id="178" w:name="_Toc275255095"/>
      <w:r>
        <w:rPr>
          <w:rStyle w:val="CharSectno"/>
        </w:rPr>
        <w:t>31</w:t>
      </w:r>
      <w:r>
        <w:rPr>
          <w:snapToGrid w:val="0"/>
        </w:rPr>
        <w:t>.</w:t>
      </w:r>
      <w:r>
        <w:rPr>
          <w:snapToGrid w:val="0"/>
        </w:rPr>
        <w:tab/>
        <w:t>Review of potentially dangerous articles</w:t>
      </w:r>
      <w:bookmarkEnd w:id="176"/>
      <w:bookmarkEnd w:id="177"/>
      <w:bookmarkEnd w:id="178"/>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79" w:name="_Toc421612340"/>
      <w:bookmarkStart w:id="180" w:name="_Toc37750218"/>
      <w:bookmarkStart w:id="181" w:name="_Toc275255096"/>
      <w:r>
        <w:rPr>
          <w:rStyle w:val="CharSectno"/>
        </w:rPr>
        <w:t>32</w:t>
      </w:r>
      <w:r>
        <w:rPr>
          <w:snapToGrid w:val="0"/>
        </w:rPr>
        <w:t>.</w:t>
      </w:r>
      <w:r>
        <w:rPr>
          <w:snapToGrid w:val="0"/>
        </w:rPr>
        <w:tab/>
        <w:t>Refusal of licence, exemption or registration</w:t>
      </w:r>
      <w:bookmarkEnd w:id="179"/>
      <w:bookmarkEnd w:id="180"/>
      <w:bookmarkEnd w:id="181"/>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82" w:name="_Toc421612341"/>
      <w:bookmarkStart w:id="183" w:name="_Toc37750219"/>
      <w:bookmarkStart w:id="184" w:name="_Toc275255097"/>
      <w:r>
        <w:rPr>
          <w:rStyle w:val="CharSectno"/>
        </w:rPr>
        <w:t>33</w:t>
      </w:r>
      <w:r>
        <w:rPr>
          <w:snapToGrid w:val="0"/>
        </w:rPr>
        <w:t>.</w:t>
      </w:r>
      <w:r>
        <w:rPr>
          <w:snapToGrid w:val="0"/>
        </w:rPr>
        <w:tab/>
        <w:t>Licences and registration</w:t>
      </w:r>
      <w:bookmarkEnd w:id="182"/>
      <w:bookmarkEnd w:id="183"/>
      <w:bookmarkEnd w:id="184"/>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85" w:name="_Toc421612342"/>
      <w:bookmarkStart w:id="186" w:name="_Toc37750220"/>
      <w:bookmarkStart w:id="187" w:name="_Toc275255098"/>
      <w:r>
        <w:rPr>
          <w:rStyle w:val="CharSectno"/>
        </w:rPr>
        <w:t>34</w:t>
      </w:r>
      <w:r>
        <w:rPr>
          <w:snapToGrid w:val="0"/>
        </w:rPr>
        <w:t>.</w:t>
      </w:r>
      <w:r>
        <w:rPr>
          <w:snapToGrid w:val="0"/>
        </w:rPr>
        <w:tab/>
        <w:t>Disposal permits</w:t>
      </w:r>
      <w:bookmarkEnd w:id="185"/>
      <w:bookmarkEnd w:id="186"/>
      <w:bookmarkEnd w:id="187"/>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188" w:name="_Toc421612343"/>
      <w:bookmarkStart w:id="189" w:name="_Toc37750221"/>
      <w:bookmarkStart w:id="190" w:name="_Toc275255099"/>
      <w:r>
        <w:rPr>
          <w:rStyle w:val="CharSectno"/>
        </w:rPr>
        <w:t>35</w:t>
      </w:r>
      <w:r>
        <w:rPr>
          <w:snapToGrid w:val="0"/>
        </w:rPr>
        <w:t>.</w:t>
      </w:r>
      <w:r>
        <w:rPr>
          <w:snapToGrid w:val="0"/>
        </w:rPr>
        <w:tab/>
        <w:t>Temporary permits</w:t>
      </w:r>
      <w:bookmarkEnd w:id="188"/>
      <w:bookmarkEnd w:id="189"/>
      <w:bookmarkEnd w:id="190"/>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191" w:name="_Toc421612344"/>
      <w:bookmarkStart w:id="192" w:name="_Toc37750222"/>
      <w:bookmarkStart w:id="193" w:name="_Toc275255100"/>
      <w:r>
        <w:rPr>
          <w:rStyle w:val="CharSectno"/>
        </w:rPr>
        <w:t>36</w:t>
      </w:r>
      <w:r>
        <w:rPr>
          <w:snapToGrid w:val="0"/>
        </w:rPr>
        <w:t>.</w:t>
      </w:r>
      <w:r>
        <w:rPr>
          <w:snapToGrid w:val="0"/>
        </w:rPr>
        <w:tab/>
        <w:t>Conditions, restrictions and limitations on, and revocation or suspension of, licences, exemptions, and registrations</w:t>
      </w:r>
      <w:bookmarkEnd w:id="191"/>
      <w:bookmarkEnd w:id="192"/>
      <w:bookmarkEnd w:id="193"/>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194" w:name="_Toc421612345"/>
      <w:bookmarkStart w:id="195" w:name="_Toc37750223"/>
      <w:r>
        <w:tab/>
        <w:t>[Section 36: Correction to Reprint in Gazette 28 Oct 2003 p. 4527.]</w:t>
      </w:r>
    </w:p>
    <w:p>
      <w:pPr>
        <w:pStyle w:val="Heading5"/>
        <w:rPr>
          <w:snapToGrid w:val="0"/>
        </w:rPr>
      </w:pPr>
      <w:bookmarkStart w:id="196" w:name="_Toc275255101"/>
      <w:r>
        <w:rPr>
          <w:rStyle w:val="CharSectno"/>
        </w:rPr>
        <w:t>37</w:t>
      </w:r>
      <w:r>
        <w:rPr>
          <w:snapToGrid w:val="0"/>
        </w:rPr>
        <w:t>.</w:t>
      </w:r>
      <w:r>
        <w:rPr>
          <w:snapToGrid w:val="0"/>
        </w:rPr>
        <w:tab/>
        <w:t>Duration of licences, exemptions and registrations</w:t>
      </w:r>
      <w:bookmarkEnd w:id="194"/>
      <w:bookmarkEnd w:id="195"/>
      <w:bookmarkEnd w:id="196"/>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97" w:name="_Toc421612346"/>
      <w:bookmarkStart w:id="198" w:name="_Toc37750224"/>
      <w:bookmarkStart w:id="199" w:name="_Toc275255102"/>
      <w:r>
        <w:rPr>
          <w:rStyle w:val="CharSectno"/>
        </w:rPr>
        <w:t>38</w:t>
      </w:r>
      <w:r>
        <w:rPr>
          <w:snapToGrid w:val="0"/>
        </w:rPr>
        <w:t>.</w:t>
      </w:r>
      <w:r>
        <w:rPr>
          <w:snapToGrid w:val="0"/>
        </w:rPr>
        <w:tab/>
        <w:t>Change of circumstances</w:t>
      </w:r>
      <w:bookmarkEnd w:id="197"/>
      <w:bookmarkEnd w:id="198"/>
      <w:bookmarkEnd w:id="19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200" w:name="_Toc421612347"/>
      <w:bookmarkStart w:id="201" w:name="_Toc37750225"/>
      <w:bookmarkStart w:id="202" w:name="_Toc275255103"/>
      <w:r>
        <w:rPr>
          <w:rStyle w:val="CharSectno"/>
        </w:rPr>
        <w:t>39</w:t>
      </w:r>
      <w:r>
        <w:rPr>
          <w:snapToGrid w:val="0"/>
        </w:rPr>
        <w:t>.</w:t>
      </w:r>
      <w:r>
        <w:rPr>
          <w:snapToGrid w:val="0"/>
        </w:rPr>
        <w:tab/>
        <w:t>Power to obtain information</w:t>
      </w:r>
      <w:bookmarkEnd w:id="200"/>
      <w:bookmarkEnd w:id="201"/>
      <w:bookmarkEnd w:id="202"/>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203" w:name="_Toc421612348"/>
      <w:bookmarkStart w:id="204" w:name="_Toc37750226"/>
      <w:bookmarkStart w:id="205" w:name="_Toc275255104"/>
      <w:r>
        <w:rPr>
          <w:rStyle w:val="CharSectno"/>
        </w:rPr>
        <w:t>40</w:t>
      </w:r>
      <w:r>
        <w:rPr>
          <w:snapToGrid w:val="0"/>
        </w:rPr>
        <w:t>.</w:t>
      </w:r>
      <w:r>
        <w:rPr>
          <w:snapToGrid w:val="0"/>
        </w:rPr>
        <w:tab/>
        <w:t>Surrender of documents</w:t>
      </w:r>
      <w:bookmarkEnd w:id="203"/>
      <w:bookmarkEnd w:id="204"/>
      <w:bookmarkEnd w:id="205"/>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206" w:name="_Toc421612349"/>
      <w:bookmarkStart w:id="207" w:name="_Toc37750227"/>
      <w:bookmarkStart w:id="208" w:name="_Toc275255105"/>
      <w:r>
        <w:rPr>
          <w:rStyle w:val="CharSectno"/>
        </w:rPr>
        <w:t>41</w:t>
      </w:r>
      <w:r>
        <w:rPr>
          <w:snapToGrid w:val="0"/>
        </w:rPr>
        <w:t>.</w:t>
      </w:r>
      <w:r>
        <w:rPr>
          <w:snapToGrid w:val="0"/>
        </w:rPr>
        <w:tab/>
        <w:t>Registers</w:t>
      </w:r>
      <w:bookmarkEnd w:id="206"/>
      <w:bookmarkEnd w:id="207"/>
      <w:bookmarkEnd w:id="208"/>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209" w:name="_Toc37750228"/>
      <w:bookmarkStart w:id="210" w:name="_Toc275255106"/>
      <w:r>
        <w:rPr>
          <w:rStyle w:val="CharSectno"/>
        </w:rPr>
        <w:t>41A</w:t>
      </w:r>
      <w:r>
        <w:t>.</w:t>
      </w:r>
      <w:r>
        <w:tab/>
        <w:t>Restriction on authorisation of storage, transportation or disposal of nuclear waste</w:t>
      </w:r>
      <w:bookmarkEnd w:id="209"/>
      <w:bookmarkEnd w:id="210"/>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211" w:name="_Toc89506059"/>
      <w:bookmarkStart w:id="212" w:name="_Toc89585355"/>
      <w:bookmarkStart w:id="213" w:name="_Toc92700038"/>
      <w:bookmarkStart w:id="214" w:name="_Toc96924410"/>
      <w:bookmarkStart w:id="215" w:name="_Toc102535194"/>
      <w:bookmarkStart w:id="216" w:name="_Toc102726350"/>
      <w:bookmarkStart w:id="217" w:name="_Toc102726417"/>
      <w:bookmarkStart w:id="218" w:name="_Toc112555272"/>
      <w:bookmarkStart w:id="219" w:name="_Toc112556619"/>
      <w:bookmarkStart w:id="220" w:name="_Toc115076956"/>
      <w:bookmarkStart w:id="221" w:name="_Toc118524968"/>
      <w:bookmarkStart w:id="222" w:name="_Toc118525349"/>
      <w:bookmarkStart w:id="223" w:name="_Toc120001970"/>
      <w:bookmarkStart w:id="224" w:name="_Toc137975620"/>
      <w:bookmarkStart w:id="225" w:name="_Toc148238602"/>
      <w:bookmarkStart w:id="226" w:name="_Toc170789603"/>
      <w:bookmarkStart w:id="227" w:name="_Toc170789799"/>
      <w:bookmarkStart w:id="228" w:name="_Toc177878718"/>
      <w:bookmarkStart w:id="229" w:name="_Toc196803524"/>
      <w:bookmarkStart w:id="230" w:name="_Toc241285441"/>
      <w:bookmarkStart w:id="231" w:name="_Toc241462444"/>
      <w:bookmarkStart w:id="232" w:name="_Toc243804031"/>
      <w:bookmarkStart w:id="233" w:name="_Toc244570562"/>
      <w:bookmarkStart w:id="234" w:name="_Toc244571923"/>
      <w:bookmarkStart w:id="235" w:name="_Toc244573077"/>
      <w:bookmarkStart w:id="236" w:name="_Toc244999439"/>
      <w:bookmarkStart w:id="237" w:name="_Toc246914119"/>
      <w:bookmarkStart w:id="238" w:name="_Toc271194761"/>
      <w:bookmarkStart w:id="239" w:name="_Toc274311373"/>
      <w:bookmarkStart w:id="240" w:name="_Toc275255107"/>
      <w:r>
        <w:rPr>
          <w:rStyle w:val="CharPartNo"/>
        </w:rPr>
        <w:t>Part IV</w:t>
      </w:r>
      <w:r>
        <w:rPr>
          <w:rStyle w:val="CharDivNo"/>
        </w:rPr>
        <w:t> </w:t>
      </w:r>
      <w:r>
        <w:t>—</w:t>
      </w:r>
      <w:r>
        <w:rPr>
          <w:rStyle w:val="CharDivText"/>
        </w:rPr>
        <w:t> </w:t>
      </w:r>
      <w:r>
        <w:rPr>
          <w:rStyle w:val="CharPartText"/>
        </w:rPr>
        <w:t>Enforcement</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421612350"/>
      <w:bookmarkStart w:id="242" w:name="_Toc37750229"/>
      <w:bookmarkStart w:id="243" w:name="_Toc275255108"/>
      <w:r>
        <w:rPr>
          <w:rStyle w:val="CharSectno"/>
        </w:rPr>
        <w:t>42</w:t>
      </w:r>
      <w:r>
        <w:rPr>
          <w:snapToGrid w:val="0"/>
        </w:rPr>
        <w:t>.</w:t>
      </w:r>
      <w:r>
        <w:rPr>
          <w:snapToGrid w:val="0"/>
        </w:rPr>
        <w:tab/>
        <w:t>Power of entry and inspection</w:t>
      </w:r>
      <w:bookmarkEnd w:id="241"/>
      <w:bookmarkEnd w:id="242"/>
      <w:bookmarkEnd w:id="243"/>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244" w:name="_Toc421612351"/>
      <w:r>
        <w:rPr>
          <w:spacing w:val="-2"/>
        </w:rPr>
        <w:tab/>
        <w:t>[Section 42 amended by No. 63 of 1981 s. 4; No. 28 of 1984 s. 97.]</w:t>
      </w:r>
    </w:p>
    <w:p>
      <w:pPr>
        <w:pStyle w:val="Heading5"/>
        <w:rPr>
          <w:snapToGrid w:val="0"/>
        </w:rPr>
      </w:pPr>
      <w:bookmarkStart w:id="245" w:name="_Toc37750230"/>
      <w:bookmarkStart w:id="246" w:name="_Toc275255109"/>
      <w:r>
        <w:rPr>
          <w:rStyle w:val="CharSectno"/>
        </w:rPr>
        <w:t>43</w:t>
      </w:r>
      <w:r>
        <w:rPr>
          <w:snapToGrid w:val="0"/>
        </w:rPr>
        <w:t>.</w:t>
      </w:r>
      <w:r>
        <w:rPr>
          <w:snapToGrid w:val="0"/>
        </w:rPr>
        <w:tab/>
        <w:t>Warrants</w:t>
      </w:r>
      <w:bookmarkEnd w:id="244"/>
      <w:bookmarkEnd w:id="245"/>
      <w:bookmarkEnd w:id="246"/>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47" w:name="_Toc421612352"/>
      <w:bookmarkStart w:id="248" w:name="_Toc37750231"/>
      <w:bookmarkStart w:id="249" w:name="_Toc275255110"/>
      <w:r>
        <w:rPr>
          <w:rStyle w:val="CharSectno"/>
        </w:rPr>
        <w:t>44</w:t>
      </w:r>
      <w:r>
        <w:rPr>
          <w:snapToGrid w:val="0"/>
        </w:rPr>
        <w:t>.</w:t>
      </w:r>
      <w:r>
        <w:rPr>
          <w:snapToGrid w:val="0"/>
        </w:rPr>
        <w:tab/>
        <w:t>Inspection procedure</w:t>
      </w:r>
      <w:bookmarkEnd w:id="247"/>
      <w:bookmarkEnd w:id="248"/>
      <w:bookmarkEnd w:id="249"/>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50" w:name="_Toc421612353"/>
      <w:bookmarkStart w:id="251" w:name="_Toc37750232"/>
      <w:bookmarkStart w:id="252" w:name="_Toc275255111"/>
      <w:r>
        <w:rPr>
          <w:rStyle w:val="CharSectno"/>
        </w:rPr>
        <w:t>45</w:t>
      </w:r>
      <w:r>
        <w:rPr>
          <w:snapToGrid w:val="0"/>
        </w:rPr>
        <w:t>.</w:t>
      </w:r>
      <w:r>
        <w:rPr>
          <w:snapToGrid w:val="0"/>
        </w:rPr>
        <w:tab/>
        <w:t>Owner to assist authorised officer</w:t>
      </w:r>
      <w:bookmarkEnd w:id="250"/>
      <w:bookmarkEnd w:id="251"/>
      <w:bookmarkEnd w:id="252"/>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53" w:name="_Toc421612354"/>
      <w:bookmarkStart w:id="254" w:name="_Toc37750233"/>
      <w:bookmarkStart w:id="255" w:name="_Toc275255112"/>
      <w:r>
        <w:rPr>
          <w:rStyle w:val="CharSectno"/>
        </w:rPr>
        <w:t>46</w:t>
      </w:r>
      <w:r>
        <w:rPr>
          <w:snapToGrid w:val="0"/>
        </w:rPr>
        <w:t>.</w:t>
      </w:r>
      <w:r>
        <w:rPr>
          <w:snapToGrid w:val="0"/>
        </w:rPr>
        <w:tab/>
        <w:t>Power to give directions</w:t>
      </w:r>
      <w:bookmarkEnd w:id="253"/>
      <w:bookmarkEnd w:id="254"/>
      <w:bookmarkEnd w:id="255"/>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256" w:name="_Toc421612355"/>
      <w:bookmarkStart w:id="257" w:name="_Toc37750234"/>
      <w:bookmarkStart w:id="258" w:name="_Toc275255113"/>
      <w:r>
        <w:rPr>
          <w:rStyle w:val="CharSectno"/>
        </w:rPr>
        <w:t>47</w:t>
      </w:r>
      <w:r>
        <w:rPr>
          <w:snapToGrid w:val="0"/>
        </w:rPr>
        <w:t>.</w:t>
      </w:r>
      <w:r>
        <w:rPr>
          <w:snapToGrid w:val="0"/>
        </w:rPr>
        <w:tab/>
        <w:t>Power to vary directions etc.</w:t>
      </w:r>
      <w:bookmarkEnd w:id="256"/>
      <w:bookmarkEnd w:id="257"/>
      <w:bookmarkEnd w:id="258"/>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59" w:name="_Toc421612356"/>
      <w:bookmarkStart w:id="260" w:name="_Toc37750235"/>
      <w:bookmarkStart w:id="261" w:name="_Toc275255114"/>
      <w:r>
        <w:rPr>
          <w:rStyle w:val="CharSectno"/>
        </w:rPr>
        <w:t>48</w:t>
      </w:r>
      <w:r>
        <w:rPr>
          <w:snapToGrid w:val="0"/>
        </w:rPr>
        <w:t>.</w:t>
      </w:r>
      <w:r>
        <w:rPr>
          <w:snapToGrid w:val="0"/>
        </w:rPr>
        <w:tab/>
        <w:t>Offences as to inspections etc.</w:t>
      </w:r>
      <w:bookmarkEnd w:id="259"/>
      <w:bookmarkEnd w:id="260"/>
      <w:bookmarkEnd w:id="261"/>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62" w:name="_Toc421612357"/>
      <w:bookmarkStart w:id="263" w:name="_Toc37750236"/>
      <w:bookmarkStart w:id="264" w:name="_Toc275255115"/>
      <w:r>
        <w:rPr>
          <w:rStyle w:val="CharSectno"/>
        </w:rPr>
        <w:t>49</w:t>
      </w:r>
      <w:r>
        <w:rPr>
          <w:snapToGrid w:val="0"/>
        </w:rPr>
        <w:t>.</w:t>
      </w:r>
      <w:r>
        <w:rPr>
          <w:snapToGrid w:val="0"/>
        </w:rPr>
        <w:tab/>
        <w:t>Secrecy</w:t>
      </w:r>
      <w:bookmarkEnd w:id="262"/>
      <w:bookmarkEnd w:id="263"/>
      <w:bookmarkEnd w:id="264"/>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265" w:name="_Toc421612358"/>
      <w:bookmarkStart w:id="266" w:name="_Toc37750237"/>
      <w:bookmarkStart w:id="267" w:name="_Toc275255116"/>
      <w:r>
        <w:rPr>
          <w:rStyle w:val="CharSectno"/>
        </w:rPr>
        <w:t>50</w:t>
      </w:r>
      <w:r>
        <w:rPr>
          <w:snapToGrid w:val="0"/>
        </w:rPr>
        <w:t>.</w:t>
      </w:r>
      <w:r>
        <w:rPr>
          <w:snapToGrid w:val="0"/>
        </w:rPr>
        <w:tab/>
        <w:t>Availability of records</w:t>
      </w:r>
      <w:bookmarkEnd w:id="265"/>
      <w:bookmarkEnd w:id="266"/>
      <w:bookmarkEnd w:id="267"/>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268" w:name="_Toc275255117"/>
      <w:r>
        <w:rPr>
          <w:rStyle w:val="CharSectno"/>
        </w:rPr>
        <w:t>51</w:t>
      </w:r>
      <w:r>
        <w:t>.</w:t>
      </w:r>
      <w:r>
        <w:rPr>
          <w:rStyle w:val="CharSectno"/>
        </w:rPr>
        <w:tab/>
      </w:r>
      <w:r>
        <w:t>Offences to be dealt with by magistrate</w:t>
      </w:r>
      <w:bookmarkEnd w:id="268"/>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269" w:name="_Toc421612360"/>
      <w:bookmarkStart w:id="270" w:name="_Toc37750239"/>
      <w:bookmarkStart w:id="271" w:name="_Toc275255118"/>
      <w:r>
        <w:rPr>
          <w:rStyle w:val="CharSectno"/>
        </w:rPr>
        <w:t>52</w:t>
      </w:r>
      <w:r>
        <w:rPr>
          <w:snapToGrid w:val="0"/>
        </w:rPr>
        <w:t>.</w:t>
      </w:r>
      <w:r>
        <w:rPr>
          <w:snapToGrid w:val="0"/>
        </w:rPr>
        <w:tab/>
        <w:t>Offences</w:t>
      </w:r>
      <w:bookmarkEnd w:id="269"/>
      <w:bookmarkEnd w:id="270"/>
      <w:bookmarkEnd w:id="271"/>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272" w:name="_Toc421612361"/>
      <w:bookmarkStart w:id="273" w:name="_Toc37750240"/>
      <w:bookmarkStart w:id="274" w:name="_Toc275255119"/>
      <w:r>
        <w:rPr>
          <w:rStyle w:val="CharSectno"/>
        </w:rPr>
        <w:t>53</w:t>
      </w:r>
      <w:r>
        <w:rPr>
          <w:snapToGrid w:val="0"/>
        </w:rPr>
        <w:t>.</w:t>
      </w:r>
      <w:r>
        <w:rPr>
          <w:snapToGrid w:val="0"/>
        </w:rPr>
        <w:tab/>
        <w:t>Forfeiture</w:t>
      </w:r>
      <w:bookmarkEnd w:id="272"/>
      <w:bookmarkEnd w:id="273"/>
      <w:bookmarkEnd w:id="274"/>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275" w:name="_Toc421612362"/>
      <w:bookmarkStart w:id="276" w:name="_Toc37750241"/>
      <w:bookmarkStart w:id="277" w:name="_Toc275255120"/>
      <w:r>
        <w:rPr>
          <w:rStyle w:val="CharSectno"/>
        </w:rPr>
        <w:t>54</w:t>
      </w:r>
      <w:r>
        <w:rPr>
          <w:snapToGrid w:val="0"/>
        </w:rPr>
        <w:t>.</w:t>
      </w:r>
      <w:r>
        <w:rPr>
          <w:snapToGrid w:val="0"/>
        </w:rPr>
        <w:tab/>
        <w:t>Power to seize and detain</w:t>
      </w:r>
      <w:bookmarkEnd w:id="275"/>
      <w:bookmarkEnd w:id="276"/>
      <w:bookmarkEnd w:id="277"/>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278" w:name="_Toc421612363"/>
      <w:bookmarkStart w:id="279" w:name="_Toc37750242"/>
      <w:bookmarkStart w:id="280" w:name="_Toc275255121"/>
      <w:r>
        <w:rPr>
          <w:rStyle w:val="CharSectno"/>
        </w:rPr>
        <w:t>55</w:t>
      </w:r>
      <w:r>
        <w:rPr>
          <w:snapToGrid w:val="0"/>
        </w:rPr>
        <w:t>.</w:t>
      </w:r>
      <w:r>
        <w:rPr>
          <w:snapToGrid w:val="0"/>
        </w:rPr>
        <w:tab/>
        <w:t>Emergency action</w:t>
      </w:r>
      <w:bookmarkEnd w:id="278"/>
      <w:bookmarkEnd w:id="279"/>
      <w:bookmarkEnd w:id="280"/>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281" w:name="_Toc421612364"/>
      <w:bookmarkStart w:id="282" w:name="_Toc37750243"/>
      <w:bookmarkStart w:id="283" w:name="_Toc275255122"/>
      <w:r>
        <w:rPr>
          <w:rStyle w:val="CharSectno"/>
        </w:rPr>
        <w:t>56</w:t>
      </w:r>
      <w:r>
        <w:rPr>
          <w:snapToGrid w:val="0"/>
        </w:rPr>
        <w:t>.</w:t>
      </w:r>
      <w:r>
        <w:rPr>
          <w:snapToGrid w:val="0"/>
        </w:rPr>
        <w:tab/>
        <w:t>Liability for the acts of others etc.</w:t>
      </w:r>
      <w:bookmarkEnd w:id="281"/>
      <w:bookmarkEnd w:id="282"/>
      <w:bookmarkEnd w:id="283"/>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284" w:name="_Toc421612365"/>
      <w:bookmarkStart w:id="285" w:name="_Toc37750244"/>
      <w:bookmarkStart w:id="286" w:name="_Toc275255123"/>
      <w:r>
        <w:rPr>
          <w:rStyle w:val="CharSectno"/>
        </w:rPr>
        <w:t>57</w:t>
      </w:r>
      <w:r>
        <w:rPr>
          <w:snapToGrid w:val="0"/>
        </w:rPr>
        <w:t>.</w:t>
      </w:r>
      <w:r>
        <w:rPr>
          <w:snapToGrid w:val="0"/>
        </w:rPr>
        <w:tab/>
        <w:t>Facilitation of proof</w:t>
      </w:r>
      <w:bookmarkEnd w:id="284"/>
      <w:bookmarkEnd w:id="285"/>
      <w:bookmarkEnd w:id="286"/>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287" w:name="_Toc89506076"/>
      <w:bookmarkStart w:id="288" w:name="_Toc89585372"/>
      <w:bookmarkStart w:id="289" w:name="_Toc92700055"/>
      <w:bookmarkStart w:id="290" w:name="_Toc96924427"/>
      <w:bookmarkStart w:id="291" w:name="_Toc102535211"/>
      <w:bookmarkStart w:id="292" w:name="_Toc102726367"/>
      <w:bookmarkStart w:id="293" w:name="_Toc102726434"/>
      <w:bookmarkStart w:id="294" w:name="_Toc112555289"/>
      <w:bookmarkStart w:id="295" w:name="_Toc112556636"/>
      <w:bookmarkStart w:id="296" w:name="_Toc115076973"/>
      <w:bookmarkStart w:id="297" w:name="_Toc118524985"/>
      <w:bookmarkStart w:id="298" w:name="_Toc118525366"/>
      <w:bookmarkStart w:id="299" w:name="_Toc120001987"/>
      <w:bookmarkStart w:id="300" w:name="_Toc137975637"/>
      <w:bookmarkStart w:id="301" w:name="_Toc148238619"/>
      <w:bookmarkStart w:id="302" w:name="_Toc170789620"/>
      <w:bookmarkStart w:id="303" w:name="_Toc170789816"/>
      <w:bookmarkStart w:id="304" w:name="_Toc177878735"/>
      <w:bookmarkStart w:id="305" w:name="_Toc196803541"/>
      <w:bookmarkStart w:id="306" w:name="_Toc241285458"/>
      <w:bookmarkStart w:id="307" w:name="_Toc241462461"/>
      <w:bookmarkStart w:id="308" w:name="_Toc243804048"/>
      <w:bookmarkStart w:id="309" w:name="_Toc244570579"/>
      <w:bookmarkStart w:id="310" w:name="_Toc244571940"/>
      <w:bookmarkStart w:id="311" w:name="_Toc244573094"/>
      <w:bookmarkStart w:id="312" w:name="_Toc244999456"/>
      <w:bookmarkStart w:id="313" w:name="_Toc246914136"/>
      <w:bookmarkStart w:id="314" w:name="_Toc271194778"/>
      <w:bookmarkStart w:id="315" w:name="_Toc274311390"/>
      <w:bookmarkStart w:id="316" w:name="_Toc275255124"/>
      <w:r>
        <w:rPr>
          <w:rStyle w:val="CharPartNo"/>
        </w:rPr>
        <w:t>Part V</w:t>
      </w:r>
      <w:r>
        <w:rPr>
          <w:rStyle w:val="CharDivNo"/>
        </w:rPr>
        <w:t> </w:t>
      </w:r>
      <w:r>
        <w:t>—</w:t>
      </w:r>
      <w:r>
        <w:rPr>
          <w:rStyle w:val="CharDivText"/>
        </w:rPr>
        <w:t> </w:t>
      </w:r>
      <w:r>
        <w:rPr>
          <w:rStyle w:val="CharPartText"/>
        </w:rPr>
        <w:t>Regulations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Heading5"/>
        <w:rPr>
          <w:snapToGrid w:val="0"/>
        </w:rPr>
      </w:pPr>
      <w:bookmarkStart w:id="317" w:name="_Toc421612366"/>
      <w:bookmarkStart w:id="318" w:name="_Toc37750245"/>
      <w:bookmarkStart w:id="319" w:name="_Toc275255125"/>
      <w:r>
        <w:rPr>
          <w:rStyle w:val="CharSectno"/>
        </w:rPr>
        <w:t>58</w:t>
      </w:r>
      <w:r>
        <w:rPr>
          <w:snapToGrid w:val="0"/>
        </w:rPr>
        <w:t>.</w:t>
      </w:r>
      <w:r>
        <w:rPr>
          <w:snapToGrid w:val="0"/>
        </w:rPr>
        <w:tab/>
        <w:t>General power</w:t>
      </w:r>
      <w:bookmarkEnd w:id="317"/>
      <w:bookmarkEnd w:id="318"/>
      <w:bookmarkEnd w:id="319"/>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320" w:name="_Toc421612367"/>
      <w:bookmarkStart w:id="321" w:name="_Toc37750246"/>
      <w:bookmarkStart w:id="322" w:name="_Toc275255126"/>
      <w:r>
        <w:rPr>
          <w:rStyle w:val="CharSectno"/>
        </w:rPr>
        <w:t>59</w:t>
      </w:r>
      <w:r>
        <w:rPr>
          <w:snapToGrid w:val="0"/>
        </w:rPr>
        <w:t>.</w:t>
      </w:r>
      <w:r>
        <w:rPr>
          <w:snapToGrid w:val="0"/>
        </w:rPr>
        <w:tab/>
        <w:t>Specific powers</w:t>
      </w:r>
      <w:bookmarkEnd w:id="320"/>
      <w:bookmarkEnd w:id="321"/>
      <w:bookmarkEnd w:id="322"/>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rPr>
          <w:del w:id="323" w:author="svcMRProcess" w:date="2015-11-05T23:23:00Z"/>
        </w:rPr>
      </w:pPr>
      <w:del w:id="324" w:author="svcMRProcess" w:date="2015-11-05T23:23:00Z">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325" w:author="svcMRProcess" w:date="2015-11-05T23:23:00Z"/>
        </w:rPr>
      </w:pPr>
      <w:ins w:id="326" w:author="svcMRProcess" w:date="2015-11-05T23:2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27" w:name="_Toc89506079"/>
      <w:bookmarkStart w:id="328" w:name="_Toc89585375"/>
      <w:bookmarkStart w:id="329" w:name="_Toc92700058"/>
      <w:bookmarkStart w:id="330" w:name="_Toc96924430"/>
      <w:bookmarkStart w:id="331" w:name="_Toc102535214"/>
      <w:bookmarkStart w:id="332" w:name="_Toc102726370"/>
      <w:bookmarkStart w:id="333" w:name="_Toc102726437"/>
      <w:bookmarkStart w:id="334" w:name="_Toc112555292"/>
      <w:bookmarkStart w:id="335" w:name="_Toc112556639"/>
      <w:bookmarkStart w:id="336" w:name="_Toc115076976"/>
      <w:bookmarkStart w:id="337" w:name="_Toc118524988"/>
      <w:bookmarkStart w:id="338" w:name="_Toc118525369"/>
      <w:bookmarkStart w:id="339" w:name="_Toc120001990"/>
      <w:bookmarkStart w:id="340" w:name="_Toc137975640"/>
      <w:bookmarkStart w:id="341" w:name="_Toc148238622"/>
      <w:bookmarkStart w:id="342" w:name="_Toc170789623"/>
      <w:bookmarkStart w:id="343" w:name="_Toc170789819"/>
      <w:bookmarkStart w:id="344" w:name="_Toc177878738"/>
      <w:bookmarkStart w:id="345" w:name="_Toc196803544"/>
      <w:bookmarkStart w:id="346" w:name="_Toc241285461"/>
      <w:bookmarkStart w:id="347" w:name="_Toc241462464"/>
      <w:bookmarkStart w:id="348" w:name="_Toc243804051"/>
      <w:bookmarkStart w:id="349" w:name="_Toc244570582"/>
      <w:bookmarkStart w:id="350" w:name="_Toc244571943"/>
      <w:bookmarkStart w:id="351" w:name="_Toc244573097"/>
      <w:bookmarkStart w:id="352" w:name="_Toc244999459"/>
      <w:bookmarkStart w:id="353" w:name="_Toc246914139"/>
      <w:bookmarkStart w:id="354" w:name="_Toc271194781"/>
      <w:bookmarkStart w:id="355" w:name="_Toc274311393"/>
      <w:bookmarkStart w:id="356" w:name="_Toc275255127"/>
      <w:r>
        <w:t>Notes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7" w:name="_Toc275255128"/>
      <w:r>
        <w:rPr>
          <w:snapToGrid w:val="0"/>
        </w:rPr>
        <w:t>Compilation table</w:t>
      </w:r>
      <w:bookmarkEnd w:id="357"/>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8" w:type="dxa"/>
          <w:cantSplit/>
        </w:trPr>
        <w:tc>
          <w:tcPr>
            <w:tcW w:w="2267"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4" w:type="dxa"/>
            <w:tcBorders>
              <w:top w:val="single" w:sz="8" w:space="0" w:color="auto"/>
            </w:tcBorders>
          </w:tcPr>
          <w:p>
            <w:pPr>
              <w:pStyle w:val="nTable"/>
              <w:spacing w:after="40"/>
              <w:rPr>
                <w:sz w:val="19"/>
              </w:rPr>
            </w:pPr>
            <w:r>
              <w:rPr>
                <w:sz w:val="19"/>
              </w:rPr>
              <w:t>18 Sep 1975</w:t>
            </w:r>
          </w:p>
        </w:tc>
        <w:tc>
          <w:tcPr>
            <w:tcW w:w="2534"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gridAfter w:val="1"/>
          <w:wAfter w:w="18" w:type="dxa"/>
          <w:cantSplit/>
        </w:trPr>
        <w:tc>
          <w:tcPr>
            <w:tcW w:w="2267"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4" w:type="dxa"/>
          </w:tcPr>
          <w:p>
            <w:pPr>
              <w:pStyle w:val="nTable"/>
              <w:spacing w:after="40"/>
              <w:rPr>
                <w:sz w:val="19"/>
              </w:rPr>
            </w:pPr>
            <w:r>
              <w:rPr>
                <w:sz w:val="19"/>
              </w:rPr>
              <w:t>30 Aug 1979</w:t>
            </w:r>
          </w:p>
        </w:tc>
        <w:tc>
          <w:tcPr>
            <w:tcW w:w="2534" w:type="dxa"/>
          </w:tcPr>
          <w:p>
            <w:pPr>
              <w:pStyle w:val="nTable"/>
              <w:spacing w:after="40"/>
              <w:rPr>
                <w:sz w:val="19"/>
              </w:rPr>
            </w:pPr>
            <w:r>
              <w:rPr>
                <w:sz w:val="19"/>
              </w:rPr>
              <w:t>30 Aug 1979</w:t>
            </w:r>
          </w:p>
        </w:tc>
      </w:tr>
      <w:tr>
        <w:trPr>
          <w:gridAfter w:val="1"/>
          <w:wAfter w:w="18" w:type="dxa"/>
          <w:cantSplit/>
        </w:trPr>
        <w:tc>
          <w:tcPr>
            <w:tcW w:w="2267"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34" w:type="dxa"/>
          </w:tcPr>
          <w:p>
            <w:pPr>
              <w:pStyle w:val="nTable"/>
              <w:spacing w:after="40"/>
              <w:rPr>
                <w:sz w:val="19"/>
              </w:rPr>
            </w:pPr>
            <w:r>
              <w:rPr>
                <w:sz w:val="19"/>
              </w:rPr>
              <w:t>13 Oct 1981</w:t>
            </w:r>
          </w:p>
        </w:tc>
      </w:tr>
      <w:tr>
        <w:trPr>
          <w:gridAfter w:val="1"/>
          <w:wAfter w:w="18" w:type="dxa"/>
          <w:cantSplit/>
        </w:trPr>
        <w:tc>
          <w:tcPr>
            <w:tcW w:w="2267"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34"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After w:val="1"/>
          <w:wAfter w:w="18" w:type="dxa"/>
          <w:cantSplit/>
        </w:trPr>
        <w:tc>
          <w:tcPr>
            <w:tcW w:w="2267"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34"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7"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4" w:type="dxa"/>
          </w:tcPr>
          <w:p>
            <w:pPr>
              <w:pStyle w:val="nTable"/>
              <w:spacing w:after="40"/>
              <w:rPr>
                <w:sz w:val="19"/>
              </w:rPr>
            </w:pPr>
            <w:r>
              <w:rPr>
                <w:sz w:val="19"/>
              </w:rPr>
              <w:t>7 Dec 1999</w:t>
            </w:r>
          </w:p>
        </w:tc>
        <w:tc>
          <w:tcPr>
            <w:tcW w:w="2552" w:type="dxa"/>
            <w:gridSpan w:val="2"/>
          </w:tcPr>
          <w:p>
            <w:pPr>
              <w:pStyle w:val="nTable"/>
              <w:spacing w:after="40"/>
              <w:rPr>
                <w:sz w:val="19"/>
              </w:rPr>
            </w:pPr>
            <w:r>
              <w:rPr>
                <w:sz w:val="19"/>
              </w:rPr>
              <w:t>7 Dec 1999 (see s. 2)</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7"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7"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2267"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4" w:type="dxa"/>
          </w:tcPr>
          <w:p>
            <w:pPr>
              <w:pStyle w:val="nTable"/>
              <w:spacing w:after="40"/>
              <w:rPr>
                <w:sz w:val="19"/>
              </w:rPr>
            </w:pPr>
            <w:r>
              <w:rPr>
                <w:sz w:val="19"/>
              </w:rPr>
              <w:t>1 Apr 2004</w:t>
            </w:r>
          </w:p>
        </w:tc>
        <w:tc>
          <w:tcPr>
            <w:tcW w:w="2552" w:type="dxa"/>
            <w:gridSpan w:val="2"/>
          </w:tcPr>
          <w:p>
            <w:pPr>
              <w:pStyle w:val="nTable"/>
              <w:spacing w:after="40"/>
              <w:rPr>
                <w:spacing w:val="-2"/>
                <w:sz w:val="19"/>
              </w:rPr>
            </w:pPr>
            <w:r>
              <w:rPr>
                <w:sz w:val="19"/>
              </w:rPr>
              <w:t>1 Apr 2004 (see s. 2)</w:t>
            </w:r>
          </w:p>
        </w:tc>
      </w:tr>
      <w:tr>
        <w:trPr>
          <w:cantSplit/>
        </w:trPr>
        <w:tc>
          <w:tcPr>
            <w:tcW w:w="2267" w:type="dxa"/>
          </w:tcPr>
          <w:p>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3</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4" w:type="dxa"/>
          </w:tcPr>
          <w:p>
            <w:pPr>
              <w:pStyle w:val="nTable"/>
              <w:spacing w:after="40"/>
              <w:rPr>
                <w:sz w:val="19"/>
              </w:rPr>
            </w:pPr>
            <w:r>
              <w:rPr>
                <w:snapToGrid w:val="0"/>
                <w:sz w:val="19"/>
                <w:lang w:val="en-US"/>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Sch. 3 cl. 5</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4" w:type="dxa"/>
            <w:tcBorders>
              <w:top w:val="nil"/>
              <w:bottom w:val="nil"/>
            </w:tcBorders>
          </w:tcPr>
          <w:p>
            <w:pPr>
              <w:pStyle w:val="nTable"/>
              <w:spacing w:after="40"/>
              <w:rPr>
                <w:sz w:val="19"/>
              </w:rPr>
            </w:pPr>
            <w:r>
              <w:rPr>
                <w:sz w:val="19"/>
              </w:rPr>
              <w:t>9 Jun 2006</w:t>
            </w:r>
          </w:p>
        </w:tc>
        <w:tc>
          <w:tcPr>
            <w:tcW w:w="2552" w:type="dxa"/>
            <w:gridSpan w:val="2"/>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Sch. 3 cl. 19</w:t>
            </w:r>
          </w:p>
        </w:tc>
        <w:tc>
          <w:tcPr>
            <w:tcW w:w="1134" w:type="dxa"/>
            <w:tcBorders>
              <w:top w:val="nil"/>
              <w:bottom w:val="nil"/>
            </w:tcBorders>
          </w:tcPr>
          <w:p>
            <w:pPr>
              <w:pStyle w:val="nTable"/>
              <w:spacing w:after="40"/>
              <w:rPr>
                <w:snapToGrid w:val="0"/>
                <w:sz w:val="19"/>
                <w:lang w:val="en-US"/>
              </w:rPr>
            </w:pPr>
            <w:r>
              <w:rPr>
                <w:snapToGrid w:val="0"/>
                <w:sz w:val="19"/>
                <w:lang w:val="en-US"/>
              </w:rPr>
              <w:t>50 of 2006</w:t>
            </w:r>
          </w:p>
        </w:tc>
        <w:tc>
          <w:tcPr>
            <w:tcW w:w="1134" w:type="dxa"/>
            <w:tcBorders>
              <w:top w:val="nil"/>
              <w:bottom w:val="nil"/>
            </w:tcBorders>
          </w:tcPr>
          <w:p>
            <w:pPr>
              <w:pStyle w:val="nTable"/>
              <w:spacing w:after="40"/>
              <w:rPr>
                <w:sz w:val="19"/>
              </w:rPr>
            </w:pPr>
            <w:r>
              <w:rPr>
                <w:sz w:val="19"/>
              </w:rPr>
              <w:t>6 Oct 2006</w:t>
            </w:r>
          </w:p>
        </w:tc>
        <w:tc>
          <w:tcPr>
            <w:tcW w:w="2552"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pPr>
              <w:pStyle w:val="nTable"/>
              <w:spacing w:after="40"/>
              <w:rPr>
                <w:snapToGrid w:val="0"/>
                <w:sz w:val="19"/>
                <w:lang w:val="en-US"/>
              </w:rPr>
            </w:pPr>
            <w:r>
              <w:rPr>
                <w:snapToGrid w:val="0"/>
                <w:sz w:val="19"/>
                <w:lang w:val="en-US"/>
              </w:rPr>
              <w:t>8 of 2009</w:t>
            </w:r>
          </w:p>
        </w:tc>
        <w:tc>
          <w:tcPr>
            <w:tcW w:w="1134" w:type="dxa"/>
            <w:tcBorders>
              <w:top w:val="nil"/>
              <w:bottom w:val="nil"/>
            </w:tcBorders>
          </w:tcPr>
          <w:p>
            <w:pPr>
              <w:pStyle w:val="nTable"/>
              <w:spacing w:after="40"/>
              <w:rPr>
                <w:sz w:val="19"/>
              </w:rPr>
            </w:pPr>
            <w:r>
              <w:rPr>
                <w:sz w:val="19"/>
              </w:rPr>
              <w:t>21 May 2009</w:t>
            </w:r>
          </w:p>
        </w:tc>
        <w:tc>
          <w:tcPr>
            <w:tcW w:w="2552" w:type="dxa"/>
            <w:gridSpan w:val="2"/>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22 May 2009 (see s. 2(b))</w:t>
            </w:r>
          </w:p>
        </w:tc>
      </w:tr>
      <w:tr>
        <w:trPr>
          <w:cantSplit/>
        </w:trPr>
        <w:tc>
          <w:tcPr>
            <w:tcW w:w="2267" w:type="dxa"/>
          </w:tcPr>
          <w:p>
            <w:pPr>
              <w:pStyle w:val="nTable"/>
              <w:spacing w:after="40"/>
              <w:rPr>
                <w:iCs/>
                <w:snapToGrid w:val="0"/>
                <w:sz w:val="19"/>
              </w:rPr>
            </w:pPr>
            <w:bookmarkStart w:id="358" w:name="_Toc497185860"/>
            <w:bookmarkStart w:id="359" w:name="_Toc88630750"/>
            <w:bookmarkStart w:id="360" w:name="_Toc491766737"/>
            <w:bookmarkStart w:id="361" w:name="_Toc88630644"/>
            <w:r>
              <w:rPr>
                <w:i/>
                <w:snapToGrid w:val="0"/>
                <w:sz w:val="19"/>
              </w:rPr>
              <w:t>Acts Amendment (Bankruptcy) Act 2009</w:t>
            </w:r>
            <w:r>
              <w:rPr>
                <w:iCs/>
                <w:snapToGrid w:val="0"/>
                <w:sz w:val="19"/>
              </w:rPr>
              <w:t xml:space="preserve"> s. 73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7087" w:type="dxa"/>
            <w:gridSpan w:val="5"/>
          </w:tcPr>
          <w:p>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r>
        <w:trPr>
          <w:cantSplit/>
        </w:trPr>
        <w:tc>
          <w:tcPr>
            <w:tcW w:w="2267" w:type="dxa"/>
            <w:tcBorders>
              <w:bottom w:val="single" w:sz="4" w:space="0" w:color="auto"/>
            </w:tcBorders>
          </w:tcPr>
          <w:p>
            <w:pPr>
              <w:pStyle w:val="nTable"/>
              <w:spacing w:after="40"/>
              <w:rPr>
                <w:iCs/>
                <w:snapToGrid w:val="0"/>
                <w:sz w:val="19"/>
              </w:rPr>
            </w:pPr>
            <w:r>
              <w:rPr>
                <w:i/>
                <w:snapToGrid w:val="0"/>
                <w:sz w:val="19"/>
              </w:rPr>
              <w:t xml:space="preserve">Health Practitioner Regulation National Law (WA) Act 2010 </w:t>
            </w:r>
            <w:r>
              <w:rPr>
                <w:iCs/>
                <w:snapToGrid w:val="0"/>
                <w:sz w:val="19"/>
              </w:rPr>
              <w:t>142, 146 and 147(1)</w:t>
            </w:r>
          </w:p>
        </w:tc>
        <w:tc>
          <w:tcPr>
            <w:tcW w:w="1134" w:type="dxa"/>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2" w:name="_Toc7405065"/>
      <w:bookmarkStart w:id="363" w:name="_Toc275255129"/>
      <w:r>
        <w:t>Provisions that have not come into operation</w:t>
      </w:r>
      <w:bookmarkEnd w:id="362"/>
      <w:bookmarkEnd w:id="3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single" w:sz="4" w:space="0" w:color="auto"/>
              <w:left w:val="nil"/>
              <w:bottom w:val="nil"/>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s. 143</w:t>
            </w:r>
            <w:r>
              <w:rPr>
                <w:snapToGrid w:val="0"/>
                <w:sz w:val="19"/>
                <w:lang w:val="en-US"/>
              </w:rPr>
              <w:noBreakHyphen/>
              <w:t>145, 147(2)</w:t>
            </w:r>
            <w:r>
              <w:rPr>
                <w:snapToGrid w:val="0"/>
                <w:sz w:val="19"/>
                <w:lang w:val="en-US"/>
              </w:rPr>
              <w:noBreakHyphen/>
              <w:t>(4), 148 and 149</w:t>
            </w:r>
            <w:r>
              <w:rPr>
                <w:iCs/>
                <w:snapToGrid w:val="0"/>
                <w:sz w:val="19"/>
              </w:rPr>
              <w:t> </w:t>
            </w:r>
            <w:r>
              <w:rPr>
                <w:iCs/>
                <w:snapToGrid w:val="0"/>
                <w:sz w:val="19"/>
                <w:vertAlign w:val="superscript"/>
              </w:rPr>
              <w:t>5</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30 Aug 2010</w:t>
            </w:r>
          </w:p>
        </w:tc>
        <w:tc>
          <w:tcPr>
            <w:tcW w:w="2534" w:type="dxa"/>
            <w:tcBorders>
              <w:top w:val="single" w:sz="4" w:space="0" w:color="auto"/>
              <w:bottom w:val="nil"/>
              <w:right w:val="nil"/>
            </w:tcBorders>
          </w:tcPr>
          <w:p>
            <w:pPr>
              <w:pStyle w:val="nTable"/>
              <w:spacing w:after="40"/>
              <w:rPr>
                <w:snapToGrid w:val="0"/>
                <w:sz w:val="19"/>
                <w:lang w:val="en-US"/>
              </w:rPr>
            </w:pPr>
            <w:r>
              <w:rPr>
                <w:iCs/>
                <w:snapToGrid w:val="0"/>
                <w:sz w:val="19"/>
                <w:lang w:val="en-US"/>
              </w:rPr>
              <w:t>T</w:t>
            </w:r>
            <w:r>
              <w:rPr>
                <w:snapToGrid w:val="0"/>
                <w:sz w:val="19"/>
                <w:lang w:val="en-US"/>
              </w:rPr>
              <w: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364" w:author="svcMRProcess" w:date="2015-11-05T23:23:00Z">
              <w:r>
                <w:rPr>
                  <w:snapToGrid w:val="0"/>
                  <w:sz w:val="19"/>
                  <w:lang w:val="en-US"/>
                </w:rPr>
                <w:delText>To be proclaimed</w:delText>
              </w:r>
            </w:del>
            <w:ins w:id="365" w:author="svcMRProcess" w:date="2015-11-05T23:23:00Z">
              <w:r>
                <w:rPr>
                  <w:snapToGrid w:val="0"/>
                  <w:sz w:val="19"/>
                  <w:lang w:val="en-US"/>
                </w:rPr>
                <w:t>1 Dec 2010</w:t>
              </w:r>
            </w:ins>
            <w:r>
              <w:rPr>
                <w:snapToGrid w:val="0"/>
                <w:sz w:val="19"/>
                <w:lang w:val="en-US"/>
              </w:rPr>
              <w:t xml:space="preserve"> (see s. 2(b</w:t>
            </w:r>
            <w:del w:id="366" w:author="svcMRProcess" w:date="2015-11-05T23:23:00Z">
              <w:r>
                <w:rPr>
                  <w:snapToGrid w:val="0"/>
                  <w:sz w:val="19"/>
                  <w:lang w:val="en-US"/>
                </w:rPr>
                <w:delText>))</w:delText>
              </w:r>
            </w:del>
            <w:ins w:id="367" w:author="svcMRProcess" w:date="2015-11-05T23:2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358"/>
    <w:bookmarkEnd w:id="359"/>
    <w:bookmarkEnd w:id="360"/>
    <w:bookmarkEnd w:id="361"/>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snapToGrid w:val="0"/>
        </w:rPr>
        <w:t>s. 143-145, 147(2)-(4), 148 and 149 had not come into operation.  They read as follows:</w:t>
      </w:r>
    </w:p>
    <w:p>
      <w:pPr>
        <w:pStyle w:val="BlankOpen"/>
      </w:pPr>
    </w:p>
    <w:p>
      <w:pPr>
        <w:pStyle w:val="nzHeading5"/>
      </w:pPr>
      <w:bookmarkStart w:id="368" w:name="_Toc270349231"/>
      <w:r>
        <w:rPr>
          <w:rStyle w:val="CharSectno"/>
        </w:rPr>
        <w:t>143</w:t>
      </w:r>
      <w:r>
        <w:t>.</w:t>
      </w:r>
      <w:r>
        <w:tab/>
        <w:t>Section 4 amended</w:t>
      </w:r>
      <w:bookmarkEnd w:id="368"/>
    </w:p>
    <w:p>
      <w:pPr>
        <w:pStyle w:val="nzSubsection"/>
      </w:pPr>
      <w:r>
        <w:tab/>
        <w:t>(1)</w:t>
      </w:r>
      <w:r>
        <w:tab/>
        <w:t xml:space="preserve">In section 4 delete the definition of </w:t>
      </w:r>
      <w:r>
        <w:rPr>
          <w:b/>
          <w:bCs/>
          <w:i/>
          <w:iCs/>
        </w:rPr>
        <w:t>medical radiation technologist</w:t>
      </w:r>
      <w:r>
        <w:t>.</w:t>
      </w:r>
    </w:p>
    <w:p>
      <w:pPr>
        <w:pStyle w:val="nzSubsection"/>
      </w:pPr>
      <w:r>
        <w:tab/>
        <w:t>(2)</w:t>
      </w:r>
      <w:r>
        <w:tab/>
        <w:t>In section 4 insert in alphabetical order:</w:t>
      </w:r>
    </w:p>
    <w:p>
      <w:pPr>
        <w:pStyle w:val="BlankOpen"/>
      </w:pPr>
    </w:p>
    <w:p>
      <w:pPr>
        <w:pStyle w:val="nzDefstart"/>
      </w:pPr>
      <w:r>
        <w:tab/>
      </w:r>
      <w:r>
        <w:rPr>
          <w:rStyle w:val="CharDefText"/>
        </w:rPr>
        <w:t>Board</w:t>
      </w:r>
      <w:r>
        <w:t xml:space="preserve"> means the Medical Radiation Practice Board of Australia established under the </w:t>
      </w:r>
      <w:r>
        <w:rPr>
          <w:i/>
        </w:rPr>
        <w:t>Health Practitioner Regulation National Law (Western Australia)</w:t>
      </w:r>
      <w:r>
        <w:t xml:space="preserve"> section 31;</w:t>
      </w:r>
    </w:p>
    <w:p>
      <w:pPr>
        <w:pStyle w:val="nzDefstart"/>
      </w:pPr>
      <w:r>
        <w:tab/>
      </w:r>
      <w:r>
        <w:rPr>
          <w:rStyle w:val="CharDefText"/>
        </w:rPr>
        <w:t>medical radiation practitioner</w:t>
      </w:r>
      <w:r>
        <w:t xml:space="preserve"> means a person who is registered under the </w:t>
      </w:r>
      <w:r>
        <w:rPr>
          <w:i/>
        </w:rPr>
        <w:t>Health Practitioner Regulation National Law (Western Australia)</w:t>
      </w:r>
      <w:r>
        <w:t xml:space="preserve"> in the medical radiation practice profession;</w:t>
      </w:r>
    </w:p>
    <w:p>
      <w:pPr>
        <w:pStyle w:val="nzDefstart"/>
      </w:pPr>
      <w:r>
        <w:tab/>
      </w:r>
      <w:r>
        <w:rPr>
          <w:rStyle w:val="CharDefText"/>
        </w:rPr>
        <w:t>medical radiation technology</w:t>
      </w:r>
      <w:r>
        <w:t xml:space="preserve"> means — </w:t>
      </w:r>
    </w:p>
    <w:p>
      <w:pPr>
        <w:pStyle w:val="nzDefpara"/>
      </w:pPr>
      <w:r>
        <w:tab/>
        <w:t>(a)</w:t>
      </w:r>
      <w:r>
        <w:tab/>
        <w:t>medical imaging technology; or</w:t>
      </w:r>
    </w:p>
    <w:p>
      <w:pPr>
        <w:pStyle w:val="nzDefpara"/>
      </w:pPr>
      <w:r>
        <w:tab/>
        <w:t>(b)</w:t>
      </w:r>
      <w:r>
        <w:tab/>
        <w:t>nuclear medicine technology; or</w:t>
      </w:r>
    </w:p>
    <w:p>
      <w:pPr>
        <w:pStyle w:val="nzDefpara"/>
      </w:pPr>
      <w:r>
        <w:tab/>
        <w:t>(c)</w:t>
      </w:r>
      <w:r>
        <w:tab/>
        <w:t>radiation therapy;</w:t>
      </w:r>
    </w:p>
    <w:p>
      <w:pPr>
        <w:pStyle w:val="BlankClose"/>
      </w:pPr>
    </w:p>
    <w:p>
      <w:pPr>
        <w:pStyle w:val="nzHeading5"/>
      </w:pPr>
      <w:bookmarkStart w:id="369" w:name="_Toc270349232"/>
      <w:r>
        <w:rPr>
          <w:rStyle w:val="CharSectno"/>
        </w:rPr>
        <w:t>144</w:t>
      </w:r>
      <w:r>
        <w:t>.</w:t>
      </w:r>
      <w:r>
        <w:tab/>
        <w:t>Section 13 amended</w:t>
      </w:r>
      <w:bookmarkEnd w:id="369"/>
    </w:p>
    <w:p>
      <w:pPr>
        <w:pStyle w:val="nzSubsection"/>
      </w:pPr>
      <w:r>
        <w:tab/>
      </w:r>
      <w:r>
        <w:tab/>
        <w:t>Delete section 13(2)(b)(vii) and insert:</w:t>
      </w:r>
    </w:p>
    <w:p>
      <w:pPr>
        <w:pStyle w:val="BlankOpen"/>
      </w:pPr>
    </w:p>
    <w:p>
      <w:pPr>
        <w:pStyle w:val="nzIndenti"/>
      </w:pPr>
      <w:r>
        <w:tab/>
        <w:t>(vii)</w:t>
      </w:r>
      <w:r>
        <w:tab/>
        <w:t>one shall be a medical radiation practitioner.</w:t>
      </w:r>
    </w:p>
    <w:p>
      <w:pPr>
        <w:pStyle w:val="BlankClose"/>
      </w:pPr>
    </w:p>
    <w:p>
      <w:pPr>
        <w:pStyle w:val="nzHeading5"/>
      </w:pPr>
      <w:bookmarkStart w:id="370" w:name="_Toc270349233"/>
      <w:r>
        <w:rPr>
          <w:rStyle w:val="CharSectno"/>
        </w:rPr>
        <w:t>145</w:t>
      </w:r>
      <w:r>
        <w:t>.</w:t>
      </w:r>
      <w:r>
        <w:tab/>
        <w:t>Section 24A amended</w:t>
      </w:r>
      <w:bookmarkEnd w:id="370"/>
    </w:p>
    <w:p>
      <w:pPr>
        <w:pStyle w:val="nzSubsection"/>
      </w:pPr>
      <w:r>
        <w:tab/>
        <w:t>(1)</w:t>
      </w:r>
      <w:r>
        <w:tab/>
        <w:t xml:space="preserve">In section 24A(1) delete “as defined in section 3 of the </w:t>
      </w:r>
      <w:r>
        <w:rPr>
          <w:i/>
          <w:iCs/>
        </w:rPr>
        <w:t>Medical Radiation Technologists Act 2006</w:t>
      </w:r>
      <w:r>
        <w:t>”.</w:t>
      </w:r>
    </w:p>
    <w:p>
      <w:pPr>
        <w:pStyle w:val="nzSubsection"/>
      </w:pPr>
      <w:r>
        <w:tab/>
        <w:t>(2)</w:t>
      </w:r>
      <w:r>
        <w:tab/>
        <w:t>In section 24A(1)(a) delete “medical radiation technologist” and insert:</w:t>
      </w:r>
    </w:p>
    <w:p>
      <w:pPr>
        <w:pStyle w:val="BlankOpen"/>
      </w:pPr>
    </w:p>
    <w:p>
      <w:pPr>
        <w:pStyle w:val="nzSubsection"/>
      </w:pPr>
      <w:r>
        <w:tab/>
      </w:r>
      <w:r>
        <w:tab/>
        <w:t>medical radiation practitioner</w:t>
      </w:r>
    </w:p>
    <w:p>
      <w:pPr>
        <w:pStyle w:val="BlankClose"/>
      </w:pPr>
    </w:p>
    <w:p>
      <w:pPr>
        <w:pStyle w:val="nzNotesPerm"/>
      </w:pPr>
      <w:r>
        <w:tab/>
        <w:t>Note:</w:t>
      </w:r>
      <w:r>
        <w:tab/>
        <w:t>The heading to amended section 24A is to read:</w:t>
      </w:r>
    </w:p>
    <w:p>
      <w:pPr>
        <w:pStyle w:val="nzNotesPerm"/>
        <w:tabs>
          <w:tab w:val="clear" w:pos="1446"/>
          <w:tab w:val="left" w:pos="2160"/>
        </w:tabs>
        <w:ind w:left="2160" w:hanging="1593"/>
        <w:rPr>
          <w:b/>
          <w:bCs/>
        </w:rPr>
      </w:pPr>
      <w:r>
        <w:tab/>
      </w:r>
      <w:r>
        <w:rPr>
          <w:b/>
          <w:bCs/>
        </w:rPr>
        <w:t>Disclosure of information to the Medical Radiation Practice Board of Australia</w:t>
      </w:r>
    </w:p>
    <w:p>
      <w:pPr>
        <w:pStyle w:val="nzHeading5"/>
      </w:pPr>
      <w:bookmarkStart w:id="371" w:name="_Toc270349235"/>
      <w:r>
        <w:rPr>
          <w:rStyle w:val="CharSectno"/>
        </w:rPr>
        <w:t>147</w:t>
      </w:r>
      <w:r>
        <w:t>.</w:t>
      </w:r>
      <w:r>
        <w:tab/>
        <w:t>Section 27 amended</w:t>
      </w:r>
      <w:bookmarkEnd w:id="371"/>
    </w:p>
    <w:p>
      <w:pPr>
        <w:pStyle w:val="nzSubsection"/>
      </w:pPr>
      <w:r>
        <w:tab/>
        <w:t>(2)</w:t>
      </w:r>
      <w:r>
        <w:tab/>
        <w:t xml:space="preserve">In section 27(2)(b) delete “medical radiation technology as defined in section 3 of the </w:t>
      </w:r>
      <w:r>
        <w:rPr>
          <w:i/>
          <w:iCs/>
        </w:rPr>
        <w:t>Medical Radiation Technologists Act 2006</w:t>
      </w:r>
      <w:r>
        <w:t>,” and insert:</w:t>
      </w:r>
    </w:p>
    <w:p>
      <w:pPr>
        <w:pStyle w:val="BlankOpen"/>
      </w:pPr>
    </w:p>
    <w:p>
      <w:pPr>
        <w:pStyle w:val="nzSubsection"/>
      </w:pPr>
      <w:r>
        <w:tab/>
      </w:r>
      <w:r>
        <w:tab/>
        <w:t>medical radiation technology,</w:t>
      </w:r>
    </w:p>
    <w:p>
      <w:pPr>
        <w:pStyle w:val="BlankClose"/>
      </w:pPr>
    </w:p>
    <w:p>
      <w:pPr>
        <w:pStyle w:val="nzSubsection"/>
      </w:pPr>
      <w:r>
        <w:tab/>
        <w:t>(3)</w:t>
      </w:r>
      <w:r>
        <w:tab/>
        <w:t>In section 27(2)(ba)(i) delete “medical radiation technologist” and insert:</w:t>
      </w:r>
    </w:p>
    <w:p>
      <w:pPr>
        <w:pStyle w:val="BlankOpen"/>
      </w:pPr>
    </w:p>
    <w:p>
      <w:pPr>
        <w:pStyle w:val="nzSubsection"/>
      </w:pPr>
      <w:r>
        <w:tab/>
      </w:r>
      <w:r>
        <w:tab/>
        <w:t>medical radiation practitioner</w:t>
      </w:r>
    </w:p>
    <w:p>
      <w:pPr>
        <w:pStyle w:val="BlankClose"/>
      </w:pPr>
    </w:p>
    <w:p>
      <w:pPr>
        <w:pStyle w:val="nzSubsection"/>
      </w:pPr>
      <w:r>
        <w:tab/>
        <w:t>(4)</w:t>
      </w:r>
      <w:r>
        <w:tab/>
        <w:t>In section 27(2)(bb)(i) delete “medical radiation technologist” and insert:</w:t>
      </w:r>
    </w:p>
    <w:p>
      <w:pPr>
        <w:pStyle w:val="BlankOpen"/>
      </w:pPr>
    </w:p>
    <w:p>
      <w:pPr>
        <w:pStyle w:val="nzSubsection"/>
      </w:pPr>
      <w:r>
        <w:tab/>
      </w:r>
      <w:r>
        <w:tab/>
        <w:t>medical radiation practitioner</w:t>
      </w:r>
    </w:p>
    <w:p>
      <w:pPr>
        <w:pStyle w:val="BlankClose"/>
      </w:pPr>
    </w:p>
    <w:p>
      <w:pPr>
        <w:pStyle w:val="nzHeading5"/>
      </w:pPr>
      <w:bookmarkStart w:id="372" w:name="_Toc270349236"/>
      <w:r>
        <w:rPr>
          <w:rStyle w:val="CharSectno"/>
        </w:rPr>
        <w:t>148</w:t>
      </w:r>
      <w:r>
        <w:t>.</w:t>
      </w:r>
      <w:r>
        <w:tab/>
        <w:t>Section 37A inserted</w:t>
      </w:r>
      <w:bookmarkEnd w:id="372"/>
    </w:p>
    <w:p>
      <w:pPr>
        <w:pStyle w:val="nzSubsection"/>
      </w:pPr>
      <w:r>
        <w:tab/>
      </w:r>
      <w:r>
        <w:tab/>
        <w:t>After section 36 insert:</w:t>
      </w:r>
    </w:p>
    <w:p>
      <w:pPr>
        <w:pStyle w:val="BlankOpen"/>
      </w:pPr>
    </w:p>
    <w:p>
      <w:pPr>
        <w:pStyle w:val="nzHeading5"/>
      </w:pPr>
      <w:bookmarkStart w:id="373" w:name="_Toc270349237"/>
      <w:r>
        <w:t>37A.</w:t>
      </w:r>
      <w:r>
        <w:tab/>
        <w:t xml:space="preserve">Conflict or inconsistency between conditions imposed under </w:t>
      </w:r>
      <w:r>
        <w:rPr>
          <w:i/>
          <w:iCs/>
        </w:rPr>
        <w:t>Health Practitioner Regulation National Law (Western Australia)</w:t>
      </w:r>
      <w:r>
        <w:t xml:space="preserve"> and this Act</w:t>
      </w:r>
      <w:bookmarkEnd w:id="373"/>
    </w:p>
    <w:p>
      <w:pPr>
        <w:pStyle w:val="nzSubsection"/>
      </w:pPr>
      <w:r>
        <w:tab/>
        <w:t>(1)</w:t>
      </w:r>
      <w:r>
        <w:tab/>
        <w:t xml:space="preserve">If there is any conflict or inconsistency between a condition — </w:t>
      </w:r>
    </w:p>
    <w:p>
      <w:pPr>
        <w:pStyle w:val="nzIndenta"/>
      </w:pPr>
      <w:r>
        <w:tab/>
        <w:t>(a)</w:t>
      </w:r>
      <w:r>
        <w:tab/>
        <w:t xml:space="preserve">imposed on a medical radiation practitioner under the </w:t>
      </w:r>
      <w:r>
        <w:rPr>
          <w:i/>
          <w:iCs/>
        </w:rPr>
        <w:t>Health Practitioner Regulation National Law (Western Australia)</w:t>
      </w:r>
      <w:r>
        <w:t>; and</w:t>
      </w:r>
    </w:p>
    <w:p>
      <w:pPr>
        <w:pStyle w:val="nzIndenta"/>
      </w:pPr>
      <w:r>
        <w:tab/>
        <w:t>(b)</w:t>
      </w:r>
      <w:r>
        <w:tab/>
        <w:t>imposed on a licence held by the medical radiation practitioner under this Act,</w:t>
      </w:r>
    </w:p>
    <w:p>
      <w:pPr>
        <w:pStyle w:val="nzSubsection"/>
      </w:pPr>
      <w:r>
        <w:tab/>
      </w:r>
      <w:r>
        <w:tab/>
        <w:t xml:space="preserve">then — </w:t>
      </w:r>
    </w:p>
    <w:p>
      <w:pPr>
        <w:pStyle w:val="nzIndenta"/>
      </w:pPr>
      <w:r>
        <w:tab/>
        <w:t>(c)</w:t>
      </w:r>
      <w:r>
        <w:tab/>
        <w:t xml:space="preserve">the condition imposed on the licence prevails (whether that condition was imposed before or after the condition imposed under the </w:t>
      </w:r>
      <w:r>
        <w:rPr>
          <w:i/>
          <w:iCs/>
        </w:rPr>
        <w:t>Health Practitioner Regulation National Law (Western Australia)</w:t>
      </w:r>
      <w:r>
        <w:t>); and</w:t>
      </w:r>
    </w:p>
    <w:p>
      <w:pPr>
        <w:pStyle w:val="nzIndenta"/>
      </w:pPr>
      <w:r>
        <w:tab/>
        <w:t>(d)</w:t>
      </w:r>
      <w:r>
        <w:tab/>
        <w:t xml:space="preserve">the condition imposed under the </w:t>
      </w:r>
      <w:r>
        <w:rPr>
          <w:i/>
          <w:iCs/>
        </w:rPr>
        <w:t>Health Practitioner Regulation National Law (Western Australia)</w:t>
      </w:r>
      <w:r>
        <w:t xml:space="preserve"> is of no effect to the extent of the conflict or inconsistency.</w:t>
      </w:r>
    </w:p>
    <w:p>
      <w:pPr>
        <w:pStyle w:val="nzSubsection"/>
      </w:pPr>
      <w:r>
        <w:tab/>
        <w:t>(2)</w:t>
      </w:r>
      <w:r>
        <w:tab/>
        <w:t xml:space="preserve">For the purposes of subsection (1), a conflict or inconsistency does not exist merely because the condition imposed under the </w:t>
      </w:r>
      <w:r>
        <w:rPr>
          <w:i/>
          <w:iCs/>
        </w:rPr>
        <w:t>Health Practitioner Regulation National Law (Western Australia)</w:t>
      </w:r>
      <w:r>
        <w:t xml:space="preserve"> imposes more stringent measures or a higher duty or standard in respect of a particular matter or aspect of practice.</w:t>
      </w:r>
    </w:p>
    <w:p>
      <w:pPr>
        <w:pStyle w:val="BlankClose"/>
      </w:pPr>
    </w:p>
    <w:p>
      <w:pPr>
        <w:pStyle w:val="nzHeading5"/>
      </w:pPr>
      <w:bookmarkStart w:id="374" w:name="_Toc270349238"/>
      <w:r>
        <w:rPr>
          <w:rStyle w:val="CharSectno"/>
        </w:rPr>
        <w:t>149</w:t>
      </w:r>
      <w:r>
        <w:t>.</w:t>
      </w:r>
      <w:r>
        <w:tab/>
        <w:t>Section 40A inserted</w:t>
      </w:r>
      <w:bookmarkEnd w:id="374"/>
    </w:p>
    <w:p>
      <w:pPr>
        <w:pStyle w:val="nzSubsection"/>
      </w:pPr>
      <w:r>
        <w:tab/>
      </w:r>
      <w:r>
        <w:tab/>
        <w:t>After section 39 insert:</w:t>
      </w:r>
    </w:p>
    <w:p>
      <w:pPr>
        <w:pStyle w:val="BlankOpen"/>
      </w:pPr>
    </w:p>
    <w:p>
      <w:pPr>
        <w:pStyle w:val="nzHeading5"/>
      </w:pPr>
      <w:bookmarkStart w:id="375" w:name="_Toc270349239"/>
      <w:r>
        <w:t>40A.</w:t>
      </w:r>
      <w:r>
        <w:tab/>
        <w:t>Notifications to Radiological Council</w:t>
      </w:r>
      <w:bookmarkEnd w:id="375"/>
    </w:p>
    <w:p>
      <w:pPr>
        <w:pStyle w:val="nzSubsection"/>
      </w:pPr>
      <w:r>
        <w:tab/>
        <w:t>(1)</w:t>
      </w:r>
      <w:r>
        <w:tab/>
        <w:t xml:space="preserve">The Board is to give the Radiological Council written advice of the following matters — </w:t>
      </w:r>
    </w:p>
    <w:p>
      <w:pPr>
        <w:pStyle w:val="nzIndenta"/>
      </w:pPr>
      <w:r>
        <w:tab/>
        <w:t>(a)</w:t>
      </w:r>
      <w:r>
        <w:tab/>
        <w:t xml:space="preserve">the cancellation of the registration of a medical radiation practitioner and the removal of that person’s name from the register under the </w:t>
      </w:r>
      <w:r>
        <w:rPr>
          <w:i/>
        </w:rPr>
        <w:t>Health Practitioner Regulation National Law (Western Australia)</w:t>
      </w:r>
      <w:r>
        <w:t>;</w:t>
      </w:r>
    </w:p>
    <w:p>
      <w:pPr>
        <w:pStyle w:val="nz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nzIndenta"/>
      </w:pPr>
      <w:r>
        <w:tab/>
        <w:t>(c)</w:t>
      </w:r>
      <w:r>
        <w:tab/>
        <w:t xml:space="preserve">the suspension or revocation of the suspension from the practice of medical radiation technology under the </w:t>
      </w:r>
      <w:r>
        <w:rPr>
          <w:i/>
        </w:rPr>
        <w:t>Health Practitioner Regulation National Law (Western Australia)</w:t>
      </w:r>
      <w:r>
        <w:t xml:space="preserve"> of a medical radiation practitioner, whether generally or in relation to any specified area, circumstances or service;</w:t>
      </w:r>
    </w:p>
    <w:p>
      <w:pPr>
        <w:pStyle w:val="nzIndenta"/>
      </w:pPr>
      <w:r>
        <w:tab/>
        <w:t>(d)</w:t>
      </w:r>
      <w:r>
        <w:tab/>
        <w:t xml:space="preserve">the imposition, variation or revocation of any condition on registration or the practice of medical radiation technology under the </w:t>
      </w:r>
      <w:r>
        <w:rPr>
          <w:i/>
        </w:rPr>
        <w:t>Health Practitioner Regulation National Law (Western Australia)</w:t>
      </w:r>
      <w:r>
        <w:t xml:space="preserve"> of a medical radiation practitioner;</w:t>
      </w:r>
    </w:p>
    <w:p>
      <w:pPr>
        <w:pStyle w:val="nzIndenta"/>
      </w:pPr>
      <w:r>
        <w:tab/>
        <w:t>(e)</w:t>
      </w:r>
      <w:r>
        <w:tab/>
        <w:t xml:space="preserve">the referral of a matter relating to a medical radiation practitioner to the responsible tribunal under the </w:t>
      </w:r>
      <w:r>
        <w:rPr>
          <w:i/>
        </w:rPr>
        <w:t>Health Practitioner Regulation National Law (Western Australia)</w:t>
      </w:r>
      <w:r>
        <w:t>.</w:t>
      </w:r>
    </w:p>
    <w:p>
      <w:pPr>
        <w:pStyle w:val="nzSubsection"/>
      </w:pPr>
      <w:r>
        <w:tab/>
        <w:t>(2)</w:t>
      </w:r>
      <w:r>
        <w:tab/>
        <w:t>The advice is to be given no later than 14 days after the occurrence of the matter referred to in that subsection.</w:t>
      </w:r>
    </w:p>
    <w:p>
      <w:pPr>
        <w:pStyle w:val="BlankClose"/>
      </w:pPr>
    </w:p>
    <w:p>
      <w:pPr>
        <w:pStyle w:val="BlankClose"/>
      </w:pP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76" w:name="_Toc273538032"/>
      <w:bookmarkStart w:id="377" w:name="_Toc273964959"/>
      <w:bookmarkStart w:id="378" w:name="_Toc273971506"/>
      <w:r>
        <w:rPr>
          <w:rStyle w:val="CharSectno"/>
        </w:rPr>
        <w:t>89</w:t>
      </w:r>
      <w:r>
        <w:t>.</w:t>
      </w:r>
      <w:r>
        <w:tab/>
        <w:t>Various references to “Minister for Public Sector Management” amended</w:t>
      </w:r>
      <w:bookmarkEnd w:id="376"/>
      <w:bookmarkEnd w:id="377"/>
      <w:bookmarkEnd w:id="37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Radiation Safety Act 1975</w:t>
            </w:r>
          </w:p>
        </w:tc>
        <w:tc>
          <w:tcPr>
            <w:tcW w:w="3401" w:type="dxa"/>
          </w:tcPr>
          <w:p>
            <w:pPr>
              <w:pStyle w:val="TableAm"/>
              <w:rPr>
                <w:sz w:val="20"/>
              </w:rPr>
            </w:pPr>
            <w:r>
              <w:rPr>
                <w:sz w:val="20"/>
              </w:rPr>
              <w:t>s. 20</w:t>
            </w:r>
          </w:p>
        </w:tc>
      </w:tr>
    </w:tbl>
    <w:p>
      <w:pPr>
        <w:pStyle w:val="BlankClose"/>
      </w:pPr>
    </w:p>
    <w:p>
      <w:pPr>
        <w:sectPr>
          <w:headerReference w:type="even" r:id="rId22"/>
          <w:headerReference w:type="default" r:id="rId23"/>
          <w:pgSz w:w="11906" w:h="16838" w:code="9"/>
          <w:pgMar w:top="2376" w:right="2404" w:bottom="3544" w:left="2404" w:header="720" w:footer="3380" w:gutter="0"/>
          <w:cols w:space="720"/>
          <w:noEndnote/>
          <w:docGrid w:linePitch="326"/>
        </w:sectPr>
      </w:pPr>
    </w:p>
    <w:p/>
    <w:sectPr>
      <w:headerReference w:type="even" r:id="rId24"/>
      <w:headerReference w:type="default" r:id="rId2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13977</Words>
  <Characters>68770</Characters>
  <Application>Microsoft Office Word</Application>
  <DocSecurity>0</DocSecurity>
  <Lines>1809</Lines>
  <Paragraphs>795</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81952</CharactersWithSpaces>
  <SharedDoc>false</SharedDoc>
  <HLinks>
    <vt:vector size="12" baseType="variant">
      <vt:variant>
        <vt:i4>5439608</vt:i4>
      </vt:variant>
      <vt:variant>
        <vt:i4>79156</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03-d0-01 - 03-e0-01</dc:title>
  <dc:subject/>
  <dc:creator/>
  <cp:keywords/>
  <dc:description/>
  <cp:lastModifiedBy>svcMRProcess</cp:lastModifiedBy>
  <cp:revision>2</cp:revision>
  <cp:lastPrinted>2009-11-03T00:33:00Z</cp:lastPrinted>
  <dcterms:created xsi:type="dcterms:W3CDTF">2015-11-05T15:23:00Z</dcterms:created>
  <dcterms:modified xsi:type="dcterms:W3CDTF">2015-11-05T15:23:00Z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18 Oct 2010</vt:lpwstr>
  </property>
  <property fmtid="{D5CDD505-2E9C-101B-9397-08002B2CF9AE}" pid="9" name="ToSuffix">
    <vt:lpwstr>03-e0-01</vt:lpwstr>
  </property>
  <property fmtid="{D5CDD505-2E9C-101B-9397-08002B2CF9AE}" pid="10" name="ToAsAtDate">
    <vt:lpwstr>05 Nov 2010</vt:lpwstr>
  </property>
</Properties>
</file>