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(Monday and Wednesday Lotto) Rules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Mar 2010</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20 Nov 2010</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Lotteries Commission Act 1990</w:t>
      </w:r>
    </w:p>
    <w:p>
      <w:pPr>
        <w:pStyle w:val="NameofActReg"/>
      </w:pPr>
      <w:r>
        <w:t>Lotteries Commission (Monday and Wednesday Lotto) Rules 2006</w:t>
      </w:r>
    </w:p>
    <w:p>
      <w:pPr>
        <w:pStyle w:val="Heading2"/>
        <w:keepNext w:val="0"/>
        <w:pageBreakBefore w:val="0"/>
        <w:spacing w:before="240"/>
      </w:pPr>
      <w:bookmarkStart w:id="0" w:name="_Toc129660681"/>
      <w:bookmarkStart w:id="1" w:name="_Toc129660729"/>
      <w:bookmarkStart w:id="2" w:name="_Toc129669277"/>
      <w:bookmarkStart w:id="3" w:name="_Toc129669333"/>
      <w:bookmarkStart w:id="4" w:name="_Toc129679016"/>
      <w:bookmarkStart w:id="5" w:name="_Toc129679127"/>
      <w:bookmarkStart w:id="6" w:name="_Toc129679175"/>
      <w:bookmarkStart w:id="7" w:name="_Toc130782437"/>
      <w:bookmarkStart w:id="8" w:name="_Toc130782646"/>
      <w:bookmarkStart w:id="9" w:name="_Toc130782694"/>
      <w:bookmarkStart w:id="10" w:name="_Toc133379704"/>
      <w:bookmarkStart w:id="11" w:name="_Toc133385299"/>
      <w:bookmarkStart w:id="12" w:name="_Toc147288387"/>
      <w:bookmarkStart w:id="13" w:name="_Toc170549104"/>
      <w:bookmarkStart w:id="14" w:name="_Toc170620857"/>
      <w:bookmarkStart w:id="15" w:name="_Toc170621009"/>
      <w:bookmarkStart w:id="16" w:name="_Toc200510428"/>
      <w:bookmarkStart w:id="17" w:name="_Toc210787525"/>
      <w:bookmarkStart w:id="18" w:name="_Toc222820785"/>
      <w:bookmarkStart w:id="19" w:name="_Toc222889144"/>
      <w:bookmarkStart w:id="20" w:name="_Toc224108769"/>
      <w:bookmarkStart w:id="21" w:name="_Toc256152898"/>
      <w:bookmarkStart w:id="22" w:name="_Toc277943269"/>
      <w:r>
        <w:rPr>
          <w:rStyle w:val="CharPartNo"/>
        </w:rPr>
        <w:t>P</w:t>
      </w:r>
      <w:bookmarkStart w:id="23" w:name="_GoBack"/>
      <w:bookmarkEnd w:id="23"/>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pPr>
      <w:bookmarkStart w:id="24" w:name="_Toc423332722"/>
      <w:bookmarkStart w:id="25" w:name="_Toc425219441"/>
      <w:bookmarkStart w:id="26" w:name="_Toc426249308"/>
      <w:bookmarkStart w:id="27" w:name="_Toc449924704"/>
      <w:bookmarkStart w:id="28" w:name="_Toc449947722"/>
      <w:bookmarkStart w:id="29" w:name="_Toc454185713"/>
      <w:bookmarkStart w:id="30" w:name="_Toc515958686"/>
      <w:bookmarkStart w:id="31" w:name="_Toc130782695"/>
      <w:bookmarkStart w:id="32" w:name="_Toc277943270"/>
      <w:bookmarkStart w:id="33" w:name="_Toc256152899"/>
      <w:r>
        <w:rPr>
          <w:rStyle w:val="CharSectno"/>
        </w:rPr>
        <w:t>1</w:t>
      </w:r>
      <w:r>
        <w:t>.</w:t>
      </w:r>
      <w:r>
        <w:tab/>
        <w:t>Citation</w:t>
      </w:r>
      <w:bookmarkEnd w:id="24"/>
      <w:bookmarkEnd w:id="25"/>
      <w:bookmarkEnd w:id="26"/>
      <w:bookmarkEnd w:id="27"/>
      <w:bookmarkEnd w:id="28"/>
      <w:bookmarkEnd w:id="29"/>
      <w:bookmarkEnd w:id="30"/>
      <w:bookmarkEnd w:id="31"/>
      <w:bookmarkEnd w:id="32"/>
      <w:bookmarkEnd w:id="33"/>
    </w:p>
    <w:p>
      <w:pPr>
        <w:pStyle w:val="Subsection"/>
        <w:rPr>
          <w:i/>
        </w:rPr>
      </w:pPr>
      <w:r>
        <w:tab/>
      </w:r>
      <w:r>
        <w:tab/>
      </w:r>
      <w:r>
        <w:rPr>
          <w:spacing w:val="-2"/>
        </w:rPr>
        <w:t>These</w:t>
      </w:r>
      <w:r>
        <w:t xml:space="preserve"> </w:t>
      </w:r>
      <w:r>
        <w:rPr>
          <w:spacing w:val="-2"/>
        </w:rPr>
        <w:t>rules</w:t>
      </w:r>
      <w:r>
        <w:t xml:space="preserve"> are the </w:t>
      </w:r>
      <w:r>
        <w:rPr>
          <w:i/>
        </w:rPr>
        <w:t>Lotteries Commission (Monday and Wednesday Lotto) Rules 2006</w:t>
      </w:r>
      <w:r>
        <w:rPr>
          <w:iCs/>
          <w:vertAlign w:val="superscript"/>
        </w:rPr>
        <w:t> 1</w:t>
      </w:r>
      <w:r>
        <w:t>.</w:t>
      </w:r>
    </w:p>
    <w:p>
      <w:pPr>
        <w:pStyle w:val="Heading5"/>
        <w:rPr>
          <w:spacing w:val="-2"/>
        </w:rPr>
      </w:pPr>
      <w:bookmarkStart w:id="34" w:name="_Toc423332723"/>
      <w:bookmarkStart w:id="35" w:name="_Toc425219442"/>
      <w:bookmarkStart w:id="36" w:name="_Toc426249309"/>
      <w:bookmarkStart w:id="37" w:name="_Toc449924705"/>
      <w:bookmarkStart w:id="38" w:name="_Toc449947723"/>
      <w:bookmarkStart w:id="39" w:name="_Toc454185714"/>
      <w:bookmarkStart w:id="40" w:name="_Toc515958687"/>
      <w:bookmarkStart w:id="41" w:name="_Toc130782696"/>
      <w:bookmarkStart w:id="42" w:name="_Toc277943271"/>
      <w:bookmarkStart w:id="43" w:name="_Toc256152900"/>
      <w:r>
        <w:rPr>
          <w:rStyle w:val="CharSectno"/>
        </w:rPr>
        <w:t>2</w:t>
      </w:r>
      <w:r>
        <w:rPr>
          <w:spacing w:val="-2"/>
        </w:rPr>
        <w:t>.</w:t>
      </w:r>
      <w:r>
        <w:rPr>
          <w:spacing w:val="-2"/>
        </w:rPr>
        <w:tab/>
        <w:t>Commencement</w:t>
      </w:r>
      <w:bookmarkEnd w:id="34"/>
      <w:bookmarkEnd w:id="35"/>
      <w:bookmarkEnd w:id="36"/>
      <w:bookmarkEnd w:id="37"/>
      <w:bookmarkEnd w:id="38"/>
      <w:bookmarkEnd w:id="39"/>
      <w:bookmarkEnd w:id="40"/>
      <w:bookmarkEnd w:id="41"/>
      <w:bookmarkEnd w:id="42"/>
      <w:bookmarkEnd w:id="43"/>
    </w:p>
    <w:p>
      <w:pPr>
        <w:pStyle w:val="Subsection"/>
        <w:rPr>
          <w:snapToGrid w:val="0"/>
        </w:rPr>
      </w:pPr>
      <w:r>
        <w:rPr>
          <w:snapToGrid w:val="0"/>
        </w:rPr>
        <w:tab/>
      </w:r>
      <w:r>
        <w:rPr>
          <w:snapToGrid w:val="0"/>
        </w:rPr>
        <w:tab/>
        <w:t>These rules come into operation on 27 April 2006 and apply to —</w:t>
      </w:r>
    </w:p>
    <w:p>
      <w:pPr>
        <w:pStyle w:val="Indenta"/>
        <w:rPr>
          <w:snapToGrid w:val="0"/>
        </w:rPr>
      </w:pPr>
      <w:r>
        <w:rPr>
          <w:snapToGrid w:val="0"/>
        </w:rPr>
        <w:tab/>
        <w:t>(a)</w:t>
      </w:r>
      <w:r>
        <w:rPr>
          <w:snapToGrid w:val="0"/>
        </w:rPr>
        <w:tab/>
        <w:t>the Monday lotto draws conducted on or after 1 May 2006 (</w:t>
      </w:r>
      <w:r>
        <w:rPr>
          <w:i/>
          <w:iCs/>
          <w:snapToGrid w:val="0"/>
        </w:rPr>
        <w:t>draw No. 2508</w:t>
      </w:r>
      <w:r>
        <w:rPr>
          <w:snapToGrid w:val="0"/>
        </w:rPr>
        <w:t>); and</w:t>
      </w:r>
    </w:p>
    <w:p>
      <w:pPr>
        <w:pStyle w:val="Indenta"/>
        <w:rPr>
          <w:snapToGrid w:val="0"/>
        </w:rPr>
      </w:pPr>
      <w:r>
        <w:tab/>
        <w:t>(b)</w:t>
      </w:r>
      <w:r>
        <w:tab/>
      </w:r>
      <w:r>
        <w:rPr>
          <w:snapToGrid w:val="0"/>
        </w:rPr>
        <w:t>the Wednesday lotto draws conducted on or after 3 May 2006 (</w:t>
      </w:r>
      <w:r>
        <w:rPr>
          <w:i/>
          <w:iCs/>
          <w:snapToGrid w:val="0"/>
        </w:rPr>
        <w:t>draw No. 2509</w:t>
      </w:r>
      <w:r>
        <w:rPr>
          <w:snapToGrid w:val="0"/>
        </w:rPr>
        <w:t>).</w:t>
      </w:r>
    </w:p>
    <w:p>
      <w:pPr>
        <w:pStyle w:val="Heading5"/>
        <w:rPr>
          <w:snapToGrid w:val="0"/>
        </w:rPr>
      </w:pPr>
      <w:bookmarkStart w:id="44" w:name="_Toc130782697"/>
      <w:bookmarkStart w:id="45" w:name="_Toc277943272"/>
      <w:bookmarkStart w:id="46" w:name="_Toc256152901"/>
      <w:r>
        <w:rPr>
          <w:rStyle w:val="CharSectno"/>
        </w:rPr>
        <w:t>3</w:t>
      </w:r>
      <w:r>
        <w:t>.</w:t>
      </w:r>
      <w:r>
        <w:tab/>
      </w:r>
      <w:bookmarkEnd w:id="44"/>
      <w:r>
        <w:rPr>
          <w:snapToGrid w:val="0"/>
        </w:rPr>
        <w:t>Terms used</w:t>
      </w:r>
      <w:bookmarkEnd w:id="45"/>
      <w:bookmarkEnd w:id="46"/>
    </w:p>
    <w:p>
      <w:pPr>
        <w:pStyle w:val="Subsection"/>
        <w:rPr>
          <w:snapToGrid w:val="0"/>
        </w:rPr>
      </w:pPr>
      <w:r>
        <w:rPr>
          <w:snapToGrid w:val="0"/>
        </w:rPr>
        <w:tab/>
        <w:t>(1)</w:t>
      </w:r>
      <w:r>
        <w:rPr>
          <w:snapToGrid w:val="0"/>
        </w:rPr>
        <w:tab/>
        <w:t>In these rules —</w:t>
      </w:r>
    </w:p>
    <w:p>
      <w:pPr>
        <w:pStyle w:val="Defstart"/>
      </w:pPr>
      <w:r>
        <w:rPr>
          <w:b/>
        </w:rPr>
        <w:tab/>
      </w:r>
      <w:r>
        <w:rPr>
          <w:rStyle w:val="CharDefText"/>
        </w:rPr>
        <w:t>agent</w:t>
      </w:r>
      <w:r>
        <w:t xml:space="preserve"> means a person authorised by the Commission to process playslips;</w:t>
      </w:r>
    </w:p>
    <w:p>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 8 or 9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r>
      <w:r>
        <w:rPr>
          <w:rStyle w:val="CharDefText"/>
        </w:rPr>
        <w:t>game board</w:t>
      </w:r>
      <w:r>
        <w:t xml:space="preserve"> means a portion of a playslip for a game of lotto containing the numbers 1 to 45;</w:t>
      </w:r>
    </w:p>
    <w:p>
      <w:pPr>
        <w:pStyle w:val="Defstart"/>
        <w:rPr>
          <w:ins w:id="47" w:author="Master Repository Process" w:date="2021-08-29T02:23:00Z"/>
        </w:rPr>
      </w:pPr>
      <w:ins w:id="48" w:author="Master Repository Process" w:date="2021-08-29T02:23:00Z">
        <w:r>
          <w:tab/>
        </w:r>
        <w:r>
          <w:rPr>
            <w:rStyle w:val="CharDefText"/>
          </w:rPr>
          <w:t>lotto draw</w:t>
        </w:r>
        <w:r>
          <w:t xml:space="preserve"> means Monday lotto draw or Wednesday lotto draw;</w:t>
        </w:r>
      </w:ins>
    </w:p>
    <w:p>
      <w:pPr>
        <w:pStyle w:val="Defstart"/>
      </w:pPr>
      <w:r>
        <w:rPr>
          <w:b/>
        </w:rPr>
        <w:tab/>
      </w:r>
      <w:r>
        <w:rPr>
          <w:rStyle w:val="CharDefText"/>
        </w:rPr>
        <w:t>Monday and Wednesday Lotto Bloc</w:t>
      </w:r>
      <w:r>
        <w:t xml:space="preserve"> means a group made up of the Commission and the designated authorities for the States of South Australia, Victoria and New South Wales;</w:t>
      </w:r>
    </w:p>
    <w:p>
      <w:pPr>
        <w:pStyle w:val="Defstart"/>
      </w:pPr>
      <w:r>
        <w:rPr>
          <w:b/>
        </w:rPr>
        <w:tab/>
      </w:r>
      <w:r>
        <w:rPr>
          <w:rStyle w:val="CharDefText"/>
        </w:rPr>
        <w:t>Monday lotto</w:t>
      </w:r>
      <w:r>
        <w:t xml:space="preserve"> means a game of lotto drawn on a Monday conducted in accordance with these rules;</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prize fund</w:t>
      </w:r>
      <w:r>
        <w:t xml:space="preserve"> means the fund maintained by the Monday and Wednesday Lotto Bloc in accordance with the agreement referred to in rule 18(1) and consisting of the prize pool and the prize reserve fund;</w:t>
      </w:r>
    </w:p>
    <w:p>
      <w:pPr>
        <w:pStyle w:val="Defstart"/>
      </w:pPr>
      <w: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has the meaning given in the </w:t>
      </w:r>
      <w:r>
        <w:rPr>
          <w:i/>
          <w:iCs/>
        </w:rPr>
        <w:t>Lotteries Commission (Saturday Lotto) Rules 1996</w:t>
      </w:r>
      <w:r>
        <w:t>;</w:t>
      </w:r>
    </w:p>
    <w:p>
      <w:pPr>
        <w:pStyle w:val="Defstart"/>
      </w:pPr>
      <w:r>
        <w:rPr>
          <w:b/>
        </w:rPr>
        <w:tab/>
      </w:r>
      <w:r>
        <w:rPr>
          <w:rStyle w:val="CharDefText"/>
        </w:rPr>
        <w:t>Saturday lotto draw</w:t>
      </w:r>
      <w:r>
        <w:t xml:space="preserve"> has the meaning given in the </w:t>
      </w:r>
      <w:r>
        <w:rPr>
          <w:i/>
          <w:iCs/>
        </w:rPr>
        <w:t>Lotteries Commission (Saturday Lotto) Rules 1996</w:t>
      </w:r>
      <w:r>
        <w:t>;</w:t>
      </w:r>
    </w:p>
    <w:p>
      <w:pPr>
        <w:pStyle w:val="Defstart"/>
      </w:pPr>
      <w:r>
        <w:rPr>
          <w:b/>
        </w:rP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w:t>
      </w:r>
    </w:p>
    <w:p>
      <w:pPr>
        <w:pStyle w:val="Defstart"/>
      </w:pPr>
      <w:r>
        <w:rPr>
          <w:b/>
        </w:rPr>
        <w:tab/>
      </w:r>
      <w:r>
        <w:rPr>
          <w:rStyle w:val="CharDefText"/>
        </w:rPr>
        <w:t>total prize pool</w:t>
      </w:r>
      <w:r>
        <w:t xml:space="preserve"> means the prize pool for a lotto draw, plus any carry</w:t>
      </w:r>
      <w:r>
        <w:noBreakHyphen/>
        <w:t>over amount from a previous Monday lotto draw or Wednesday lotto draw and any amount that has been taken from the prize reserve fund under rule 25 to increase the division 1 prize pool to a guaranteed minimum amount;</w:t>
      </w:r>
    </w:p>
    <w:p>
      <w:pPr>
        <w:pStyle w:val="Defstart"/>
      </w:pPr>
      <w:r>
        <w:rPr>
          <w:b/>
        </w:rPr>
        <w:tab/>
      </w:r>
      <w:r>
        <w:rPr>
          <w:rStyle w:val="CharDefText"/>
        </w:rPr>
        <w:t>Wednesday lotto</w:t>
      </w:r>
      <w:r>
        <w:t xml:space="preserve"> means a game of lotto drawn on a Wednesday conducted in accordance with these rules.</w:t>
      </w:r>
    </w:p>
    <w:p>
      <w:pPr>
        <w:pStyle w:val="Subsection"/>
      </w:pPr>
      <w:r>
        <w:tab/>
        <w:t>(2)</w:t>
      </w:r>
      <w:r>
        <w:tab/>
        <w:t>In these rules, in relation to Monday lotto —</w:t>
      </w:r>
    </w:p>
    <w:p>
      <w:pPr>
        <w:pStyle w:val="Defstart"/>
      </w:pPr>
      <w:r>
        <w:rPr>
          <w:b/>
        </w:rPr>
        <w:tab/>
      </w:r>
      <w:r>
        <w:rPr>
          <w:rStyle w:val="CharDefText"/>
        </w:rPr>
        <w:t>lotto</w:t>
      </w:r>
      <w:r>
        <w:t xml:space="preserve"> means a game of lotto drawn on a Monday conducted in accordance with these rules;</w:t>
      </w:r>
    </w:p>
    <w:p>
      <w:pPr>
        <w:pStyle w:val="Defstart"/>
      </w:pPr>
      <w:r>
        <w:rPr>
          <w:b/>
        </w:rPr>
        <w:tab/>
      </w:r>
      <w:r>
        <w:rPr>
          <w:rStyle w:val="CharDefText"/>
        </w:rPr>
        <w:t>lotto draw</w:t>
      </w:r>
      <w:r>
        <w:t xml:space="preserve"> means a lotto draw conducted in accordance with rule 19, and supervised in accordance with rule 16;</w:t>
      </w:r>
    </w:p>
    <w:p>
      <w:pPr>
        <w:pStyle w:val="Defstart"/>
      </w:pPr>
      <w:r>
        <w:rPr>
          <w:b/>
        </w:rPr>
        <w:tab/>
      </w:r>
      <w:r>
        <w:rPr>
          <w:rStyle w:val="CharDefText"/>
        </w:rPr>
        <w:t>payout period</w:t>
      </w:r>
      <w:r>
        <w:t xml:space="preserve"> means the period from the Tuesday after the Monday lotto draw to the close of business on the day 12 months after that draw;</w:t>
      </w:r>
    </w:p>
    <w:p>
      <w:pPr>
        <w:pStyle w:val="Defstart"/>
      </w:pPr>
      <w:r>
        <w:rPr>
          <w:b/>
        </w:rPr>
        <w:tab/>
      </w:r>
      <w:r>
        <w:rPr>
          <w:rStyle w:val="CharDefText"/>
        </w:rPr>
        <w:t>prize pool</w:t>
      </w:r>
      <w:r>
        <w:t xml:space="preserve"> means the prize pool for Monday lotto referred to in rule 18(2)(a);</w:t>
      </w:r>
    </w:p>
    <w:p>
      <w:pPr>
        <w:pStyle w:val="Defstart"/>
      </w:pPr>
      <w:r>
        <w:rPr>
          <w:b/>
        </w:rPr>
        <w:tab/>
      </w:r>
      <w:r>
        <w:rPr>
          <w:rStyle w:val="CharDefText"/>
        </w:rPr>
        <w:t>selling period</w:t>
      </w:r>
      <w:r>
        <w:t xml:space="preserve"> means the period terminating at 6.00 p.m. on the day on which the Monday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Monday lotto draw;</w:t>
      </w:r>
    </w:p>
    <w:p>
      <w:pPr>
        <w:pStyle w:val="Defstart"/>
      </w:pPr>
      <w:r>
        <w:rPr>
          <w:b/>
        </w:rPr>
        <w:tab/>
      </w:r>
      <w:r>
        <w:rPr>
          <w:rStyle w:val="CharDefText"/>
        </w:rPr>
        <w:t>validation period</w:t>
      </w:r>
      <w:r>
        <w:t xml:space="preserve"> means the period of time from a Monday lotto draw to the close of business —</w:t>
      </w:r>
    </w:p>
    <w:p>
      <w:pPr>
        <w:pStyle w:val="Defpara"/>
      </w:pPr>
      <w:r>
        <w:tab/>
        <w:t>(a)</w:t>
      </w:r>
      <w:r>
        <w:tab/>
        <w:t>on the second Monday after that draw; or</w:t>
      </w:r>
    </w:p>
    <w:p>
      <w:pPr>
        <w:pStyle w:val="Defpara"/>
      </w:pPr>
      <w:r>
        <w:tab/>
        <w:t>(b)</w:t>
      </w:r>
      <w:r>
        <w:tab/>
        <w:t>if that Monday is a public holiday, on the preceding business day before that Monday;</w:t>
      </w:r>
    </w:p>
    <w:p>
      <w:pPr>
        <w:pStyle w:val="Defstart"/>
      </w:pPr>
      <w:r>
        <w:rPr>
          <w:b/>
        </w:rPr>
        <w:tab/>
      </w:r>
      <w:r>
        <w:rPr>
          <w:rStyle w:val="CharDefText"/>
        </w:rPr>
        <w:t>winning number</w:t>
      </w:r>
      <w:r>
        <w:t xml:space="preserve"> means any one of the first 6 numbers drawn from the barrel in a Monday lotto draw.</w:t>
      </w:r>
    </w:p>
    <w:p>
      <w:pPr>
        <w:pStyle w:val="Subsection"/>
      </w:pPr>
      <w:r>
        <w:tab/>
      </w:r>
      <w:r>
        <w:rPr>
          <w:snapToGrid w:val="0"/>
        </w:rPr>
        <w:t>(3)</w:t>
      </w:r>
      <w:r>
        <w:tab/>
        <w:t>In these rules, in relation to Wednesday lotto —</w:t>
      </w:r>
    </w:p>
    <w:p>
      <w:pPr>
        <w:pStyle w:val="Defstart"/>
      </w:pPr>
      <w:r>
        <w:rPr>
          <w:b/>
        </w:rPr>
        <w:tab/>
      </w:r>
      <w:r>
        <w:rPr>
          <w:rStyle w:val="CharDefText"/>
        </w:rPr>
        <w:t>lotto</w:t>
      </w:r>
      <w:r>
        <w:t xml:space="preserve"> means a game of lotto drawn on a Wednesday conducted in accordance with these rules;</w:t>
      </w:r>
    </w:p>
    <w:p>
      <w:pPr>
        <w:pStyle w:val="Defstart"/>
      </w:pPr>
      <w:r>
        <w:rPr>
          <w:b/>
        </w:rPr>
        <w:tab/>
      </w:r>
      <w:r>
        <w:rPr>
          <w:rStyle w:val="CharDefText"/>
        </w:rPr>
        <w:t>lotto draw</w:t>
      </w:r>
      <w:r>
        <w:t xml:space="preserve"> means a lotto draw conducted in accordance with rule 19, and supervised in accordance with rule 16;</w:t>
      </w:r>
    </w:p>
    <w:p>
      <w:pPr>
        <w:pStyle w:val="Defstart"/>
      </w:pPr>
      <w:r>
        <w:rPr>
          <w:b/>
        </w:rPr>
        <w:tab/>
      </w:r>
      <w:r>
        <w:rPr>
          <w:rStyle w:val="CharDefText"/>
        </w:rPr>
        <w:t>payout period</w:t>
      </w:r>
      <w:r>
        <w:t xml:space="preserve"> means the period from the Thursday after the Wednesday lotto draw to the close of business on the day 12 months after that draw;</w:t>
      </w:r>
    </w:p>
    <w:p>
      <w:pPr>
        <w:pStyle w:val="Defstart"/>
      </w:pPr>
      <w:r>
        <w:rPr>
          <w:b/>
        </w:rPr>
        <w:tab/>
      </w:r>
      <w:r>
        <w:rPr>
          <w:rStyle w:val="CharDefText"/>
        </w:rPr>
        <w:t>prize pool</w:t>
      </w:r>
      <w:r>
        <w:t xml:space="preserve"> means the prize pool for Wednesday lotto referred to in rule 18(2)(a);</w:t>
      </w:r>
    </w:p>
    <w:p>
      <w:pPr>
        <w:pStyle w:val="Defstart"/>
      </w:pPr>
      <w:r>
        <w:rPr>
          <w:b/>
        </w:rPr>
        <w:tab/>
      </w:r>
      <w:r>
        <w:rPr>
          <w:rStyle w:val="CharDefText"/>
        </w:rPr>
        <w:t>selling period</w:t>
      </w:r>
      <w:r>
        <w:t xml:space="preserve"> means the period terminating at 6.00 p.m. on the day on which the Wednesday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Wednesday lotto draw;</w:t>
      </w:r>
    </w:p>
    <w:p>
      <w:pPr>
        <w:pStyle w:val="Defstart"/>
      </w:pPr>
      <w:r>
        <w:rPr>
          <w:b/>
        </w:rPr>
        <w:tab/>
      </w:r>
      <w:r>
        <w:rPr>
          <w:rStyle w:val="CharDefText"/>
        </w:rPr>
        <w:t>validation period</w:t>
      </w:r>
      <w:r>
        <w:t xml:space="preserve"> means the period of time from a Wednesday lotto draw to the close of business —</w:t>
      </w:r>
    </w:p>
    <w:p>
      <w:pPr>
        <w:pStyle w:val="Defpara"/>
      </w:pPr>
      <w:r>
        <w:tab/>
        <w:t>(a)</w:t>
      </w:r>
      <w:r>
        <w:tab/>
        <w:t>on the second Wednesday after that draw; or</w:t>
      </w:r>
    </w:p>
    <w:p>
      <w:pPr>
        <w:pStyle w:val="Defpara"/>
      </w:pPr>
      <w:r>
        <w:tab/>
        <w:t>(b)</w:t>
      </w:r>
      <w:r>
        <w:tab/>
        <w:t>if that Wednesday is a public holiday, on the preceding business day before that Wednesday;</w:t>
      </w:r>
    </w:p>
    <w:p>
      <w:pPr>
        <w:pStyle w:val="Defstart"/>
      </w:pPr>
      <w:r>
        <w:rPr>
          <w:b/>
        </w:rPr>
        <w:tab/>
      </w:r>
      <w:r>
        <w:rPr>
          <w:rStyle w:val="CharDefText"/>
        </w:rPr>
        <w:t>winning number</w:t>
      </w:r>
      <w:r>
        <w:t xml:space="preserve"> means any one of the first 6 numbers drawn from the barrel in a Wednesday lotto draw.</w:t>
      </w:r>
    </w:p>
    <w:p>
      <w:pPr>
        <w:pStyle w:val="Footnotesection"/>
      </w:pPr>
      <w:r>
        <w:tab/>
        <w:t>[Rule 3 amended in Gazette 6 Jun 2008 p. 2299-301; 3 Oct 2008 p. 4495</w:t>
      </w:r>
      <w:ins w:id="49" w:author="Master Repository Process" w:date="2021-08-29T02:23:00Z">
        <w:r>
          <w:t>; 19 Nov 2010 p. 5721</w:t>
        </w:r>
      </w:ins>
      <w:r>
        <w:t>.]</w:t>
      </w:r>
    </w:p>
    <w:p>
      <w:pPr>
        <w:pStyle w:val="Heading2"/>
      </w:pPr>
      <w:bookmarkStart w:id="50" w:name="_Toc129660685"/>
      <w:bookmarkStart w:id="51" w:name="_Toc129660733"/>
      <w:bookmarkStart w:id="52" w:name="_Toc129669281"/>
      <w:bookmarkStart w:id="53" w:name="_Toc129669337"/>
      <w:bookmarkStart w:id="54" w:name="_Toc129679020"/>
      <w:bookmarkStart w:id="55" w:name="_Toc129679131"/>
      <w:bookmarkStart w:id="56" w:name="_Toc129679179"/>
      <w:bookmarkStart w:id="57" w:name="_Toc130782441"/>
      <w:bookmarkStart w:id="58" w:name="_Toc130782650"/>
      <w:bookmarkStart w:id="59" w:name="_Toc130782698"/>
      <w:bookmarkStart w:id="60" w:name="_Toc133379708"/>
      <w:bookmarkStart w:id="61" w:name="_Toc133385303"/>
      <w:bookmarkStart w:id="62" w:name="_Toc147288391"/>
      <w:bookmarkStart w:id="63" w:name="_Toc170549108"/>
      <w:bookmarkStart w:id="64" w:name="_Toc170620861"/>
      <w:bookmarkStart w:id="65" w:name="_Toc170621013"/>
      <w:bookmarkStart w:id="66" w:name="_Toc200510432"/>
      <w:bookmarkStart w:id="67" w:name="_Toc210787529"/>
      <w:bookmarkStart w:id="68" w:name="_Toc222820789"/>
      <w:bookmarkStart w:id="69" w:name="_Toc222889148"/>
      <w:bookmarkStart w:id="70" w:name="_Toc224108773"/>
      <w:bookmarkStart w:id="71" w:name="_Toc256152902"/>
      <w:bookmarkStart w:id="72" w:name="_Toc277943273"/>
      <w:r>
        <w:rPr>
          <w:rStyle w:val="CharPartNo"/>
        </w:rPr>
        <w:t>Part 2</w:t>
      </w:r>
      <w:r>
        <w:rPr>
          <w:rStyle w:val="CharDivNo"/>
        </w:rPr>
        <w:t> </w:t>
      </w:r>
      <w:r>
        <w:t>—</w:t>
      </w:r>
      <w:r>
        <w:rPr>
          <w:rStyle w:val="CharDivText"/>
        </w:rPr>
        <w:t> </w:t>
      </w:r>
      <w:r>
        <w:rPr>
          <w:rStyle w:val="CharPartText"/>
        </w:rPr>
        <w:t>Requirements for entry</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5"/>
        <w:rPr>
          <w:snapToGrid w:val="0"/>
        </w:rPr>
      </w:pPr>
      <w:bookmarkStart w:id="73" w:name="_Toc5071673"/>
      <w:bookmarkStart w:id="74" w:name="_Toc5071982"/>
      <w:bookmarkStart w:id="75" w:name="_Toc9846747"/>
      <w:bookmarkStart w:id="76" w:name="_Toc48382026"/>
      <w:bookmarkStart w:id="77" w:name="_Toc130782699"/>
      <w:bookmarkStart w:id="78" w:name="_Toc277943274"/>
      <w:bookmarkStart w:id="79" w:name="_Toc256152903"/>
      <w:r>
        <w:rPr>
          <w:rStyle w:val="CharSectno"/>
        </w:rPr>
        <w:t>4</w:t>
      </w:r>
      <w:r>
        <w:rPr>
          <w:snapToGrid w:val="0"/>
        </w:rPr>
        <w:t>.</w:t>
      </w:r>
      <w:r>
        <w:rPr>
          <w:snapToGrid w:val="0"/>
        </w:rPr>
        <w:tab/>
      </w:r>
      <w:bookmarkEnd w:id="73"/>
      <w:bookmarkEnd w:id="74"/>
      <w:bookmarkEnd w:id="75"/>
      <w:bookmarkEnd w:id="76"/>
      <w:bookmarkEnd w:id="77"/>
      <w:r>
        <w:rPr>
          <w:snapToGrid w:val="0"/>
        </w:rPr>
        <w:t>Playslip</w:t>
      </w:r>
      <w:bookmarkEnd w:id="78"/>
      <w:bookmarkEnd w:id="79"/>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rPr>
          <w:snapToGrid w:val="0"/>
        </w:rPr>
      </w:pPr>
      <w:r>
        <w:tab/>
        <w:t>(b)</w:t>
      </w:r>
      <w:r>
        <w:tab/>
      </w:r>
      <w:r>
        <w:rPr>
          <w:snapToGrid w:val="0"/>
        </w:rPr>
        <w:t>such instructions to subscribers,</w:t>
      </w:r>
    </w:p>
    <w:p>
      <w:pPr>
        <w:pStyle w:val="Subsection"/>
        <w:rPr>
          <w:snapToGrid w:val="0"/>
        </w:rPr>
      </w:pPr>
      <w:r>
        <w:rPr>
          <w:snapToGrid w:val="0"/>
        </w:rPr>
        <w:tab/>
      </w:r>
      <w:r>
        <w:rPr>
          <w:snapToGrid w:val="0"/>
        </w:rPr>
        <w:tab/>
        <w:t>as the Commission considers necessary.</w:t>
      </w:r>
    </w:p>
    <w:p>
      <w:pPr>
        <w:pStyle w:val="Footnotesection"/>
      </w:pPr>
      <w:bookmarkStart w:id="80" w:name="_Toc5071674"/>
      <w:bookmarkStart w:id="81" w:name="_Toc5071983"/>
      <w:bookmarkStart w:id="82" w:name="_Toc9846748"/>
      <w:bookmarkStart w:id="83" w:name="_Toc48382027"/>
      <w:bookmarkStart w:id="84" w:name="_Toc130782700"/>
      <w:r>
        <w:tab/>
        <w:t>[Rule 4 amended in Gazette 6 Jun 2008 p. 2301.]</w:t>
      </w:r>
    </w:p>
    <w:p>
      <w:pPr>
        <w:pStyle w:val="Heading5"/>
        <w:rPr>
          <w:snapToGrid w:val="0"/>
        </w:rPr>
      </w:pPr>
      <w:bookmarkStart w:id="85" w:name="_Toc277943275"/>
      <w:bookmarkStart w:id="86" w:name="_Toc256152904"/>
      <w:r>
        <w:rPr>
          <w:rStyle w:val="CharSectno"/>
        </w:rPr>
        <w:t>5</w:t>
      </w:r>
      <w:r>
        <w:rPr>
          <w:snapToGrid w:val="0"/>
        </w:rPr>
        <w:t>.</w:t>
      </w:r>
      <w:r>
        <w:rPr>
          <w:snapToGrid w:val="0"/>
        </w:rPr>
        <w:tab/>
        <w:t>Methods of entry</w:t>
      </w:r>
      <w:bookmarkEnd w:id="80"/>
      <w:bookmarkEnd w:id="81"/>
      <w:bookmarkEnd w:id="82"/>
      <w:bookmarkEnd w:id="83"/>
      <w:bookmarkEnd w:id="84"/>
      <w:bookmarkEnd w:id="85"/>
      <w:bookmarkEnd w:id="86"/>
    </w:p>
    <w:p>
      <w:pPr>
        <w:pStyle w:val="Subsection"/>
        <w:rPr>
          <w:snapToGrid w:val="0"/>
        </w:rPr>
      </w:pPr>
      <w:r>
        <w:rPr>
          <w:snapToGrid w:val="0"/>
        </w:rPr>
        <w:tab/>
        <w:t>(1)</w:t>
      </w:r>
      <w:r>
        <w:rPr>
          <w:snapToGrid w:val="0"/>
        </w:rPr>
        <w:tab/>
        <w:t>A person may enter lotto</w:t>
      </w:r>
      <w:del w:id="87" w:author="Master Repository Process" w:date="2021-08-29T02:23:00Z">
        <w:r>
          <w:rPr>
            <w:snapToGrid w:val="0"/>
          </w:rPr>
          <w:delText xml:space="preserve"> by —</w:delText>
        </w:r>
      </w:del>
      <w:ins w:id="88" w:author="Master Repository Process" w:date="2021-08-29T02:23:00Z">
        <w:r>
          <w:rPr>
            <w:snapToGrid w:val="0"/>
          </w:rPr>
          <w:t xml:space="preserve"> — </w:t>
        </w:r>
      </w:ins>
    </w:p>
    <w:p>
      <w:pPr>
        <w:pStyle w:val="Indenta"/>
      </w:pPr>
      <w:r>
        <w:tab/>
        <w:t>(a)</w:t>
      </w:r>
      <w:r>
        <w:tab/>
      </w:r>
      <w:ins w:id="89" w:author="Master Repository Process" w:date="2021-08-29T02:23:00Z">
        <w:r>
          <w:t xml:space="preserve">by </w:t>
        </w:r>
      </w:ins>
      <w:r>
        <w:t>filling out a playslip in accordance with rule 8 and —</w:t>
      </w:r>
    </w:p>
    <w:p>
      <w:pPr>
        <w:pStyle w:val="Indenti"/>
      </w:pPr>
      <w:r>
        <w:tab/>
        <w:t>(i)</w:t>
      </w:r>
      <w:r>
        <w:tab/>
      </w:r>
      <w:r>
        <w:rPr>
          <w:snapToGrid w:val="0"/>
        </w:rPr>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pPr>
      <w:r>
        <w:tab/>
        <w:t>(b)</w:t>
      </w:r>
      <w:r>
        <w:tab/>
      </w:r>
      <w:ins w:id="90" w:author="Master Repository Process" w:date="2021-08-29T02:23:00Z">
        <w:r>
          <w:t xml:space="preserve">by </w:t>
        </w:r>
      </w:ins>
      <w:r>
        <w:rPr>
          <w:snapToGrid w:val="0"/>
        </w:rPr>
        <w:t xml:space="preserve">making an oral request for entry in accordance with </w:t>
      </w:r>
      <w:r>
        <w:t>rule 9; or</w:t>
      </w:r>
    </w:p>
    <w:p>
      <w:pPr>
        <w:pStyle w:val="Indenta"/>
        <w:rPr>
          <w:ins w:id="91" w:author="Master Repository Process" w:date="2021-08-29T02:23:00Z"/>
        </w:rPr>
      </w:pPr>
      <w:r>
        <w:tab/>
        <w:t>(c)</w:t>
      </w:r>
      <w:r>
        <w:tab/>
      </w:r>
      <w:ins w:id="92" w:author="Master Repository Process" w:date="2021-08-29T02:23:00Z">
        <w:r>
          <w:t xml:space="preserve">by </w:t>
        </w:r>
      </w:ins>
      <w:r>
        <w:t>using the “ticket repeat” method set out in rule 8A</w:t>
      </w:r>
      <w:ins w:id="93" w:author="Master Repository Process" w:date="2021-08-29T02:23:00Z">
        <w:r>
          <w:t>; or</w:t>
        </w:r>
      </w:ins>
    </w:p>
    <w:p>
      <w:pPr>
        <w:pStyle w:val="Indenta"/>
        <w:rPr>
          <w:snapToGrid w:val="0"/>
        </w:rPr>
      </w:pPr>
      <w:ins w:id="94" w:author="Master Repository Process" w:date="2021-08-29T02:23:00Z">
        <w:r>
          <w:tab/>
          <w:t>(d)</w:t>
        </w:r>
        <w:r>
          <w:tab/>
          <w:t xml:space="preserve">online in accordance with the </w:t>
        </w:r>
        <w:r>
          <w:rPr>
            <w:i/>
            <w:iCs/>
          </w:rPr>
          <w:t>Lotteries Commission (Internet Entries) Rules 2010</w:t>
        </w:r>
      </w:ins>
      <w:r>
        <w:t>,</w:t>
      </w:r>
    </w:p>
    <w:p>
      <w:pPr>
        <w:pStyle w:val="Subsection"/>
        <w:rPr>
          <w:snapToGrid w:val="0"/>
        </w:rPr>
      </w:pPr>
      <w:r>
        <w:rPr>
          <w:snapToGrid w:val="0"/>
        </w:rPr>
        <w:tab/>
      </w:r>
      <w:r>
        <w:rPr>
          <w:snapToGrid w:val="0"/>
        </w:rPr>
        <w:tab/>
        <w:t xml:space="preserve">and paying the appropriate amount as </w:t>
      </w:r>
      <w:r>
        <w:t>calculated using the formula</w:t>
      </w:r>
      <w:r>
        <w:rPr>
          <w:snapToGrid w:val="0"/>
        </w:rPr>
        <w:t xml:space="preserve"> set out in Schedule 1.</w:t>
      </w:r>
    </w:p>
    <w:p>
      <w:pPr>
        <w:pStyle w:val="Subsection"/>
      </w:pPr>
      <w:r>
        <w:tab/>
        <w:t>(1A)</w:t>
      </w:r>
      <w:r>
        <w:tab/>
        <w:t>A person may enter lotto by redeeming a promotional coupon and, in that case, may be required to pay less than the amount payable under subrule (1).</w:t>
      </w:r>
    </w:p>
    <w:p>
      <w:pPr>
        <w:pStyle w:val="Subsection"/>
      </w:pPr>
      <w:r>
        <w:tab/>
        <w:t>(1B)</w:t>
      </w:r>
      <w:r>
        <w:tab/>
        <w:t>A person may enter lotto as a part of a syndicate in accordance with Part 2A.</w:t>
      </w:r>
    </w:p>
    <w:p>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bookmarkStart w:id="95" w:name="_Toc5071675"/>
      <w:bookmarkStart w:id="96" w:name="_Toc5071984"/>
      <w:bookmarkStart w:id="97" w:name="_Toc9846749"/>
      <w:bookmarkStart w:id="98" w:name="_Toc48382028"/>
      <w:bookmarkStart w:id="99" w:name="_Toc130782701"/>
      <w:r>
        <w:tab/>
        <w:t>[Rule 5 amended in Gazette 6 Jun 2008 p. 2301-2</w:t>
      </w:r>
      <w:ins w:id="100" w:author="Master Repository Process" w:date="2021-08-29T02:23:00Z">
        <w:r>
          <w:t>; 19 Nov 2010 p. 5721</w:t>
        </w:r>
      </w:ins>
      <w:r>
        <w:t>.]</w:t>
      </w:r>
    </w:p>
    <w:p>
      <w:pPr>
        <w:pStyle w:val="Heading5"/>
        <w:rPr>
          <w:snapToGrid w:val="0"/>
        </w:rPr>
      </w:pPr>
      <w:bookmarkStart w:id="101" w:name="_Toc277943276"/>
      <w:bookmarkStart w:id="102" w:name="_Toc256152905"/>
      <w:r>
        <w:rPr>
          <w:rStyle w:val="CharSectno"/>
        </w:rPr>
        <w:t>6</w:t>
      </w:r>
      <w:r>
        <w:rPr>
          <w:snapToGrid w:val="0"/>
        </w:rPr>
        <w:t>.</w:t>
      </w:r>
      <w:r>
        <w:rPr>
          <w:snapToGrid w:val="0"/>
        </w:rPr>
        <w:tab/>
        <w:t>No limit to number of entries</w:t>
      </w:r>
      <w:bookmarkEnd w:id="95"/>
      <w:bookmarkEnd w:id="96"/>
      <w:bookmarkEnd w:id="97"/>
      <w:bookmarkEnd w:id="98"/>
      <w:bookmarkEnd w:id="99"/>
      <w:bookmarkEnd w:id="101"/>
      <w:bookmarkEnd w:id="102"/>
    </w:p>
    <w:p>
      <w:pPr>
        <w:pStyle w:val="Subsection"/>
        <w:rPr>
          <w:snapToGrid w:val="0"/>
        </w:rPr>
      </w:pPr>
      <w:r>
        <w:rPr>
          <w:snapToGrid w:val="0"/>
        </w:rPr>
        <w:tab/>
      </w:r>
      <w:r>
        <w:rPr>
          <w:snapToGrid w:val="0"/>
        </w:rPr>
        <w:tab/>
        <w:t>There is no limit on the number of entries a subscriber may make in a lotto draw.</w:t>
      </w:r>
    </w:p>
    <w:p>
      <w:pPr>
        <w:pStyle w:val="Heading5"/>
        <w:rPr>
          <w:snapToGrid w:val="0"/>
        </w:rPr>
      </w:pPr>
      <w:bookmarkStart w:id="103" w:name="_Toc5071676"/>
      <w:bookmarkStart w:id="104" w:name="_Toc5071985"/>
      <w:bookmarkStart w:id="105" w:name="_Toc9846750"/>
      <w:bookmarkStart w:id="106" w:name="_Toc48382029"/>
      <w:bookmarkStart w:id="107" w:name="_Toc130782702"/>
      <w:bookmarkStart w:id="108" w:name="_Toc277943277"/>
      <w:bookmarkStart w:id="109" w:name="_Toc256152906"/>
      <w:r>
        <w:rPr>
          <w:rStyle w:val="CharSectno"/>
        </w:rPr>
        <w:t>7</w:t>
      </w:r>
      <w:r>
        <w:rPr>
          <w:snapToGrid w:val="0"/>
        </w:rPr>
        <w:t>.</w:t>
      </w:r>
      <w:r>
        <w:rPr>
          <w:snapToGrid w:val="0"/>
        </w:rPr>
        <w:tab/>
        <w:t>Super 66 entries</w:t>
      </w:r>
      <w:bookmarkEnd w:id="103"/>
      <w:bookmarkEnd w:id="104"/>
      <w:bookmarkEnd w:id="105"/>
      <w:bookmarkEnd w:id="106"/>
      <w:r>
        <w:rPr>
          <w:snapToGrid w:val="0"/>
        </w:rPr>
        <w:t xml:space="preserve"> in conjunction with lotto entries</w:t>
      </w:r>
      <w:bookmarkEnd w:id="107"/>
      <w:bookmarkEnd w:id="108"/>
      <w:bookmarkEnd w:id="109"/>
    </w:p>
    <w:p>
      <w:pPr>
        <w:pStyle w:val="Subsection"/>
        <w:spacing w:before="120"/>
        <w:rPr>
          <w:snapToGrid w:val="0"/>
        </w:rPr>
      </w:pPr>
      <w:r>
        <w:rPr>
          <w:snapToGrid w:val="0"/>
        </w:rPr>
        <w:tab/>
      </w:r>
      <w:r>
        <w:rPr>
          <w:snapToGrid w:val="0"/>
        </w:rPr>
        <w:tab/>
        <w:t xml:space="preserve">A subscriber entering a lotto draw for a particular day or days may, in conjunction with the entry, enter the super 66 draw for the following super 66 draw in accordance with rule 9(3), 10(8) and the </w:t>
      </w:r>
      <w:r>
        <w:rPr>
          <w:i/>
          <w:snapToGrid w:val="0"/>
        </w:rPr>
        <w:t>Lotteries Commission (Super 66) Rules 1996</w:t>
      </w:r>
      <w:r>
        <w:rPr>
          <w:snapToGrid w:val="0"/>
        </w:rPr>
        <w:t>.</w:t>
      </w:r>
    </w:p>
    <w:p>
      <w:pPr>
        <w:pStyle w:val="Heading5"/>
        <w:rPr>
          <w:snapToGrid w:val="0"/>
        </w:rPr>
      </w:pPr>
      <w:bookmarkStart w:id="110" w:name="_Toc5071677"/>
      <w:bookmarkStart w:id="111" w:name="_Toc5071986"/>
      <w:bookmarkStart w:id="112" w:name="_Toc9846751"/>
      <w:bookmarkStart w:id="113" w:name="_Toc48382030"/>
      <w:bookmarkStart w:id="114" w:name="_Toc130782703"/>
      <w:bookmarkStart w:id="115" w:name="_Toc277943278"/>
      <w:bookmarkStart w:id="116" w:name="_Toc256152907"/>
      <w:r>
        <w:rPr>
          <w:rStyle w:val="EquationCaption"/>
        </w:rPr>
        <w:t>8</w:t>
      </w:r>
      <w:r>
        <w:rPr>
          <w:snapToGrid w:val="0"/>
        </w:rPr>
        <w:t>.</w:t>
      </w:r>
      <w:r>
        <w:rPr>
          <w:snapToGrid w:val="0"/>
        </w:rPr>
        <w:tab/>
        <w:t xml:space="preserve">Completion of </w:t>
      </w:r>
      <w:bookmarkEnd w:id="110"/>
      <w:bookmarkEnd w:id="111"/>
      <w:bookmarkEnd w:id="112"/>
      <w:bookmarkEnd w:id="113"/>
      <w:bookmarkEnd w:id="114"/>
      <w:r>
        <w:rPr>
          <w:snapToGrid w:val="0"/>
        </w:rPr>
        <w:t>playslip</w:t>
      </w:r>
      <w:bookmarkEnd w:id="115"/>
      <w:bookmarkEnd w:id="116"/>
    </w:p>
    <w:p>
      <w:pPr>
        <w:pStyle w:val="Subsection"/>
        <w:spacing w:before="120"/>
        <w:rPr>
          <w:snapToGrid w:val="0"/>
        </w:rPr>
      </w:pPr>
      <w:r>
        <w:rPr>
          <w:snapToGrid w:val="0"/>
        </w:rPr>
        <w:tab/>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out of the numbers 1 to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(other than 6 numbers) out of the numbers 1 to 45 in one or more game boards on the </w:t>
      </w:r>
      <w:r>
        <w:t>playslip.</w:t>
      </w:r>
    </w:p>
    <w:p>
      <w:pPr>
        <w:pStyle w:val="Subsection"/>
        <w:spacing w:before="120"/>
        <w:rPr>
          <w:snapToGrid w:val="0"/>
        </w:rPr>
      </w:pPr>
      <w:r>
        <w:rPr>
          <w:snapToGrid w:val="0"/>
        </w:rPr>
        <w:tab/>
        <w:t>(2)</w:t>
      </w:r>
      <w:r>
        <w:rPr>
          <w:snapToGrid w:val="0"/>
        </w:rPr>
        <w:tab/>
        <w:t xml:space="preserve">A subscriber who has filled out a game board on </w:t>
      </w:r>
      <w:r>
        <w:t>a playslip</w:t>
      </w:r>
      <w:r>
        <w:rPr>
          <w:snapToGrid w:val="0"/>
        </w:rPr>
        <w:t xml:space="preserve"> in accordance with rule 8(1) may enter up to 17 further systems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t>(3)</w:t>
      </w:r>
      <w:r>
        <w:rPr>
          <w:snapToGrid w:val="0"/>
        </w:rPr>
        <w:tab/>
        <w:t>The subscriber must also indicate in the appropriate manner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r>
      <w:r>
        <w:rPr>
          <w:snapToGrid w:val="0"/>
        </w:rPr>
        <w:t>(4)</w:t>
      </w:r>
      <w:r>
        <w:tab/>
        <w:t>In addition to allowing an entry for a particular draw or draws, the Commission may allow a lotto entry to be for 2, 5 or 10 consecutive weeks, and the subscriber must indicate, in the appropriate manner, which (if any) of the allowed options he or she wishes to exercise.</w:t>
      </w:r>
    </w:p>
    <w:p>
      <w:pPr>
        <w:pStyle w:val="Subsection"/>
        <w:spacing w:before="120"/>
        <w:rPr>
          <w:snapToGrid w:val="0"/>
        </w:rPr>
      </w:pPr>
      <w:r>
        <w:rPr>
          <w:snapToGrid w:val="0"/>
        </w:rPr>
        <w:tab/>
        <w:t>(5)</w:t>
      </w:r>
      <w:r>
        <w:rPr>
          <w:snapToGrid w:val="0"/>
        </w:rPr>
        <w:tab/>
      </w:r>
      <w:r>
        <w:t>A playslip —</w:t>
      </w:r>
    </w:p>
    <w:p>
      <w:pPr>
        <w:pStyle w:val="Indenta"/>
        <w:rPr>
          <w:snapToGrid w:val="0"/>
        </w:rPr>
      </w:pPr>
      <w:r>
        <w:rPr>
          <w:snapToGrid w:val="0"/>
        </w:rPr>
        <w:tab/>
      </w:r>
      <w:r>
        <w:t>(a)</w:t>
      </w:r>
      <w:r>
        <w:rPr>
          <w:snapToGrid w:val="0"/>
        </w:rPr>
        <w:tab/>
        <w:t xml:space="preserve">is valid if it is marked by hand in </w:t>
      </w:r>
      <w:r>
        <w:t>black or</w:t>
      </w:r>
      <w:r>
        <w:rPr>
          <w:snapToGrid w:val="0"/>
        </w:rPr>
        <w:t xml:space="preserve"> blue ball point pen or pencil in accordance with the instructions on that </w:t>
      </w:r>
      <w:r>
        <w:t xml:space="preserve">playslip; </w:t>
      </w:r>
      <w:r>
        <w:rPr>
          <w:snapToGrid w:val="0"/>
        </w:rPr>
        <w:t>and</w:t>
      </w:r>
    </w:p>
    <w:p>
      <w:pPr>
        <w:pStyle w:val="Indenta"/>
        <w:rPr>
          <w:snapToGrid w:val="0"/>
        </w:rPr>
      </w:pPr>
      <w:r>
        <w:rPr>
          <w:snapToGrid w:val="0"/>
        </w:rPr>
        <w:tab/>
      </w:r>
      <w:r>
        <w:t>(b)</w:t>
      </w:r>
      <w:r>
        <w:rPr>
          <w:snapToGrid w:val="0"/>
        </w:rPr>
        <w:tab/>
        <w:t>is not valid if generated or marked by mechanical or electronic means.</w:t>
      </w:r>
    </w:p>
    <w:p>
      <w:pPr>
        <w:pStyle w:val="Subsection"/>
        <w:rPr>
          <w:snapToGrid w:val="0"/>
        </w:rPr>
      </w:pPr>
      <w:r>
        <w:rPr>
          <w:snapToGrid w:val="0"/>
        </w:rPr>
        <w:tab/>
        <w:t>(6)</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up to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w:t>
      </w:r>
      <w:r>
        <w:rPr>
          <w:snapToGrid w:val="0"/>
        </w:rPr>
        <w:t>.</w:t>
      </w:r>
    </w:p>
    <w:p>
      <w:pPr>
        <w:pStyle w:val="Footnotesection"/>
      </w:pPr>
      <w:bookmarkStart w:id="117" w:name="_Toc5071678"/>
      <w:bookmarkStart w:id="118" w:name="_Toc5071987"/>
      <w:bookmarkStart w:id="119" w:name="_Toc9846752"/>
      <w:bookmarkStart w:id="120" w:name="_Toc48382032"/>
      <w:bookmarkStart w:id="121" w:name="_Toc130782704"/>
      <w:r>
        <w:tab/>
        <w:t>[Rule 8 amended in Gazette 6 Jun 2008 p. 2302-3.]</w:t>
      </w:r>
    </w:p>
    <w:p>
      <w:pPr>
        <w:pStyle w:val="Heading5"/>
      </w:pPr>
      <w:bookmarkStart w:id="122" w:name="_Toc277943279"/>
      <w:bookmarkStart w:id="123" w:name="_Toc256152908"/>
      <w:r>
        <w:rPr>
          <w:rStyle w:val="CharSectno"/>
        </w:rPr>
        <w:t>8A</w:t>
      </w:r>
      <w:r>
        <w:t>.</w:t>
      </w:r>
      <w:r>
        <w:tab/>
        <w:t>Ticket repeat</w:t>
      </w:r>
      <w:bookmarkEnd w:id="122"/>
      <w:bookmarkEnd w:id="123"/>
    </w:p>
    <w:p>
      <w:pPr>
        <w:pStyle w:val="Subsection"/>
      </w:pPr>
      <w:r>
        <w:tab/>
        <w:t>(1)</w:t>
      </w:r>
      <w:r>
        <w:tab/>
        <w:t>A person may select the numbers and game type required to enter lotto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or a syndicate master ticket.</w:t>
      </w:r>
    </w:p>
    <w:p>
      <w:pPr>
        <w:pStyle w:val="Footnotesection"/>
      </w:pPr>
      <w:r>
        <w:tab/>
        <w:t>[Rule 8A inserted in Gazette 6 Jun 2008 p. 2304; amended in Gazette 15 May 2009 p. 1634.]</w:t>
      </w:r>
    </w:p>
    <w:p>
      <w:pPr>
        <w:pStyle w:val="Heading5"/>
      </w:pPr>
      <w:bookmarkStart w:id="124" w:name="_Toc277943280"/>
      <w:bookmarkStart w:id="125" w:name="_Toc256152909"/>
      <w:r>
        <w:rPr>
          <w:rStyle w:val="CharSectno"/>
        </w:rPr>
        <w:t>8B</w:t>
      </w:r>
      <w:r>
        <w:t>.</w:t>
      </w:r>
      <w:r>
        <w:tab/>
        <w:t>Favourite numbers</w:t>
      </w:r>
      <w:bookmarkEnd w:id="124"/>
      <w:bookmarkEnd w:id="125"/>
    </w:p>
    <w:p>
      <w:pPr>
        <w:pStyle w:val="Subsection"/>
      </w:pPr>
      <w:r>
        <w:tab/>
        <w:t>(1)</w:t>
      </w:r>
      <w:r>
        <w:tab/>
        <w:t>A person who has a player’s card may —</w:t>
      </w:r>
    </w:p>
    <w:p>
      <w:pPr>
        <w:pStyle w:val="Indenta"/>
      </w:pPr>
      <w:r>
        <w:tab/>
        <w:t>(a)</w:t>
      </w:r>
      <w:r>
        <w:tab/>
        <w:t>select the numbers and game type required to enter lotto by presenting his or her player’s card and a playslip filled out with a selection of the “favourite numbers” (and game types) for lotto that relate to the card; or</w:t>
      </w:r>
    </w:p>
    <w:p>
      <w:pPr>
        <w:pStyle w:val="Indenta"/>
      </w:pPr>
      <w:r>
        <w:tab/>
        <w:t>(b)</w:t>
      </w:r>
      <w:r>
        <w:tab/>
        <w:t>select the numbers and game type required to enter lotto by presenting his or her player’s card and orally requesting the selection of the “favourite numbers” (and game types) for lotto that relate to the card.</w:t>
      </w:r>
    </w:p>
    <w:p>
      <w:pPr>
        <w:pStyle w:val="Subsection"/>
      </w:pPr>
      <w:r>
        <w:tab/>
        <w:t>(2)</w:t>
      </w:r>
      <w:r>
        <w:tab/>
        <w:t>Favourite numbers can be selected for one week, or for 2, 5 or 10 consecutive weeks.</w:t>
      </w:r>
    </w:p>
    <w:p>
      <w:pPr>
        <w:pStyle w:val="Footnotesection"/>
      </w:pPr>
      <w:r>
        <w:tab/>
        <w:t>[Rule 8B inserted in Gazette 6 Jun 2008 p. 2304.]</w:t>
      </w:r>
    </w:p>
    <w:p>
      <w:pPr>
        <w:pStyle w:val="Heading5"/>
        <w:rPr>
          <w:snapToGrid w:val="0"/>
        </w:rPr>
      </w:pPr>
      <w:bookmarkStart w:id="126" w:name="_Toc277943281"/>
      <w:bookmarkStart w:id="127" w:name="_Toc256152910"/>
      <w:r>
        <w:rPr>
          <w:rStyle w:val="CharSectno"/>
        </w:rPr>
        <w:t>9</w:t>
      </w:r>
      <w:r>
        <w:rPr>
          <w:snapToGrid w:val="0"/>
        </w:rPr>
        <w:t>.</w:t>
      </w:r>
      <w:r>
        <w:rPr>
          <w:snapToGrid w:val="0"/>
        </w:rPr>
        <w:tab/>
        <w:t>Oral request for entry</w:t>
      </w:r>
      <w:bookmarkEnd w:id="117"/>
      <w:bookmarkEnd w:id="118"/>
      <w:bookmarkEnd w:id="119"/>
      <w:bookmarkEnd w:id="120"/>
      <w:bookmarkEnd w:id="121"/>
      <w:bookmarkEnd w:id="126"/>
      <w:bookmarkEnd w:id="127"/>
    </w:p>
    <w:p>
      <w:pPr>
        <w:pStyle w:val="Subsection"/>
        <w:rPr>
          <w:snapToGrid w:val="0"/>
        </w:rPr>
      </w:pPr>
      <w:r>
        <w:rPr>
          <w:snapToGrid w:val="0"/>
        </w:rPr>
        <w:tab/>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selected numbers; or</w:t>
      </w:r>
    </w:p>
    <w:p>
      <w:pPr>
        <w:pStyle w:val="Indenti"/>
        <w:rPr>
          <w:snapToGrid w:val="0"/>
        </w:rPr>
      </w:pPr>
      <w:r>
        <w:tab/>
        <w:t>(ii)</w:t>
      </w:r>
      <w:r>
        <w:tab/>
      </w:r>
      <w:r>
        <w:rPr>
          <w:snapToGrid w:val="0"/>
        </w:rPr>
        <w:t>between 4 and 20 selected numbers (other than 6 numbers) (</w:t>
      </w:r>
      <w:r>
        <w:rPr>
          <w:i/>
          <w:iCs/>
          <w:snapToGrid w:val="0"/>
        </w:rPr>
        <w:t>i.e. a systems entry</w:t>
      </w:r>
      <w:r>
        <w:rPr>
          <w:snapToGrid w:val="0"/>
        </w:rPr>
        <w:t>);</w:t>
      </w:r>
    </w:p>
    <w:p>
      <w:pPr>
        <w:pStyle w:val="Indenta"/>
      </w:pPr>
      <w:r>
        <w:tab/>
      </w:r>
      <w:r>
        <w:tab/>
      </w:r>
      <w:r>
        <w:rPr>
          <w:snapToGrid w:val="0"/>
        </w:rPr>
        <w:t>and</w:t>
      </w:r>
    </w:p>
    <w:p>
      <w:pPr>
        <w:pStyle w:val="Indenta"/>
      </w:pPr>
      <w:r>
        <w:tab/>
        <w:t>(c)</w:t>
      </w:r>
      <w:r>
        <w:tab/>
        <w:t>if the subscriber selects 6 selected numbers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Subsection"/>
        <w:rPr>
          <w:snapToGrid w:val="0"/>
        </w:rPr>
      </w:pPr>
      <w:r>
        <w:rPr>
          <w:snapToGrid w:val="0"/>
        </w:rPr>
        <w:tab/>
        <w:t>(2)</w:t>
      </w:r>
      <w:r>
        <w:rPr>
          <w:snapToGrid w:val="0"/>
        </w:rPr>
        <w:tab/>
        <w:t>If a subscriber requests —</w:t>
      </w:r>
    </w:p>
    <w:p>
      <w:pPr>
        <w:pStyle w:val="Indenta"/>
        <w:rPr>
          <w:snapToGrid w:val="0"/>
        </w:rPr>
      </w:pPr>
      <w:r>
        <w:rPr>
          <w:snapToGrid w:val="0"/>
        </w:rPr>
        <w:tab/>
      </w:r>
      <w:r>
        <w:t>(a)</w:t>
      </w:r>
      <w:r>
        <w:rPr>
          <w:snapToGrid w:val="0"/>
        </w:rPr>
        <w:tab/>
        <w:t xml:space="preserve">6 selected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rPr>
          <w:snapToGrid w:val="0"/>
        </w:rPr>
      </w:pPr>
      <w:r>
        <w:rPr>
          <w:snapToGrid w:val="0"/>
        </w:rPr>
        <w:tab/>
        <w:t>(3)</w:t>
      </w:r>
      <w:r>
        <w:rPr>
          <w:snapToGrid w:val="0"/>
        </w:rPr>
        <w:tab/>
        <w:t>If a subscriber makes a request for an entry to be in a combination of Monday lotto draws, Wednesday lotto draws and even Saturday lotto draws for the requested period, the resulting receipted ticket is taken as being one entry for the purposes of requesting super 66.</w:t>
      </w:r>
    </w:p>
    <w:p>
      <w:pPr>
        <w:pStyle w:val="Subsection"/>
      </w:pPr>
      <w:r>
        <w:tab/>
      </w:r>
      <w:r>
        <w:rPr>
          <w:snapToGrid w:val="0"/>
        </w:rPr>
        <w:t>(4)</w:t>
      </w:r>
      <w:r>
        <w:tab/>
        <w:t>In addition to allowing an entry for a particular draw, the Commission may allow a lotto entry to be for 2, 5 or 10 consecutive weeks, and the subscriber must specify which of the allowed options he or she wishes to exercise.</w:t>
      </w:r>
    </w:p>
    <w:p>
      <w:pPr>
        <w:pStyle w:val="Footnotesection"/>
      </w:pPr>
      <w:bookmarkStart w:id="128" w:name="_Toc5071679"/>
      <w:bookmarkStart w:id="129" w:name="_Toc5071988"/>
      <w:bookmarkStart w:id="130" w:name="_Toc9846753"/>
      <w:bookmarkStart w:id="131" w:name="_Toc48382033"/>
      <w:bookmarkStart w:id="132" w:name="_Toc130782705"/>
      <w:r>
        <w:tab/>
        <w:t>[Rule 9 amended in Gazette 6 Jun 2008 p. 2305.]</w:t>
      </w:r>
    </w:p>
    <w:p>
      <w:pPr>
        <w:pStyle w:val="Heading5"/>
        <w:rPr>
          <w:snapToGrid w:val="0"/>
        </w:rPr>
      </w:pPr>
      <w:bookmarkStart w:id="133" w:name="_Toc277943282"/>
      <w:bookmarkStart w:id="134" w:name="_Toc256152911"/>
      <w:r>
        <w:rPr>
          <w:rStyle w:val="CharSectno"/>
        </w:rPr>
        <w:t>10</w:t>
      </w:r>
      <w:r>
        <w:rPr>
          <w:snapToGrid w:val="0"/>
        </w:rPr>
        <w:t>.</w:t>
      </w:r>
      <w:r>
        <w:rPr>
          <w:snapToGrid w:val="0"/>
        </w:rPr>
        <w:tab/>
        <w:t>Entry by mail</w:t>
      </w:r>
      <w:bookmarkEnd w:id="128"/>
      <w:bookmarkEnd w:id="129"/>
      <w:bookmarkEnd w:id="130"/>
      <w:bookmarkEnd w:id="131"/>
      <w:bookmarkEnd w:id="132"/>
      <w:bookmarkEnd w:id="133"/>
      <w:bookmarkEnd w:id="134"/>
    </w:p>
    <w:p>
      <w:pPr>
        <w:pStyle w:val="Subsection"/>
        <w:spacing w:before="120"/>
        <w:rPr>
          <w:snapToGrid w:val="0"/>
        </w:rPr>
      </w:pPr>
      <w:r>
        <w:rPr>
          <w:snapToGrid w:val="0"/>
        </w:rPr>
        <w:tab/>
        <w:t>(1)</w:t>
      </w:r>
      <w:r>
        <w:rPr>
          <w:snapToGrid w:val="0"/>
        </w:rPr>
        <w:tab/>
        <w:t>In this rule —</w:t>
      </w:r>
    </w:p>
    <w:p>
      <w:pPr>
        <w:pStyle w:val="Defstart"/>
      </w:pPr>
      <w:r>
        <w:rPr>
          <w:b/>
        </w:rPr>
        <w:tab/>
      </w:r>
      <w:r>
        <w:rPr>
          <w:rStyle w:val="CharDefText"/>
        </w:rPr>
        <w:t>postal entry</w:t>
      </w:r>
      <w:r>
        <w:t xml:space="preserve"> means a playslip or a promotional coupon posted by a subscriber in accordance with rule 5(1)(a)(ii) and received by the Commission.</w:t>
      </w:r>
    </w:p>
    <w:p>
      <w:pPr>
        <w:pStyle w:val="Subsection"/>
        <w:spacing w:before="120"/>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spacing w:before="120"/>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spacing w:before="120"/>
        <w:rPr>
          <w:snapToGrid w:val="0"/>
        </w:rPr>
      </w:pPr>
      <w:r>
        <w:rPr>
          <w:snapToGrid w:val="0"/>
        </w:rPr>
        <w:tab/>
        <w:t>(4)</w:t>
      </w:r>
      <w:r>
        <w:rPr>
          <w:snapToGrid w:val="0"/>
        </w:rPr>
        <w:tab/>
        <w:t xml:space="preserve">If one or more of the game boards on a postal entry contains too many selected numbers the Commission may ignore the highest selected number or numbers in that game board when producing a receipted ticket from that </w:t>
      </w:r>
      <w:r>
        <w:t>playslip.</w:t>
      </w:r>
    </w:p>
    <w:p>
      <w:pPr>
        <w:pStyle w:val="Subsection"/>
        <w:spacing w:before="120"/>
        <w:rPr>
          <w:snapToGrid w:val="0"/>
        </w:rPr>
      </w:pPr>
      <w:r>
        <w:rPr>
          <w:snapToGrid w:val="0"/>
        </w:rPr>
        <w:tab/>
        <w:t>(5)</w:t>
      </w:r>
      <w:r>
        <w:rPr>
          <w:snapToGrid w:val="0"/>
        </w:rPr>
        <w:tab/>
        <w:t>If one or more of the game boards on a postal entry contains too few selected numbers, the Commission may —</w:t>
      </w:r>
    </w:p>
    <w:p>
      <w:pPr>
        <w:pStyle w:val="Indenta"/>
        <w:rPr>
          <w:snapToGrid w:val="0"/>
        </w:rPr>
      </w:pPr>
      <w:r>
        <w:rPr>
          <w:snapToGrid w:val="0"/>
        </w:rPr>
        <w:tab/>
      </w:r>
      <w:r>
        <w:t>(a)</w:t>
      </w:r>
      <w:r>
        <w:rPr>
          <w:snapToGrid w:val="0"/>
        </w:rPr>
        <w:tab/>
        <w:t>ignore the game boards with too few numbers and produce a receipted ticket from the remaining game boards; or</w:t>
      </w:r>
    </w:p>
    <w:p>
      <w:pPr>
        <w:pStyle w:val="Indenta"/>
        <w:rPr>
          <w:snapToGrid w:val="0"/>
        </w:rPr>
      </w:pPr>
      <w:r>
        <w:rPr>
          <w:snapToGrid w:val="0"/>
        </w:rPr>
        <w:tab/>
      </w:r>
      <w:r>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lotto draws the Commission must —</w:t>
      </w:r>
    </w:p>
    <w:p>
      <w:pPr>
        <w:pStyle w:val="Indenta"/>
        <w:rPr>
          <w:snapToGrid w:val="0"/>
        </w:rPr>
      </w:pPr>
      <w:r>
        <w:rPr>
          <w:snapToGrid w:val="0"/>
        </w:rPr>
        <w:tab/>
      </w:r>
      <w:r>
        <w:t>(a)</w:t>
      </w:r>
      <w:r>
        <w:rPr>
          <w:snapToGrid w:val="0"/>
        </w:rPr>
        <w:tab/>
        <w:t>enter the entry in the draw or draws requested</w:t>
      </w:r>
      <w:r>
        <w:t xml:space="preserve">, if that option is allowed; </w:t>
      </w:r>
      <w:r>
        <w:rPr>
          <w:snapToGrid w:val="0"/>
        </w:rPr>
        <w:t>or</w:t>
      </w:r>
    </w:p>
    <w:p>
      <w:pPr>
        <w:pStyle w:val="Indenta"/>
        <w:rPr>
          <w:snapToGrid w:val="0"/>
        </w:rPr>
      </w:pPr>
      <w:r>
        <w:rPr>
          <w:snapToGrid w:val="0"/>
        </w:rPr>
        <w:tab/>
      </w:r>
      <w:r>
        <w:t>(b)</w:t>
      </w:r>
      <w:r>
        <w:rPr>
          <w:snapToGrid w:val="0"/>
        </w:rPr>
        <w:tab/>
        <w:t>if the selling period for one or more of the specified draws has passed, enter the entry in the requested number of lotto draws commencing with the next lotto draw for which the selling period has not finished.</w:t>
      </w:r>
    </w:p>
    <w:p>
      <w:pPr>
        <w:pStyle w:val="Subsection"/>
        <w:rPr>
          <w:snapToGrid w:val="0"/>
        </w:rPr>
      </w:pPr>
      <w:r>
        <w:rPr>
          <w:snapToGrid w:val="0"/>
        </w:rPr>
        <w:tab/>
        <w:t>(9)</w:t>
      </w:r>
      <w:r>
        <w:rPr>
          <w:snapToGrid w:val="0"/>
        </w:rPr>
        <w:tab/>
        <w:t>In subrule (8)(b) —</w:t>
      </w:r>
    </w:p>
    <w:p>
      <w:pPr>
        <w:pStyle w:val="Defstart"/>
      </w:pPr>
      <w:r>
        <w:rPr>
          <w:b/>
        </w:rPr>
        <w:tab/>
      </w:r>
      <w:r>
        <w:rPr>
          <w:rStyle w:val="CharDefText"/>
        </w:rPr>
        <w:t>lotto draw</w:t>
      </w:r>
      <w:r>
        <w:t xml:space="preserve"> includes a Saturday lotto draw and super 66 draw.</w:t>
      </w:r>
    </w:p>
    <w:p>
      <w:pPr>
        <w:pStyle w:val="Subsection"/>
        <w:rPr>
          <w:snapToGrid w:val="0"/>
        </w:rPr>
      </w:pPr>
      <w:r>
        <w:rPr>
          <w:snapToGrid w:val="0"/>
        </w:rPr>
        <w:tab/>
        <w:t>(10)</w:t>
      </w:r>
      <w:r>
        <w:rPr>
          <w:snapToGrid w:val="0"/>
        </w:rPr>
        <w:tab/>
        <w:t>The Commission is not responsible for the security or loss of a receipted ticket after it has been posted.</w:t>
      </w:r>
    </w:p>
    <w:p>
      <w:pPr>
        <w:pStyle w:val="Footnotesection"/>
      </w:pPr>
      <w:bookmarkStart w:id="135" w:name="_Toc5071680"/>
      <w:bookmarkStart w:id="136" w:name="_Toc5071989"/>
      <w:bookmarkStart w:id="137" w:name="_Toc9846754"/>
      <w:bookmarkStart w:id="138" w:name="_Toc48382034"/>
      <w:bookmarkStart w:id="139" w:name="_Toc130782706"/>
      <w:r>
        <w:tab/>
        <w:t>[Rule 10 amended in Gazette 6 Jun 2008 p. 2305-6.]</w:t>
      </w:r>
    </w:p>
    <w:p>
      <w:pPr>
        <w:pStyle w:val="Heading5"/>
        <w:rPr>
          <w:snapToGrid w:val="0"/>
        </w:rPr>
      </w:pPr>
      <w:bookmarkStart w:id="140" w:name="_Toc277943283"/>
      <w:bookmarkStart w:id="141" w:name="_Toc256152912"/>
      <w:r>
        <w:rPr>
          <w:rStyle w:val="CharSectno"/>
        </w:rPr>
        <w:t>11</w:t>
      </w:r>
      <w:r>
        <w:rPr>
          <w:snapToGrid w:val="0"/>
        </w:rPr>
        <w:t>.</w:t>
      </w:r>
      <w:r>
        <w:rPr>
          <w:snapToGrid w:val="0"/>
        </w:rPr>
        <w:tab/>
        <w:t>Receipted tickets</w:t>
      </w:r>
      <w:bookmarkEnd w:id="135"/>
      <w:bookmarkEnd w:id="136"/>
      <w:bookmarkEnd w:id="137"/>
      <w:bookmarkEnd w:id="138"/>
      <w:bookmarkEnd w:id="139"/>
      <w:bookmarkEnd w:id="140"/>
      <w:bookmarkEnd w:id="141"/>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 xml:space="preserve">Subject to rule 10, on receipt of </w:t>
      </w:r>
      <w:r>
        <w:t>a playslip</w:t>
      </w:r>
      <w:r>
        <w:rPr>
          <w:snapToGrid w:val="0"/>
        </w:rPr>
        <w:t xml:space="preserve"> completed and posted in accordance with these rules, to the Commission with the appropriate payment, the Commission must use </w:t>
      </w:r>
      <w:r>
        <w:t>that playslip</w:t>
      </w:r>
      <w:r>
        <w:rPr>
          <w:snapToGrid w:val="0"/>
        </w:rPr>
        <w:t xml:space="preserve"> to generate a receipted ticket or tickets and post it or them by ordinary mail to the subscriber at the return address accompanying the entry.</w:t>
      </w:r>
    </w:p>
    <w:p>
      <w:pPr>
        <w:pStyle w:val="Footnotesection"/>
      </w:pPr>
      <w:bookmarkStart w:id="142" w:name="_Toc5071681"/>
      <w:bookmarkStart w:id="143" w:name="_Toc5071990"/>
      <w:bookmarkStart w:id="144" w:name="_Toc9846755"/>
      <w:bookmarkStart w:id="145" w:name="_Toc48382035"/>
      <w:bookmarkStart w:id="146" w:name="_Toc130782707"/>
      <w:r>
        <w:tab/>
        <w:t>[Rule 11 amended in Gazette 6 Jun 2008 p. 2306.]</w:t>
      </w:r>
    </w:p>
    <w:p>
      <w:pPr>
        <w:pStyle w:val="Heading5"/>
        <w:rPr>
          <w:snapToGrid w:val="0"/>
        </w:rPr>
      </w:pPr>
      <w:bookmarkStart w:id="147" w:name="_Toc277943284"/>
      <w:bookmarkStart w:id="148" w:name="_Toc256152913"/>
      <w:r>
        <w:rPr>
          <w:rStyle w:val="CharSectno"/>
        </w:rPr>
        <w:t>12</w:t>
      </w:r>
      <w:r>
        <w:rPr>
          <w:snapToGrid w:val="0"/>
        </w:rPr>
        <w:t>.</w:t>
      </w:r>
      <w:r>
        <w:rPr>
          <w:snapToGrid w:val="0"/>
        </w:rPr>
        <w:tab/>
        <w:t>Surrender of receipted ticket</w:t>
      </w:r>
      <w:bookmarkEnd w:id="142"/>
      <w:bookmarkEnd w:id="143"/>
      <w:bookmarkEnd w:id="144"/>
      <w:bookmarkEnd w:id="145"/>
      <w:bookmarkEnd w:id="146"/>
      <w:bookmarkEnd w:id="147"/>
      <w:bookmarkEnd w:id="148"/>
    </w:p>
    <w:p>
      <w:pPr>
        <w:pStyle w:val="Subsection"/>
        <w:rPr>
          <w:snapToGrid w:val="0"/>
        </w:rPr>
      </w:pPr>
      <w:r>
        <w:rPr>
          <w:snapToGrid w:val="0"/>
        </w:rPr>
        <w:tab/>
        <w:t>(1)</w:t>
      </w:r>
      <w:r>
        <w:rPr>
          <w:snapToGrid w:val="0"/>
        </w:rPr>
        <w:tab/>
      </w:r>
      <w:r>
        <w:t>Subject to subrule (1A),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w:t>
      </w:r>
    </w:p>
    <w:p>
      <w:pPr>
        <w:pStyle w:val="Indenta"/>
        <w:rPr>
          <w:snapToGrid w:val="0"/>
        </w:rPr>
      </w:pPr>
      <w:r>
        <w:rPr>
          <w:snapToGrid w:val="0"/>
        </w:rPr>
        <w:tab/>
      </w:r>
      <w:r>
        <w:t>(b)</w:t>
      </w:r>
      <w:r>
        <w:rPr>
          <w:snapToGrid w:val="0"/>
        </w:rPr>
        <w:tab/>
        <w:t>on the day on which it was purchased;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(1A)</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bookmarkStart w:id="149" w:name="_Toc5071682"/>
      <w:bookmarkStart w:id="150" w:name="_Toc5071991"/>
      <w:bookmarkStart w:id="151" w:name="_Toc9846756"/>
      <w:bookmarkStart w:id="152" w:name="_Toc48382036"/>
      <w:bookmarkStart w:id="153" w:name="_Toc130782708"/>
      <w:r>
        <w:tab/>
        <w:t>[Rule 12 amended in Gazette 6 Jun 2008 p. 2306-7.]</w:t>
      </w:r>
    </w:p>
    <w:p>
      <w:pPr>
        <w:pStyle w:val="Heading5"/>
        <w:rPr>
          <w:snapToGrid w:val="0"/>
        </w:rPr>
      </w:pPr>
      <w:bookmarkStart w:id="154" w:name="_Toc277943285"/>
      <w:bookmarkStart w:id="155" w:name="_Toc256152914"/>
      <w:r>
        <w:rPr>
          <w:rStyle w:val="CharSectno"/>
        </w:rPr>
        <w:t>13</w:t>
      </w:r>
      <w:r>
        <w:rPr>
          <w:snapToGrid w:val="0"/>
        </w:rPr>
        <w:t>.</w:t>
      </w:r>
      <w:r>
        <w:rPr>
          <w:snapToGrid w:val="0"/>
        </w:rPr>
        <w:tab/>
        <w:t>Accuracy of receipted ticket</w:t>
      </w:r>
      <w:bookmarkEnd w:id="149"/>
      <w:bookmarkEnd w:id="150"/>
      <w:bookmarkEnd w:id="151"/>
      <w:bookmarkEnd w:id="152"/>
      <w:bookmarkEnd w:id="153"/>
      <w:bookmarkEnd w:id="154"/>
      <w:bookmarkEnd w:id="155"/>
    </w:p>
    <w:p>
      <w:pPr>
        <w:pStyle w:val="Subsection"/>
        <w:rPr>
          <w:snapToGrid w:val="0"/>
        </w:rPr>
      </w:pPr>
      <w:r>
        <w:rPr>
          <w:snapToGrid w:val="0"/>
        </w:rPr>
        <w:tab/>
      </w:r>
      <w:r>
        <w:rPr>
          <w:snapToGrid w:val="0"/>
        </w:rPr>
        <w:tab/>
        <w:t xml:space="preserve">An agent who generates a receipted ticket by processing </w:t>
      </w:r>
      <w:r>
        <w:t>a playslip, a promotional coupon or a ticket repeat</w:t>
      </w:r>
      <w:r>
        <w:rPr>
          <w:snapToGrid w:val="0"/>
        </w:rPr>
        <w:t xml:space="preserve"> or as a result of an oral request for entry is not required to ensure that receipted ticket accurately reflects </w:t>
      </w:r>
      <w:r>
        <w:t>the playslip, coupon, ticket</w:t>
      </w:r>
      <w:r>
        <w:rPr>
          <w:snapToGrid w:val="0"/>
        </w:rPr>
        <w:t xml:space="preserve"> or request.</w:t>
      </w:r>
    </w:p>
    <w:p>
      <w:pPr>
        <w:pStyle w:val="Footnotesection"/>
      </w:pPr>
      <w:bookmarkStart w:id="156" w:name="_Toc5071683"/>
      <w:bookmarkStart w:id="157" w:name="_Toc5071992"/>
      <w:bookmarkStart w:id="158" w:name="_Toc9846757"/>
      <w:bookmarkStart w:id="159" w:name="_Toc48382037"/>
      <w:bookmarkStart w:id="160" w:name="_Toc130782709"/>
      <w:r>
        <w:tab/>
        <w:t>[Rule 13 amended in Gazette 6 Jun 2008 p. 2307.]</w:t>
      </w:r>
    </w:p>
    <w:p>
      <w:pPr>
        <w:pStyle w:val="Heading5"/>
        <w:rPr>
          <w:snapToGrid w:val="0"/>
        </w:rPr>
      </w:pPr>
      <w:bookmarkStart w:id="161" w:name="_Toc277943286"/>
      <w:bookmarkStart w:id="162" w:name="_Toc256152915"/>
      <w:r>
        <w:rPr>
          <w:rStyle w:val="CharSectno"/>
        </w:rPr>
        <w:t>14</w:t>
      </w:r>
      <w:r>
        <w:rPr>
          <w:snapToGrid w:val="0"/>
        </w:rPr>
        <w:t>.</w:t>
      </w:r>
      <w:r>
        <w:rPr>
          <w:snapToGrid w:val="0"/>
        </w:rPr>
        <w:tab/>
        <w:t>Validity of receipted ticket</w:t>
      </w:r>
      <w:bookmarkEnd w:id="156"/>
      <w:bookmarkEnd w:id="157"/>
      <w:bookmarkEnd w:id="158"/>
      <w:bookmarkEnd w:id="159"/>
      <w:bookmarkEnd w:id="160"/>
      <w:bookmarkEnd w:id="161"/>
      <w:bookmarkEnd w:id="162"/>
    </w:p>
    <w:p>
      <w:pPr>
        <w:pStyle w:val="Subsection"/>
      </w:pPr>
      <w:r>
        <w:tab/>
        <w:t>(1)</w:t>
      </w:r>
      <w:r>
        <w:tab/>
        <w:t>Subject to subrules (2) and (3), a receipted ticket is generated by the Commission to indicate that the details of a valid entry, or of a number of systems entries, as appearing on the ticket, have been recorded in the central gaming system records in relation to the numbered lotto draw or draws shown on the ticket.</w:t>
      </w:r>
    </w:p>
    <w:p>
      <w:pPr>
        <w:pStyle w:val="Subsection"/>
        <w:rPr>
          <w:snapToGrid w:val="0"/>
        </w:rPr>
      </w:pPr>
      <w:r>
        <w:rPr>
          <w:snapToGrid w:val="0"/>
        </w:rPr>
        <w:tab/>
        <w:t>(2)</w:t>
      </w:r>
      <w:r>
        <w:rPr>
          <w:snapToGrid w:val="0"/>
        </w:rPr>
        <w:tab/>
        <w:t>Subrule (1) does not apply to a receipted ticket that —</w:t>
      </w:r>
    </w:p>
    <w:p>
      <w:pPr>
        <w:pStyle w:val="Indenta"/>
        <w:rPr>
          <w:snapToGrid w:val="0"/>
        </w:rPr>
      </w:pPr>
      <w:r>
        <w:rPr>
          <w:snapToGrid w:val="0"/>
        </w:rPr>
        <w:tab/>
      </w:r>
      <w:r>
        <w:t>(a)</w:t>
      </w:r>
      <w:r>
        <w:rPr>
          <w:snapToGrid w:val="0"/>
        </w:rPr>
        <w:tab/>
        <w:t>has been surrendered in accordance with rule 12;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r>
      <w:r>
        <w:t>(b)</w:t>
      </w:r>
      <w:r>
        <w:rPr>
          <w:snapToGrid w:val="0"/>
        </w:rPr>
        <w:tab/>
        <w:t>has, during the selling period for one of the draws, been found to be invalid as a result of non</w:t>
      </w:r>
      <w:r>
        <w:rPr>
          <w:snapToGrid w:val="0"/>
        </w:rPr>
        <w:noBreakHyphen/>
        <w:t>compliance with rule 8(5)(b); or</w:t>
      </w:r>
    </w:p>
    <w:p>
      <w:pPr>
        <w:pStyle w:val="Indenta"/>
        <w:rPr>
          <w:snapToGrid w:val="0"/>
        </w:rPr>
      </w:pPr>
      <w:r>
        <w:rPr>
          <w:snapToGrid w:val="0"/>
        </w:rPr>
        <w:tab/>
      </w:r>
      <w:r>
        <w:t>(c)</w:t>
      </w:r>
      <w:r>
        <w:rPr>
          <w:snapToGrid w:val="0"/>
        </w:rPr>
        <w:tab/>
        <w:t>is forged or altered, or obtained as a direct result of fraud, by the subscriber or person claiming a prize.</w:t>
      </w:r>
    </w:p>
    <w:p>
      <w:pPr>
        <w:pStyle w:val="Subsection"/>
      </w:pPr>
      <w:bookmarkStart w:id="163" w:name="_Toc129660697"/>
      <w:bookmarkStart w:id="164" w:name="_Toc129660745"/>
      <w:bookmarkStart w:id="165" w:name="_Toc129669293"/>
      <w:bookmarkStart w:id="166" w:name="_Toc129669349"/>
      <w:bookmarkStart w:id="167" w:name="_Toc129679032"/>
      <w:bookmarkStart w:id="168" w:name="_Toc129679143"/>
      <w:bookmarkStart w:id="169" w:name="_Toc129679191"/>
      <w:bookmarkStart w:id="170" w:name="_Toc130782453"/>
      <w:bookmarkStart w:id="171" w:name="_Toc130782662"/>
      <w:bookmarkStart w:id="172" w:name="_Toc130782710"/>
      <w:bookmarkStart w:id="173" w:name="_Toc133379720"/>
      <w:bookmarkStart w:id="174" w:name="_Toc133385315"/>
      <w:bookmarkStart w:id="175" w:name="_Toc147288403"/>
      <w:bookmarkStart w:id="176" w:name="_Toc170549120"/>
      <w:bookmarkStart w:id="177" w:name="_Toc170620873"/>
      <w:bookmarkStart w:id="178" w:name="_Toc170621025"/>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6 Jun 2008 p. 2307-8.]</w:t>
      </w:r>
    </w:p>
    <w:p>
      <w:pPr>
        <w:pStyle w:val="Heading2"/>
      </w:pPr>
      <w:bookmarkStart w:id="179" w:name="_Toc200510446"/>
      <w:bookmarkStart w:id="180" w:name="_Toc210787543"/>
      <w:bookmarkStart w:id="181" w:name="_Toc222820803"/>
      <w:bookmarkStart w:id="182" w:name="_Toc222889162"/>
      <w:bookmarkStart w:id="183" w:name="_Toc224108787"/>
      <w:bookmarkStart w:id="184" w:name="_Toc256152916"/>
      <w:bookmarkStart w:id="185" w:name="_Toc277943287"/>
      <w:r>
        <w:rPr>
          <w:rStyle w:val="CharPartNo"/>
        </w:rPr>
        <w:t>Part 2A</w:t>
      </w:r>
      <w:r>
        <w:rPr>
          <w:b w:val="0"/>
        </w:rPr>
        <w:t> </w:t>
      </w:r>
      <w:r>
        <w:t>—</w:t>
      </w:r>
      <w:r>
        <w:rPr>
          <w:b w:val="0"/>
        </w:rPr>
        <w:t> </w:t>
      </w:r>
      <w:r>
        <w:rPr>
          <w:rStyle w:val="CharPartText"/>
        </w:rPr>
        <w:t>Syndicate entries</w:t>
      </w:r>
      <w:bookmarkEnd w:id="179"/>
      <w:bookmarkEnd w:id="180"/>
      <w:bookmarkEnd w:id="181"/>
      <w:bookmarkEnd w:id="182"/>
      <w:bookmarkEnd w:id="183"/>
      <w:bookmarkEnd w:id="184"/>
      <w:bookmarkEnd w:id="185"/>
    </w:p>
    <w:p>
      <w:pPr>
        <w:pStyle w:val="Footnoteheading"/>
      </w:pPr>
      <w:r>
        <w:tab/>
        <w:t>[Heading inserted in Gazette 6 Jun 2008 p. 2308.]</w:t>
      </w:r>
    </w:p>
    <w:p>
      <w:pPr>
        <w:pStyle w:val="Heading5"/>
      </w:pPr>
      <w:bookmarkStart w:id="186" w:name="_Toc277943288"/>
      <w:bookmarkStart w:id="187" w:name="_Toc256152917"/>
      <w:r>
        <w:rPr>
          <w:rStyle w:val="CharSectno"/>
        </w:rPr>
        <w:t>14A</w:t>
      </w:r>
      <w:r>
        <w:t>.</w:t>
      </w:r>
      <w:r>
        <w:tab/>
        <w:t>Application of this Part</w:t>
      </w:r>
      <w:bookmarkEnd w:id="186"/>
      <w:bookmarkEnd w:id="187"/>
    </w:p>
    <w:p>
      <w:pPr>
        <w:pStyle w:val="Subsection"/>
      </w:pPr>
      <w:r>
        <w:tab/>
        <w:t>(1)</w:t>
      </w:r>
      <w:r>
        <w:tab/>
        <w:t>An “informal syndicate entry” in a lotto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lotto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[Rule 14A inserted in Gazette 6 Jun 2008 p. 2308-9.]</w:t>
      </w:r>
    </w:p>
    <w:p>
      <w:pPr>
        <w:pStyle w:val="Heading5"/>
      </w:pPr>
      <w:bookmarkStart w:id="188" w:name="_Toc277943289"/>
      <w:bookmarkStart w:id="189" w:name="_Toc256152918"/>
      <w:r>
        <w:rPr>
          <w:rStyle w:val="CharSectno"/>
        </w:rPr>
        <w:t>14B</w:t>
      </w:r>
      <w:r>
        <w:t>.</w:t>
      </w:r>
      <w:r>
        <w:tab/>
        <w:t>Establishing a syndicate</w:t>
      </w:r>
      <w:bookmarkEnd w:id="188"/>
      <w:bookmarkEnd w:id="189"/>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pPr>
      <w:r>
        <w:tab/>
        <w:t>(4)</w:t>
      </w:r>
      <w:r>
        <w:tab/>
        <w:t>The master ticket may be registered against a player’s card number.</w:t>
      </w:r>
    </w:p>
    <w:p>
      <w:pPr>
        <w:pStyle w:val="Subsection"/>
      </w:pPr>
      <w:r>
        <w:tab/>
        <w:t>(5)</w:t>
      </w:r>
      <w:r>
        <w:tab/>
        <w:t>A syndicate sales (subscription) adjustment may be required from time to time, and the adjustment will be made against the master ticket held by the Commission or the agent.</w:t>
      </w:r>
    </w:p>
    <w:p>
      <w:pPr>
        <w:pStyle w:val="Subsection"/>
      </w:pPr>
      <w:r>
        <w:tab/>
        <w:t>(6)</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Footnotesection"/>
      </w:pPr>
      <w:r>
        <w:tab/>
        <w:t>[Rule 14B inserted in Gazette 6 Jun 2008 p. 2309; amended in Gazette 12 Mar 2010 p. 942.]</w:t>
      </w:r>
    </w:p>
    <w:p>
      <w:pPr>
        <w:pStyle w:val="Heading5"/>
      </w:pPr>
      <w:bookmarkStart w:id="190" w:name="_Toc277943290"/>
      <w:bookmarkStart w:id="191" w:name="_Toc256152919"/>
      <w:r>
        <w:rPr>
          <w:rStyle w:val="CharSectno"/>
        </w:rPr>
        <w:t>14C</w:t>
      </w:r>
      <w:r>
        <w:t>.</w:t>
      </w:r>
      <w:r>
        <w:tab/>
        <w:t>Syndicate share and cost parameters</w:t>
      </w:r>
      <w:bookmarkEnd w:id="190"/>
      <w:bookmarkEnd w:id="191"/>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$5.00.</w:t>
      </w:r>
    </w:p>
    <w:p>
      <w:pPr>
        <w:pStyle w:val="Subsection"/>
      </w:pPr>
      <w:r>
        <w:tab/>
        <w:t>(6)</w:t>
      </w:r>
      <w:r>
        <w:tab/>
        <w:t>The maximum share cost for a syndicate is $20 000.</w:t>
      </w:r>
    </w:p>
    <w:p>
      <w:pPr>
        <w:pStyle w:val="Subsection"/>
      </w:pPr>
      <w:r>
        <w:tab/>
        <w:t>(7)</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Footnotesection"/>
      </w:pPr>
      <w:r>
        <w:tab/>
        <w:t>[Rule 14C inserted in Gazette 6 Jun 2008 p. 2309; amended in Gazette 12 Mar 2010 p. 942</w:t>
      </w:r>
      <w:r>
        <w:noBreakHyphen/>
        <w:t>3.]</w:t>
      </w:r>
    </w:p>
    <w:p>
      <w:pPr>
        <w:pStyle w:val="Heading5"/>
      </w:pPr>
      <w:bookmarkStart w:id="192" w:name="_Toc277943291"/>
      <w:bookmarkStart w:id="193" w:name="_Toc256152920"/>
      <w:r>
        <w:rPr>
          <w:rStyle w:val="CharSectno"/>
        </w:rPr>
        <w:t>14D</w:t>
      </w:r>
      <w:r>
        <w:t>.</w:t>
      </w:r>
      <w:r>
        <w:tab/>
        <w:t>Agent’s component of a syndicate share</w:t>
      </w:r>
      <w:bookmarkEnd w:id="192"/>
      <w:bookmarkEnd w:id="193"/>
    </w:p>
    <w:p>
      <w:pPr>
        <w:pStyle w:val="Subsection"/>
      </w:pPr>
      <w:r>
        <w:tab/>
      </w:r>
      <w:r>
        <w:tab/>
        <w:t>The agent’s component per share is the difference between the final price per share and the subscription per share.</w:t>
      </w:r>
    </w:p>
    <w:p>
      <w:pPr>
        <w:pStyle w:val="Footnotesection"/>
      </w:pPr>
      <w:r>
        <w:tab/>
        <w:t>[Rule 14D inserted in Gazette 12 Mar 2010 p. 943.]</w:t>
      </w:r>
    </w:p>
    <w:p>
      <w:pPr>
        <w:pStyle w:val="Heading5"/>
      </w:pPr>
      <w:bookmarkStart w:id="194" w:name="_Toc277943292"/>
      <w:bookmarkStart w:id="195" w:name="_Toc256152921"/>
      <w:r>
        <w:rPr>
          <w:rStyle w:val="CharSectno"/>
        </w:rPr>
        <w:t>14E</w:t>
      </w:r>
      <w:r>
        <w:t>.</w:t>
      </w:r>
      <w:r>
        <w:tab/>
        <w:t>Syndicate participation parameters</w:t>
      </w:r>
      <w:bookmarkEnd w:id="194"/>
      <w:bookmarkEnd w:id="195"/>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Monday lotto and Wednesday lotto, or for a combination of lotto under these rules and another type of lotto under the Act.</w:t>
      </w:r>
    </w:p>
    <w:p>
      <w:pPr>
        <w:pStyle w:val="Footnotesection"/>
      </w:pPr>
      <w:r>
        <w:tab/>
        <w:t>[Rule 14E inserted in Gazette 6 Jun 2008 p. 2310.]</w:t>
      </w:r>
    </w:p>
    <w:p>
      <w:pPr>
        <w:pStyle w:val="Heading5"/>
      </w:pPr>
      <w:bookmarkStart w:id="196" w:name="_Toc277943293"/>
      <w:bookmarkStart w:id="197" w:name="_Toc256152922"/>
      <w:r>
        <w:rPr>
          <w:rStyle w:val="CharSectno"/>
        </w:rPr>
        <w:t>14F</w:t>
      </w:r>
      <w:r>
        <w:t>.</w:t>
      </w:r>
      <w:r>
        <w:tab/>
        <w:t>Types of syndicates</w:t>
      </w:r>
      <w:bookmarkEnd w:id="196"/>
      <w:bookmarkEnd w:id="197"/>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14F inserted in Gazette 6 Jun 2008 p. 2310-11.]</w:t>
      </w:r>
    </w:p>
    <w:p>
      <w:pPr>
        <w:pStyle w:val="Heading5"/>
      </w:pPr>
      <w:bookmarkStart w:id="198" w:name="_Toc277943294"/>
      <w:bookmarkStart w:id="199" w:name="_Toc256152923"/>
      <w:r>
        <w:rPr>
          <w:rStyle w:val="CharSectno"/>
        </w:rPr>
        <w:t>14G</w:t>
      </w:r>
      <w:r>
        <w:t>.</w:t>
      </w:r>
      <w:r>
        <w:tab/>
        <w:t>Syndicate share receipted ticket</w:t>
      </w:r>
      <w:bookmarkEnd w:id="198"/>
      <w:bookmarkEnd w:id="199"/>
    </w:p>
    <w:p>
      <w:pPr>
        <w:pStyle w:val="Subsection"/>
      </w:pPr>
      <w:r>
        <w:tab/>
        <w:t>(1)</w:t>
      </w:r>
      <w:r>
        <w:tab/>
        <w:t>A syndicate share receipted ticket in a lotto draw may be registered by the subscriber that a player’s card membership number is allocated to that receipted ticket.</w:t>
      </w:r>
    </w:p>
    <w:p>
      <w:pPr>
        <w:pStyle w:val="Subsection"/>
      </w:pPr>
      <w:r>
        <w:tab/>
        <w:t>(2)</w:t>
      </w:r>
      <w:r>
        <w:tab/>
        <w:t>A syndicate share receipted ticket in a lotto draw cannot be cancelled but, where the Commission agrees, the entry fee may be refunded and the ticket may be returned for resale.</w:t>
      </w:r>
    </w:p>
    <w:p>
      <w:pPr>
        <w:pStyle w:val="Footnotesection"/>
      </w:pPr>
      <w:r>
        <w:tab/>
        <w:t>[Rule 14G inserted in Gazette 6 Jun 2008 p. 2311.]</w:t>
      </w:r>
    </w:p>
    <w:p>
      <w:pPr>
        <w:pStyle w:val="Heading5"/>
      </w:pPr>
      <w:bookmarkStart w:id="200" w:name="_Toc277943295"/>
      <w:bookmarkStart w:id="201" w:name="_Toc256152924"/>
      <w:r>
        <w:rPr>
          <w:rStyle w:val="CharSectno"/>
        </w:rPr>
        <w:t>14H</w:t>
      </w:r>
      <w:r>
        <w:t>.</w:t>
      </w:r>
      <w:r>
        <w:tab/>
        <w:t>Syndicate master ticket</w:t>
      </w:r>
      <w:bookmarkEnd w:id="200"/>
      <w:bookmarkEnd w:id="201"/>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14C(7), 14D and 22(5) are to be made against the master ticket for each syndicate.</w:t>
      </w:r>
    </w:p>
    <w:p>
      <w:pPr>
        <w:pStyle w:val="Subsection"/>
      </w:pPr>
      <w:r>
        <w:tab/>
        <w:t>(4)</w:t>
      </w:r>
      <w:r>
        <w:tab/>
        <w:t>Subject to subrule (4A), 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(4A)</w:t>
      </w:r>
      <w:r>
        <w:tab/>
        <w:t>In the case of a master ticket that is registered so that a player’s card membership number is allocated to that ticket, any prize entitlement may be paid out via the Player Registration Service payment process.</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14H inserted in Gazette 6 Jun 2008 p. 2311-12; amended in Gazette 12 Mar 2010 p. 943.]</w:t>
      </w:r>
    </w:p>
    <w:p>
      <w:pPr>
        <w:pStyle w:val="Heading2"/>
      </w:pPr>
      <w:bookmarkStart w:id="202" w:name="_Toc200510455"/>
      <w:bookmarkStart w:id="203" w:name="_Toc210787552"/>
      <w:bookmarkStart w:id="204" w:name="_Toc222820812"/>
      <w:bookmarkStart w:id="205" w:name="_Toc222889171"/>
      <w:bookmarkStart w:id="206" w:name="_Toc224108796"/>
      <w:bookmarkStart w:id="207" w:name="_Toc256152925"/>
      <w:bookmarkStart w:id="208" w:name="_Toc277943296"/>
      <w:r>
        <w:rPr>
          <w:rStyle w:val="CharPartNo"/>
        </w:rPr>
        <w:t>Part 3</w:t>
      </w:r>
      <w:r>
        <w:rPr>
          <w:rStyle w:val="CharDivNo"/>
        </w:rPr>
        <w:t> </w:t>
      </w:r>
      <w:r>
        <w:t>—</w:t>
      </w:r>
      <w:r>
        <w:rPr>
          <w:rStyle w:val="CharDivText"/>
        </w:rPr>
        <w:t> </w:t>
      </w:r>
      <w:r>
        <w:rPr>
          <w:rStyle w:val="CharPartText"/>
        </w:rPr>
        <w:t>General duties of Commission</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202"/>
      <w:bookmarkEnd w:id="203"/>
      <w:bookmarkEnd w:id="204"/>
      <w:bookmarkEnd w:id="205"/>
      <w:bookmarkEnd w:id="206"/>
      <w:bookmarkEnd w:id="207"/>
      <w:bookmarkEnd w:id="208"/>
    </w:p>
    <w:p>
      <w:pPr>
        <w:pStyle w:val="Heading5"/>
        <w:rPr>
          <w:snapToGrid w:val="0"/>
        </w:rPr>
      </w:pPr>
      <w:bookmarkStart w:id="209" w:name="_Toc5071684"/>
      <w:bookmarkStart w:id="210" w:name="_Toc5071993"/>
      <w:bookmarkStart w:id="211" w:name="_Toc9846758"/>
      <w:bookmarkStart w:id="212" w:name="_Toc48382038"/>
      <w:bookmarkStart w:id="213" w:name="_Toc130782711"/>
      <w:bookmarkStart w:id="214" w:name="_Toc277943297"/>
      <w:bookmarkStart w:id="215" w:name="_Toc256152926"/>
      <w:r>
        <w:rPr>
          <w:rStyle w:val="CharSectno"/>
        </w:rPr>
        <w:t>15</w:t>
      </w:r>
      <w:r>
        <w:rPr>
          <w:snapToGrid w:val="0"/>
        </w:rPr>
        <w:t>.</w:t>
      </w:r>
      <w:r>
        <w:rPr>
          <w:snapToGrid w:val="0"/>
        </w:rPr>
        <w:tab/>
        <w:t>Monday and Wednesday draws to be numbered</w:t>
      </w:r>
      <w:bookmarkEnd w:id="209"/>
      <w:bookmarkEnd w:id="210"/>
      <w:bookmarkEnd w:id="211"/>
      <w:bookmarkEnd w:id="212"/>
      <w:bookmarkEnd w:id="213"/>
      <w:bookmarkEnd w:id="214"/>
      <w:bookmarkEnd w:id="215"/>
    </w:p>
    <w:p>
      <w:pPr>
        <w:pStyle w:val="Subsection"/>
        <w:rPr>
          <w:snapToGrid w:val="0"/>
        </w:rPr>
      </w:pPr>
      <w:r>
        <w:rPr>
          <w:snapToGrid w:val="0"/>
        </w:rPr>
        <w:tab/>
      </w:r>
      <w:r>
        <w:rPr>
          <w:snapToGrid w:val="0"/>
        </w:rPr>
        <w:tab/>
        <w:t>Each Monday and Wednesday lotto draw conducted by the Commission is to be identified with a “draw number” commencing with draw number 2508 for the Monday lotto draw of 1 May 2006, followed sequentially by draw number 2509 for the Wednesday lotto draw of 3 May 2006.</w:t>
      </w:r>
    </w:p>
    <w:p>
      <w:pPr>
        <w:pStyle w:val="Heading5"/>
      </w:pPr>
      <w:bookmarkStart w:id="216" w:name="_Toc5071685"/>
      <w:bookmarkStart w:id="217" w:name="_Toc5071994"/>
      <w:bookmarkStart w:id="218" w:name="_Toc9846759"/>
      <w:bookmarkStart w:id="219" w:name="_Toc48382039"/>
      <w:bookmarkStart w:id="220" w:name="_Toc130782712"/>
      <w:bookmarkStart w:id="221" w:name="_Toc277943298"/>
      <w:bookmarkStart w:id="222" w:name="_Toc256152927"/>
      <w:r>
        <w:rPr>
          <w:rStyle w:val="CharSectno"/>
        </w:rPr>
        <w:t>16</w:t>
      </w:r>
      <w:r>
        <w:t>.</w:t>
      </w:r>
      <w:r>
        <w:tab/>
        <w:t>Supervision of lotto</w:t>
      </w:r>
      <w:bookmarkEnd w:id="216"/>
      <w:bookmarkEnd w:id="217"/>
      <w:bookmarkEnd w:id="218"/>
      <w:bookmarkEnd w:id="219"/>
      <w:r>
        <w:t xml:space="preserve"> draw</w:t>
      </w:r>
      <w:bookmarkEnd w:id="220"/>
      <w:bookmarkEnd w:id="221"/>
      <w:bookmarkEnd w:id="222"/>
    </w:p>
    <w:p>
      <w:pPr>
        <w:pStyle w:val="Subsection"/>
      </w:pPr>
      <w:r>
        <w:tab/>
      </w:r>
      <w:r>
        <w:tab/>
        <w:t>Each lotto draw is to be supervised in accordance with the relevant regulations of the State or Territory in which the draw takes place.</w:t>
      </w:r>
    </w:p>
    <w:p>
      <w:pPr>
        <w:pStyle w:val="Heading5"/>
        <w:rPr>
          <w:snapToGrid w:val="0"/>
        </w:rPr>
      </w:pPr>
      <w:bookmarkStart w:id="223" w:name="_Toc5071686"/>
      <w:bookmarkStart w:id="224" w:name="_Toc5071995"/>
      <w:bookmarkStart w:id="225" w:name="_Toc9846760"/>
      <w:bookmarkStart w:id="226" w:name="_Toc48382040"/>
      <w:bookmarkStart w:id="227" w:name="_Toc130782713"/>
      <w:bookmarkStart w:id="228" w:name="_Toc277943299"/>
      <w:bookmarkStart w:id="229" w:name="_Toc256152928"/>
      <w:r>
        <w:rPr>
          <w:rStyle w:val="CharSectno"/>
        </w:rPr>
        <w:t>17</w:t>
      </w:r>
      <w:r>
        <w:rPr>
          <w:snapToGrid w:val="0"/>
        </w:rPr>
        <w:t>.</w:t>
      </w:r>
      <w:r>
        <w:rPr>
          <w:snapToGrid w:val="0"/>
        </w:rPr>
        <w:tab/>
        <w:t>Publication of results</w:t>
      </w:r>
      <w:bookmarkEnd w:id="223"/>
      <w:bookmarkEnd w:id="224"/>
      <w:bookmarkEnd w:id="225"/>
      <w:bookmarkEnd w:id="226"/>
      <w:bookmarkEnd w:id="227"/>
      <w:bookmarkEnd w:id="228"/>
      <w:bookmarkEnd w:id="229"/>
    </w:p>
    <w:p>
      <w:pPr>
        <w:pStyle w:val="Subsection"/>
        <w:rPr>
          <w:snapToGrid w:val="0"/>
        </w:rPr>
      </w:pPr>
      <w:r>
        <w:rPr>
          <w:snapToGrid w:val="0"/>
        </w:rPr>
        <w:tab/>
      </w:r>
      <w:r>
        <w:rPr>
          <w:snapToGrid w:val="0"/>
        </w:rPr>
        <w:tab/>
        <w:t>After each lotto draw the Commission must publish, in a daily newspaper in this State —</w:t>
      </w:r>
    </w:p>
    <w:p>
      <w:pPr>
        <w:pStyle w:val="Indenta"/>
        <w:rPr>
          <w:snapToGrid w:val="0"/>
        </w:rPr>
      </w:pPr>
      <w:r>
        <w:rPr>
          <w:snapToGrid w:val="0"/>
        </w:rPr>
        <w:tab/>
      </w:r>
      <w:r>
        <w:t>(a)</w:t>
      </w:r>
      <w:r>
        <w:rPr>
          <w:snapToGrid w:val="0"/>
        </w:rPr>
        <w:tab/>
        <w:t>the “draw number” for that lotto draw;</w:t>
      </w:r>
    </w:p>
    <w:p>
      <w:pPr>
        <w:pStyle w:val="Indenta"/>
        <w:rPr>
          <w:snapToGrid w:val="0"/>
        </w:rPr>
      </w:pPr>
      <w:r>
        <w:rPr>
          <w:snapToGrid w:val="0"/>
        </w:rPr>
        <w:tab/>
      </w:r>
      <w:r>
        <w:t>(b)</w:t>
      </w:r>
      <w:r>
        <w:rPr>
          <w:snapToGrid w:val="0"/>
        </w:rPr>
        <w:tab/>
        <w:t>the 6 winning numbers and the 2 supplementary numbers;</w:t>
      </w:r>
    </w:p>
    <w:p>
      <w:pPr>
        <w:pStyle w:val="Indenta"/>
        <w:rPr>
          <w:snapToGrid w:val="0"/>
        </w:rPr>
      </w:pPr>
      <w:r>
        <w:rPr>
          <w:snapToGrid w:val="0"/>
        </w:rPr>
        <w:tab/>
      </w:r>
      <w:r>
        <w:t>(c)</w:t>
      </w:r>
      <w:r>
        <w:rPr>
          <w:snapToGrid w:val="0"/>
        </w:rPr>
        <w:tab/>
        <w:t>the prize pool for each division;</w:t>
      </w:r>
    </w:p>
    <w:p>
      <w:pPr>
        <w:pStyle w:val="Indenta"/>
        <w:rPr>
          <w:snapToGrid w:val="0"/>
        </w:rPr>
      </w:pPr>
      <w:r>
        <w:rPr>
          <w:snapToGrid w:val="0"/>
        </w:rPr>
        <w:tab/>
      </w:r>
      <w:r>
        <w:t>(d)</w:t>
      </w:r>
      <w:r>
        <w:rPr>
          <w:snapToGrid w:val="0"/>
        </w:rPr>
        <w:tab/>
        <w:t>the amount allocated to a winning game in each division;</w:t>
      </w:r>
    </w:p>
    <w:p>
      <w:pPr>
        <w:pStyle w:val="Indenta"/>
        <w:rPr>
          <w:snapToGrid w:val="0"/>
        </w:rPr>
      </w:pPr>
      <w:r>
        <w:rPr>
          <w:snapToGrid w:val="0"/>
        </w:rPr>
        <w:tab/>
      </w:r>
      <w:r>
        <w:t>(e)</w:t>
      </w:r>
      <w:r>
        <w:rPr>
          <w:snapToGrid w:val="0"/>
        </w:rPr>
        <w:tab/>
        <w:t>the validation period and the date after which division 1 prizes will be paid;</w:t>
      </w:r>
    </w:p>
    <w:p>
      <w:pPr>
        <w:pStyle w:val="Indenta"/>
        <w:rPr>
          <w:snapToGrid w:val="0"/>
        </w:rPr>
      </w:pPr>
      <w:r>
        <w:rPr>
          <w:snapToGrid w:val="0"/>
        </w:rPr>
        <w:tab/>
      </w:r>
      <w:r>
        <w:t>(f)</w:t>
      </w:r>
      <w:r>
        <w:rPr>
          <w:snapToGrid w:val="0"/>
        </w:rPr>
        <w:tab/>
        <w:t>the total prize pool for that lotto draw; and</w:t>
      </w:r>
    </w:p>
    <w:p>
      <w:pPr>
        <w:pStyle w:val="Indenta"/>
        <w:rPr>
          <w:snapToGrid w:val="0"/>
        </w:rPr>
      </w:pPr>
      <w:r>
        <w:rPr>
          <w:snapToGrid w:val="0"/>
        </w:rPr>
        <w:tab/>
      </w:r>
      <w:r>
        <w:t>(g)</w:t>
      </w:r>
      <w:r>
        <w:rPr>
          <w:snapToGrid w:val="0"/>
        </w:rPr>
        <w:tab/>
        <w:t>the amount, if any, to carry over as a jackpot to the division 1 prize pool for the next lotto draw.</w:t>
      </w:r>
    </w:p>
    <w:p>
      <w:pPr>
        <w:pStyle w:val="Heading5"/>
        <w:rPr>
          <w:snapToGrid w:val="0"/>
        </w:rPr>
      </w:pPr>
      <w:bookmarkStart w:id="230" w:name="_Toc5071687"/>
      <w:bookmarkStart w:id="231" w:name="_Toc5071996"/>
      <w:bookmarkStart w:id="232" w:name="_Toc9846761"/>
      <w:bookmarkStart w:id="233" w:name="_Toc48382041"/>
      <w:bookmarkStart w:id="234" w:name="_Toc130782714"/>
      <w:bookmarkStart w:id="235" w:name="_Toc277943300"/>
      <w:bookmarkStart w:id="236" w:name="_Toc256152929"/>
      <w:r>
        <w:rPr>
          <w:rStyle w:val="CharSectno"/>
        </w:rPr>
        <w:t>18</w:t>
      </w:r>
      <w:r>
        <w:rPr>
          <w:snapToGrid w:val="0"/>
        </w:rPr>
        <w:t>.</w:t>
      </w:r>
      <w:r>
        <w:rPr>
          <w:snapToGrid w:val="0"/>
        </w:rPr>
        <w:tab/>
        <w:t>Monday and Wednesday Lotto Bloc prize pool and prize reserve fund</w:t>
      </w:r>
      <w:bookmarkEnd w:id="230"/>
      <w:bookmarkEnd w:id="231"/>
      <w:bookmarkEnd w:id="232"/>
      <w:bookmarkEnd w:id="233"/>
      <w:bookmarkEnd w:id="234"/>
      <w:bookmarkEnd w:id="235"/>
      <w:bookmarkEnd w:id="236"/>
    </w:p>
    <w:p>
      <w:pPr>
        <w:pStyle w:val="Subsection"/>
        <w:rPr>
          <w:snapToGrid w:val="0"/>
        </w:rPr>
      </w:pPr>
      <w:r>
        <w:rPr>
          <w:snapToGrid w:val="0"/>
        </w:rPr>
        <w:tab/>
        <w:t>(1)</w:t>
      </w:r>
      <w:r>
        <w:rPr>
          <w:snapToGrid w:val="0"/>
        </w:rPr>
        <w:tab/>
        <w:t xml:space="preserve">The Commission must contribute 60% of all subscriptions received for each lotto draw to a combined </w:t>
      </w:r>
      <w:r>
        <w:t>Monday and Wednesday</w:t>
      </w:r>
      <w:r>
        <w:rPr>
          <w:snapToGrid w:val="0"/>
        </w:rPr>
        <w:t xml:space="preserve">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Monday and Wednesday</w:t>
      </w:r>
      <w:r>
        <w:rPr>
          <w:snapToGrid w:val="0"/>
        </w:rPr>
        <w:t xml:space="preserve"> Lotto Bloc 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Monday and Wednesday</w:t>
      </w:r>
      <w:r>
        <w:rPr>
          <w:snapToGrid w:val="0"/>
        </w:rPr>
        <w:t xml:space="preserve"> Lotto Bloc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lotto draws, as are agreed by the members of the </w:t>
      </w:r>
      <w:r>
        <w:t>Monday and Wednesday</w:t>
      </w:r>
      <w:r>
        <w:rPr>
          <w:snapToGrid w:val="0"/>
        </w:rPr>
        <w:t xml:space="preserve"> Lotto Bloc.</w:t>
      </w:r>
    </w:p>
    <w:p>
      <w:pPr>
        <w:pStyle w:val="Footnotesection"/>
      </w:pPr>
      <w:r>
        <w:tab/>
        <w:t>[Rule 18 amended in Gazette 29 Sep 2006 p. 4273-4; 26 Jun 2007 p. 3056; 6 Jun 2008 p. 2312.]</w:t>
      </w:r>
    </w:p>
    <w:p>
      <w:pPr>
        <w:pStyle w:val="Heading2"/>
      </w:pPr>
      <w:bookmarkStart w:id="237" w:name="_Toc129660702"/>
      <w:bookmarkStart w:id="238" w:name="_Toc129660750"/>
      <w:bookmarkStart w:id="239" w:name="_Toc129669298"/>
      <w:bookmarkStart w:id="240" w:name="_Toc129669354"/>
      <w:bookmarkStart w:id="241" w:name="_Toc129679037"/>
      <w:bookmarkStart w:id="242" w:name="_Toc129679148"/>
      <w:bookmarkStart w:id="243" w:name="_Toc129679196"/>
      <w:bookmarkStart w:id="244" w:name="_Toc130782458"/>
      <w:bookmarkStart w:id="245" w:name="_Toc130782667"/>
      <w:bookmarkStart w:id="246" w:name="_Toc130782715"/>
      <w:bookmarkStart w:id="247" w:name="_Toc133379725"/>
      <w:bookmarkStart w:id="248" w:name="_Toc133385320"/>
      <w:bookmarkStart w:id="249" w:name="_Toc147288408"/>
      <w:bookmarkStart w:id="250" w:name="_Toc170549125"/>
      <w:bookmarkStart w:id="251" w:name="_Toc170620878"/>
      <w:bookmarkStart w:id="252" w:name="_Toc170621030"/>
      <w:bookmarkStart w:id="253" w:name="_Toc200510460"/>
      <w:bookmarkStart w:id="254" w:name="_Toc210787557"/>
      <w:bookmarkStart w:id="255" w:name="_Toc222820817"/>
      <w:bookmarkStart w:id="256" w:name="_Toc222889176"/>
      <w:bookmarkStart w:id="257" w:name="_Toc224108801"/>
      <w:bookmarkStart w:id="258" w:name="_Toc256152930"/>
      <w:bookmarkStart w:id="259" w:name="_Toc277943301"/>
      <w:r>
        <w:rPr>
          <w:rStyle w:val="CharPartNo"/>
        </w:rPr>
        <w:t>Part 4</w:t>
      </w:r>
      <w:r>
        <w:t> — </w:t>
      </w:r>
      <w:r>
        <w:rPr>
          <w:rStyle w:val="CharPartText"/>
        </w:rPr>
        <w:t>Conducting a lotto draw</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Heading5"/>
        <w:spacing w:before="120"/>
        <w:rPr>
          <w:snapToGrid w:val="0"/>
        </w:rPr>
      </w:pPr>
      <w:bookmarkStart w:id="260" w:name="_Toc5071688"/>
      <w:bookmarkStart w:id="261" w:name="_Toc5071997"/>
      <w:bookmarkStart w:id="262" w:name="_Toc9846762"/>
      <w:bookmarkStart w:id="263" w:name="_Toc48382042"/>
      <w:bookmarkStart w:id="264" w:name="_Toc130782716"/>
      <w:bookmarkStart w:id="265" w:name="_Toc277943302"/>
      <w:bookmarkStart w:id="266" w:name="_Toc256152931"/>
      <w:r>
        <w:rPr>
          <w:rStyle w:val="CharSectno"/>
        </w:rPr>
        <w:t>19</w:t>
      </w:r>
      <w:r>
        <w:rPr>
          <w:snapToGrid w:val="0"/>
        </w:rPr>
        <w:t>.</w:t>
      </w:r>
      <w:r>
        <w:rPr>
          <w:snapToGrid w:val="0"/>
        </w:rPr>
        <w:tab/>
        <w:t>Lotto draw</w:t>
      </w:r>
      <w:bookmarkEnd w:id="260"/>
      <w:bookmarkEnd w:id="261"/>
      <w:bookmarkEnd w:id="262"/>
      <w:bookmarkEnd w:id="263"/>
      <w:bookmarkEnd w:id="264"/>
      <w:bookmarkEnd w:id="265"/>
      <w:bookmarkEnd w:id="266"/>
    </w:p>
    <w:p>
      <w:pPr>
        <w:pStyle w:val="Subsection"/>
        <w:rPr>
          <w:snapToGrid w:val="0"/>
        </w:rPr>
      </w:pPr>
      <w:r>
        <w:rPr>
          <w:snapToGrid w:val="0"/>
        </w:rPr>
        <w:tab/>
      </w:r>
      <w:r>
        <w:rPr>
          <w:snapToGrid w:val="0"/>
        </w:rPr>
        <w:tab/>
        <w:t>A lotto draw consists of the mechanical, equally random selection of 8 numbered balls from balls individually numbered from 1 to 45 inclusive from a barrel in a manner and using such equipment as the Commission or a designated authority determines.</w:t>
      </w:r>
    </w:p>
    <w:p>
      <w:pPr>
        <w:pStyle w:val="Heading5"/>
        <w:spacing w:before="120"/>
        <w:rPr>
          <w:snapToGrid w:val="0"/>
        </w:rPr>
      </w:pPr>
      <w:bookmarkStart w:id="267" w:name="_Toc5071689"/>
      <w:bookmarkStart w:id="268" w:name="_Toc5071998"/>
      <w:bookmarkStart w:id="269" w:name="_Toc9846763"/>
      <w:bookmarkStart w:id="270" w:name="_Toc48382043"/>
      <w:bookmarkStart w:id="271" w:name="_Toc130782717"/>
      <w:bookmarkStart w:id="272" w:name="_Toc277943303"/>
      <w:bookmarkStart w:id="273" w:name="_Toc256152932"/>
      <w:r>
        <w:rPr>
          <w:rStyle w:val="CharSectno"/>
        </w:rPr>
        <w:t>20</w:t>
      </w:r>
      <w:r>
        <w:rPr>
          <w:snapToGrid w:val="0"/>
        </w:rPr>
        <w:t>.</w:t>
      </w:r>
      <w:r>
        <w:rPr>
          <w:snapToGrid w:val="0"/>
        </w:rPr>
        <w:tab/>
        <w:t>Criteria for lotto prizes</w:t>
      </w:r>
      <w:bookmarkEnd w:id="267"/>
      <w:bookmarkEnd w:id="268"/>
      <w:bookmarkEnd w:id="269"/>
      <w:bookmarkEnd w:id="270"/>
      <w:bookmarkEnd w:id="271"/>
      <w:bookmarkEnd w:id="272"/>
      <w:bookmarkEnd w:id="273"/>
    </w:p>
    <w:p>
      <w:pPr>
        <w:pStyle w:val="Subsection"/>
        <w:rPr>
          <w:snapToGrid w:val="0"/>
        </w:rPr>
      </w:pPr>
      <w:r>
        <w:rPr>
          <w:snapToGrid w:val="0"/>
        </w:rPr>
        <w:tab/>
      </w:r>
      <w:r>
        <w:rPr>
          <w:snapToGrid w:val="0"/>
        </w:rPr>
        <w:tab/>
        <w:t xml:space="preserve">In a lotto draw the holder of a receipted ticket </w:t>
      </w:r>
      <w:ins w:id="274" w:author="Master Repository Process" w:date="2021-08-29T02:23:00Z">
        <w:r>
          <w:t xml:space="preserve">or the purchaser of an entry under the </w:t>
        </w:r>
        <w:r>
          <w:rPr>
            <w:i/>
            <w:iCs/>
          </w:rPr>
          <w:t xml:space="preserve">Lotteries Commission (Internet Entries) Rules 2010 </w:t>
        </w:r>
      </w:ins>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5 winning numbers and a supplementary number;</w:t>
      </w:r>
    </w:p>
    <w:p>
      <w:pPr>
        <w:pStyle w:val="Indenta"/>
        <w:rPr>
          <w:snapToGrid w:val="0"/>
        </w:rPr>
      </w:pPr>
      <w:r>
        <w:rPr>
          <w:snapToGrid w:val="0"/>
        </w:rPr>
        <w:tab/>
      </w:r>
      <w:r>
        <w:t>(c)</w:t>
      </w:r>
      <w:r>
        <w:rPr>
          <w:snapToGrid w:val="0"/>
        </w:rPr>
        <w:tab/>
        <w:t>division 3, if 5 winning numbers;</w:t>
      </w:r>
    </w:p>
    <w:p>
      <w:pPr>
        <w:pStyle w:val="Indenta"/>
        <w:rPr>
          <w:snapToGrid w:val="0"/>
        </w:rPr>
      </w:pPr>
      <w:r>
        <w:rPr>
          <w:snapToGrid w:val="0"/>
        </w:rPr>
        <w:tab/>
      </w:r>
      <w:r>
        <w:t>(d)</w:t>
      </w:r>
      <w:r>
        <w:rPr>
          <w:snapToGrid w:val="0"/>
        </w:rPr>
        <w:tab/>
        <w:t xml:space="preserve">division 4, if 4 winning numbers; </w:t>
      </w:r>
      <w:del w:id="275" w:author="Master Repository Process" w:date="2021-08-29T02:23:00Z">
        <w:r>
          <w:rPr>
            <w:snapToGrid w:val="0"/>
          </w:rPr>
          <w:delText>or</w:delText>
        </w:r>
      </w:del>
    </w:p>
    <w:p>
      <w:pPr>
        <w:pStyle w:val="Indenta"/>
        <w:rPr>
          <w:snapToGrid w:val="0"/>
        </w:rPr>
      </w:pPr>
      <w:r>
        <w:rPr>
          <w:snapToGrid w:val="0"/>
        </w:rPr>
        <w:tab/>
      </w:r>
      <w:r>
        <w:t>(e)</w:t>
      </w:r>
      <w:r>
        <w:rPr>
          <w:snapToGrid w:val="0"/>
        </w:rPr>
        <w:tab/>
        <w:t>division 5, if 3 winning numbers and a supplementary number,</w:t>
      </w:r>
    </w:p>
    <w:p>
      <w:pPr>
        <w:pStyle w:val="Subsection"/>
        <w:rPr>
          <w:snapToGrid w:val="0"/>
        </w:rPr>
      </w:pPr>
      <w:r>
        <w:rPr>
          <w:snapToGrid w:val="0"/>
        </w:rPr>
        <w:tab/>
      </w:r>
      <w:r>
        <w:rPr>
          <w:snapToGrid w:val="0"/>
        </w:rPr>
        <w:tab/>
        <w:t>are selected in the one game.</w:t>
      </w:r>
    </w:p>
    <w:p>
      <w:pPr>
        <w:pStyle w:val="Footnotesection"/>
        <w:rPr>
          <w:ins w:id="276" w:author="Master Repository Process" w:date="2021-08-29T02:23:00Z"/>
        </w:rPr>
      </w:pPr>
      <w:ins w:id="277" w:author="Master Repository Process" w:date="2021-08-29T02:23:00Z">
        <w:r>
          <w:tab/>
          <w:t>[Rule 20 amended in Gazette 19 Nov 2010 p. 5721.]</w:t>
        </w:r>
      </w:ins>
    </w:p>
    <w:p>
      <w:pPr>
        <w:pStyle w:val="Heading5"/>
        <w:rPr>
          <w:snapToGrid w:val="0"/>
        </w:rPr>
      </w:pPr>
      <w:bookmarkStart w:id="278" w:name="_Toc5071690"/>
      <w:bookmarkStart w:id="279" w:name="_Toc5071999"/>
      <w:bookmarkStart w:id="280" w:name="_Toc9846764"/>
      <w:bookmarkStart w:id="281" w:name="_Toc48382044"/>
      <w:bookmarkStart w:id="282" w:name="_Toc130782718"/>
      <w:bookmarkStart w:id="283" w:name="_Toc277943304"/>
      <w:bookmarkStart w:id="284" w:name="_Toc256152933"/>
      <w:r>
        <w:rPr>
          <w:rStyle w:val="CharSectno"/>
        </w:rPr>
        <w:t>21</w:t>
      </w:r>
      <w:r>
        <w:rPr>
          <w:snapToGrid w:val="0"/>
        </w:rPr>
        <w:t>.</w:t>
      </w:r>
      <w:r>
        <w:rPr>
          <w:snapToGrid w:val="0"/>
        </w:rPr>
        <w:tab/>
        <w:t>Only systems entry can win in more than one division</w:t>
      </w:r>
      <w:bookmarkEnd w:id="278"/>
      <w:bookmarkEnd w:id="279"/>
      <w:bookmarkEnd w:id="280"/>
      <w:bookmarkEnd w:id="281"/>
      <w:bookmarkEnd w:id="282"/>
      <w:bookmarkEnd w:id="283"/>
      <w:bookmarkEnd w:id="284"/>
    </w:p>
    <w:p>
      <w:pPr>
        <w:pStyle w:val="Subsection"/>
        <w:rPr>
          <w:snapToGrid w:val="0"/>
        </w:rPr>
      </w:pPr>
      <w:r>
        <w:rPr>
          <w:snapToGrid w:val="0"/>
        </w:rPr>
        <w:tab/>
        <w:t>(1)</w:t>
      </w:r>
      <w:r>
        <w:rPr>
          <w:snapToGrid w:val="0"/>
        </w:rPr>
        <w:tab/>
        <w:t xml:space="preserve">The holder of a receipted ticket </w:t>
      </w:r>
      <w:ins w:id="285" w:author="Master Repository Process" w:date="2021-08-29T02:23:00Z">
        <w:r>
          <w:t xml:space="preserve">or the purchaser of an entry under the </w:t>
        </w:r>
        <w:r>
          <w:rPr>
            <w:i/>
            <w:iCs/>
          </w:rPr>
          <w:t xml:space="preserve">Lotteries Commission (Internet Entries) Rules 2010 </w:t>
        </w:r>
      </w:ins>
      <w:r>
        <w:rPr>
          <w:snapToGrid w:val="0"/>
        </w:rPr>
        <w:t xml:space="preserve">may claim a prize in only one division for each lotto game entered with </w:t>
      </w:r>
      <w:r>
        <w:t>that ticket</w:t>
      </w:r>
      <w:ins w:id="286" w:author="Master Repository Process" w:date="2021-08-29T02:23:00Z">
        <w:r>
          <w:t xml:space="preserve"> or entry</w:t>
        </w:r>
      </w:ins>
      <w:r>
        <w:t>.</w:t>
      </w:r>
    </w:p>
    <w:p>
      <w:pPr>
        <w:pStyle w:val="Subsection"/>
        <w:rPr>
          <w:snapToGrid w:val="0"/>
        </w:rPr>
      </w:pPr>
      <w:r>
        <w:rPr>
          <w:snapToGrid w:val="0"/>
        </w:rPr>
        <w:tab/>
        <w:t>(2)</w:t>
      </w:r>
      <w:r>
        <w:rPr>
          <w:snapToGrid w:val="0"/>
        </w:rPr>
        <w:tab/>
        <w:t xml:space="preserve">The holder of a receipted ticket which </w:t>
      </w:r>
      <w:r>
        <w:t>contains</w:t>
      </w:r>
      <w:ins w:id="287" w:author="Master Repository Process" w:date="2021-08-29T02:23:00Z">
        <w:r>
          <w:t xml:space="preserve">, or the purchaser of an entry under the </w:t>
        </w:r>
        <w:r>
          <w:rPr>
            <w:i/>
            <w:iCs/>
          </w:rPr>
          <w:t>Lotteries Commission (Internet Entries) Rules 2010</w:t>
        </w:r>
        <w:r>
          <w:t xml:space="preserve"> which comprises,</w:t>
        </w:r>
      </w:ins>
      <w:r>
        <w:t xml:space="preserve"> </w:t>
      </w:r>
      <w:r>
        <w:rPr>
          <w:snapToGrid w:val="0"/>
        </w:rPr>
        <w:t>a systems entry may claim a prize in one division for each notional game making up that systems entry, resulting in prizes in more than one division for that entry as set out in Schedule 3.</w:t>
      </w:r>
    </w:p>
    <w:p>
      <w:pPr>
        <w:pStyle w:val="Subsection"/>
      </w:pPr>
      <w:bookmarkStart w:id="288" w:name="_Toc5071691"/>
      <w:bookmarkStart w:id="289" w:name="_Toc5072000"/>
      <w:bookmarkStart w:id="290" w:name="_Toc9846765"/>
      <w:bookmarkStart w:id="291" w:name="_Toc48382045"/>
      <w:bookmarkStart w:id="292" w:name="_Toc130782719"/>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pPr>
        <w:pStyle w:val="Footnotesection"/>
      </w:pPr>
      <w:r>
        <w:tab/>
        <w:t>[Rule 21 amended in Gazette 6 Jun 2008 p. 2312</w:t>
      </w:r>
      <w:ins w:id="293" w:author="Master Repository Process" w:date="2021-08-29T02:23:00Z">
        <w:r>
          <w:t>; 19 Nov 2010 p. 5722</w:t>
        </w:r>
      </w:ins>
      <w:r>
        <w:t>.]</w:t>
      </w:r>
    </w:p>
    <w:p>
      <w:pPr>
        <w:pStyle w:val="Heading5"/>
        <w:rPr>
          <w:snapToGrid w:val="0"/>
        </w:rPr>
      </w:pPr>
      <w:bookmarkStart w:id="294" w:name="_Toc277943305"/>
      <w:bookmarkStart w:id="295" w:name="_Toc256152934"/>
      <w:r>
        <w:rPr>
          <w:rStyle w:val="CharSectno"/>
        </w:rPr>
        <w:t>22</w:t>
      </w:r>
      <w:r>
        <w:rPr>
          <w:snapToGrid w:val="0"/>
        </w:rPr>
        <w:t>.</w:t>
      </w:r>
      <w:r>
        <w:rPr>
          <w:snapToGrid w:val="0"/>
        </w:rPr>
        <w:tab/>
        <w:t>Distribution of lotto prize pool</w:t>
      </w:r>
      <w:bookmarkEnd w:id="288"/>
      <w:bookmarkEnd w:id="289"/>
      <w:bookmarkEnd w:id="290"/>
      <w:bookmarkEnd w:id="291"/>
      <w:bookmarkEnd w:id="292"/>
      <w:bookmarkEnd w:id="294"/>
      <w:bookmarkEnd w:id="295"/>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26 Jun 2007 p. 3056; 6 Jun 2008 p. 2312-13.]</w:t>
      </w:r>
    </w:p>
    <w:p>
      <w:pPr>
        <w:pStyle w:val="Heading5"/>
        <w:rPr>
          <w:snapToGrid w:val="0"/>
        </w:rPr>
      </w:pPr>
      <w:bookmarkStart w:id="296" w:name="_Toc5071692"/>
      <w:bookmarkStart w:id="297" w:name="_Toc5072001"/>
      <w:bookmarkStart w:id="298" w:name="_Toc9846766"/>
      <w:bookmarkStart w:id="299" w:name="_Toc48382046"/>
      <w:bookmarkStart w:id="300" w:name="_Toc130782720"/>
      <w:bookmarkStart w:id="301" w:name="_Toc277943306"/>
      <w:bookmarkStart w:id="302" w:name="_Toc256152935"/>
      <w:r>
        <w:rPr>
          <w:rStyle w:val="CharSectno"/>
        </w:rPr>
        <w:t>23</w:t>
      </w:r>
      <w:r>
        <w:rPr>
          <w:snapToGrid w:val="0"/>
        </w:rPr>
        <w:t>.</w:t>
      </w:r>
      <w:r>
        <w:rPr>
          <w:snapToGrid w:val="0"/>
        </w:rPr>
        <w:tab/>
        <w:t>Division 1 jackpot</w:t>
      </w:r>
      <w:bookmarkEnd w:id="296"/>
      <w:bookmarkEnd w:id="297"/>
      <w:bookmarkEnd w:id="298"/>
      <w:bookmarkEnd w:id="299"/>
      <w:bookmarkEnd w:id="300"/>
      <w:bookmarkEnd w:id="301"/>
      <w:bookmarkEnd w:id="302"/>
    </w:p>
    <w:p>
      <w:pPr>
        <w:pStyle w:val="Subsection"/>
        <w:rPr>
          <w:snapToGrid w:val="0"/>
        </w:rPr>
      </w:pPr>
      <w:r>
        <w:rPr>
          <w:snapToGrid w:val="0"/>
        </w:rPr>
        <w:tab/>
        <w:t>(1)</w:t>
      </w:r>
      <w:r>
        <w:rPr>
          <w:snapToGrid w:val="0"/>
        </w:rPr>
        <w:tab/>
        <w:t>If no one wins a division 1 prize in a particular lotto draw, then the division 1 prize pool for that draw (excluding any prize reserve fund augmentation) is to be added to, and then forms part of, the division 1 prize pool for the next lotto draw.</w:t>
      </w:r>
    </w:p>
    <w:p>
      <w:pPr>
        <w:pStyle w:val="Ednotesubsection"/>
      </w:pPr>
      <w:r>
        <w:tab/>
      </w:r>
      <w:del w:id="303" w:author="Master Repository Process" w:date="2021-08-29T02:23:00Z">
        <w:r>
          <w:delText>(</w:delText>
        </w:r>
      </w:del>
      <w:ins w:id="304" w:author="Master Repository Process" w:date="2021-08-29T02:23:00Z">
        <w:r>
          <w:t>[(</w:t>
        </w:r>
      </w:ins>
      <w:r>
        <w:t>2)</w:t>
      </w:r>
      <w:r>
        <w:tab/>
      </w:r>
      <w:del w:id="305" w:author="Master Repository Process" w:date="2021-08-29T02:23:00Z">
        <w:r>
          <w:delText>In subrule (1) —</w:delText>
        </w:r>
      </w:del>
      <w:ins w:id="306" w:author="Master Repository Process" w:date="2021-08-29T02:23:00Z">
        <w:r>
          <w:t>deleted]</w:t>
        </w:r>
      </w:ins>
    </w:p>
    <w:p>
      <w:pPr>
        <w:pStyle w:val="Defstart"/>
        <w:rPr>
          <w:del w:id="307" w:author="Master Repository Process" w:date="2021-08-29T02:23:00Z"/>
        </w:rPr>
      </w:pPr>
      <w:del w:id="308" w:author="Master Repository Process" w:date="2021-08-29T02:23:00Z">
        <w:r>
          <w:rPr>
            <w:b/>
          </w:rPr>
          <w:tab/>
        </w:r>
        <w:r>
          <w:rPr>
            <w:rStyle w:val="CharDefText"/>
          </w:rPr>
          <w:delText>lotto draw</w:delText>
        </w:r>
        <w:r>
          <w:delText xml:space="preserve"> means Monday lotto draw or Wednesday lotto draw.</w:delText>
        </w:r>
      </w:del>
    </w:p>
    <w:p>
      <w:pPr>
        <w:pStyle w:val="Footnotesection"/>
      </w:pPr>
      <w:r>
        <w:tab/>
        <w:t>[Rule 23 amended in Gazette 6 Jun 2008 p. 2313</w:t>
      </w:r>
      <w:ins w:id="309" w:author="Master Repository Process" w:date="2021-08-29T02:23:00Z">
        <w:r>
          <w:t>; 19 Nov 2010 p. 5722</w:t>
        </w:r>
      </w:ins>
      <w:r>
        <w:t>.]</w:t>
      </w:r>
    </w:p>
    <w:p>
      <w:pPr>
        <w:pStyle w:val="Heading5"/>
        <w:rPr>
          <w:snapToGrid w:val="0"/>
        </w:rPr>
      </w:pPr>
      <w:bookmarkStart w:id="310" w:name="_Toc5071693"/>
      <w:bookmarkStart w:id="311" w:name="_Toc5072002"/>
      <w:bookmarkStart w:id="312" w:name="_Toc9846767"/>
      <w:bookmarkStart w:id="313" w:name="_Toc48382047"/>
      <w:bookmarkStart w:id="314" w:name="_Toc130782721"/>
      <w:bookmarkStart w:id="315" w:name="_Toc277943307"/>
      <w:bookmarkStart w:id="316" w:name="_Toc256152936"/>
      <w:r>
        <w:rPr>
          <w:rStyle w:val="CharSectno"/>
        </w:rPr>
        <w:t>24</w:t>
      </w:r>
      <w:r>
        <w:rPr>
          <w:snapToGrid w:val="0"/>
        </w:rPr>
        <w:t>.</w:t>
      </w:r>
      <w:r>
        <w:rPr>
          <w:snapToGrid w:val="0"/>
        </w:rPr>
        <w:tab/>
        <w:t>Division 2-4 prize pools may go to next lower division</w:t>
      </w:r>
      <w:bookmarkEnd w:id="310"/>
      <w:bookmarkEnd w:id="311"/>
      <w:bookmarkEnd w:id="312"/>
      <w:bookmarkEnd w:id="313"/>
      <w:bookmarkEnd w:id="314"/>
      <w:bookmarkEnd w:id="315"/>
      <w:bookmarkEnd w:id="316"/>
    </w:p>
    <w:p>
      <w:pPr>
        <w:pStyle w:val="Subsection"/>
        <w:rPr>
          <w:snapToGrid w:val="0"/>
        </w:rPr>
      </w:pPr>
      <w:r>
        <w:rPr>
          <w:snapToGrid w:val="0"/>
        </w:rPr>
        <w:tab/>
      </w:r>
      <w:r>
        <w:rPr>
          <w:snapToGrid w:val="0"/>
        </w:rPr>
        <w:tab/>
        <w:t>If no one wins a prize in division 2, 3 or 4 in a particular lotto draw, then the prize pool for that division is to be added to the prize pool for the next lower division in which there is at least one winner in that lotto draw.</w:t>
      </w:r>
    </w:p>
    <w:p>
      <w:pPr>
        <w:pStyle w:val="Heading5"/>
        <w:rPr>
          <w:snapToGrid w:val="0"/>
        </w:rPr>
      </w:pPr>
      <w:bookmarkStart w:id="317" w:name="_Toc5071694"/>
      <w:bookmarkStart w:id="318" w:name="_Toc5072003"/>
      <w:bookmarkStart w:id="319" w:name="_Toc9846768"/>
      <w:bookmarkStart w:id="320" w:name="_Toc48382048"/>
      <w:bookmarkStart w:id="321" w:name="_Toc130782722"/>
      <w:bookmarkStart w:id="322" w:name="_Toc277943308"/>
      <w:bookmarkStart w:id="323" w:name="_Toc256152937"/>
      <w:r>
        <w:rPr>
          <w:rStyle w:val="CharSectno"/>
        </w:rPr>
        <w:t>25</w:t>
      </w:r>
      <w:r>
        <w:rPr>
          <w:snapToGrid w:val="0"/>
        </w:rPr>
        <w:t>.</w:t>
      </w:r>
      <w:r>
        <w:rPr>
          <w:snapToGrid w:val="0"/>
        </w:rPr>
        <w:tab/>
        <w:t>Super draws and guaranteed prize pools</w:t>
      </w:r>
      <w:bookmarkEnd w:id="317"/>
      <w:bookmarkEnd w:id="318"/>
      <w:bookmarkEnd w:id="319"/>
      <w:bookmarkEnd w:id="320"/>
      <w:bookmarkEnd w:id="321"/>
      <w:bookmarkEnd w:id="322"/>
      <w:bookmarkEnd w:id="323"/>
    </w:p>
    <w:p>
      <w:pPr>
        <w:pStyle w:val="Subsection"/>
        <w:rPr>
          <w:snapToGrid w:val="0"/>
        </w:rPr>
      </w:pPr>
      <w:r>
        <w:rPr>
          <w:snapToGrid w:val="0"/>
        </w:rPr>
        <w:tab/>
        <w:t>(1)</w:t>
      </w:r>
      <w:r>
        <w:rPr>
          <w:snapToGrid w:val="0"/>
        </w:rPr>
        <w:tab/>
        <w:t>The Commission may fix a minimum guaranteed prize pool for division 1 in any lotto draw.</w:t>
      </w:r>
    </w:p>
    <w:p>
      <w:pPr>
        <w:pStyle w:val="Subsection"/>
        <w:rPr>
          <w:snapToGrid w:val="0"/>
        </w:rPr>
      </w:pPr>
      <w:r>
        <w:rPr>
          <w:snapToGrid w:val="0"/>
        </w:rPr>
        <w:tab/>
        <w:t>(2)</w:t>
      </w:r>
      <w:r>
        <w:rPr>
          <w:snapToGrid w:val="0"/>
        </w:rPr>
        <w:tab/>
        <w:t>The Commission may from time to time declare a lotto draw to be a Super draw and fix a higher minimum guaranteed prize pool for division 1 in that draw.</w:t>
      </w:r>
    </w:p>
    <w:p>
      <w:pPr>
        <w:pStyle w:val="Subsection"/>
        <w:rPr>
          <w:snapToGrid w:val="0"/>
        </w:rPr>
      </w:pPr>
      <w:r>
        <w:rPr>
          <w:snapToGrid w:val="0"/>
        </w:rPr>
        <w:tab/>
        <w:t>(3)</w:t>
      </w:r>
      <w:r>
        <w:rPr>
          <w:snapToGrid w:val="0"/>
        </w:rPr>
        <w:tab/>
        <w:t>The Commission may add all or part of the prize reserve fund to the division 1 prize pool to increase the division 1 prize pool to the guaranteed amount and any amount so added forms part of that prize pool.</w:t>
      </w:r>
    </w:p>
    <w:p>
      <w:pPr>
        <w:pStyle w:val="Subsection"/>
        <w:rPr>
          <w:snapToGrid w:val="0"/>
        </w:rPr>
      </w:pPr>
      <w:r>
        <w:rPr>
          <w:snapToGrid w:val="0"/>
        </w:rPr>
        <w:tab/>
        <w:t>(4)</w:t>
      </w:r>
      <w:r>
        <w:rPr>
          <w:snapToGrid w:val="0"/>
        </w:rPr>
        <w:tab/>
        <w:t>Where a Super draw is declared under this rule, and a jackpot division 1 prize coincides with that draw, the Commission may elect to reduce the augmentation under subrule (3) by the amount of the jackpot.</w:t>
      </w:r>
    </w:p>
    <w:p>
      <w:pPr>
        <w:pStyle w:val="Subsection"/>
        <w:rPr>
          <w:snapToGrid w:val="0"/>
        </w:rPr>
      </w:pPr>
      <w:r>
        <w:rPr>
          <w:snapToGrid w:val="0"/>
        </w:rPr>
        <w:tab/>
        <w:t>(5)</w:t>
      </w:r>
      <w:r>
        <w:rPr>
          <w:snapToGrid w:val="0"/>
        </w:rPr>
        <w:tab/>
        <w:t>If —</w:t>
      </w:r>
    </w:p>
    <w:p>
      <w:pPr>
        <w:pStyle w:val="Indenta"/>
        <w:rPr>
          <w:snapToGrid w:val="0"/>
        </w:rPr>
      </w:pPr>
      <w:r>
        <w:rPr>
          <w:snapToGrid w:val="0"/>
        </w:rPr>
        <w:tab/>
      </w:r>
      <w:r>
        <w:t>(a)</w:t>
      </w:r>
      <w:r>
        <w:rPr>
          <w:snapToGrid w:val="0"/>
        </w:rPr>
        <w:tab/>
        <w:t>no one wins a division 1 prize in a particular draw; and</w:t>
      </w:r>
    </w:p>
    <w:p>
      <w:pPr>
        <w:pStyle w:val="Indenta"/>
        <w:rPr>
          <w:snapToGrid w:val="0"/>
        </w:rPr>
      </w:pPr>
      <w:r>
        <w:rPr>
          <w:snapToGrid w:val="0"/>
        </w:rPr>
        <w:tab/>
      </w:r>
      <w:r>
        <w:t>(b)</w:t>
      </w:r>
      <w:r>
        <w:rPr>
          <w:snapToGrid w:val="0"/>
        </w:rPr>
        <w:tab/>
        <w:t>all or part of the prize reserve fund would have to have been used to increase the division 1 prize pool to a guaranteed amount had there been a division 1 winner,</w:t>
      </w:r>
    </w:p>
    <w:p>
      <w:pPr>
        <w:pStyle w:val="Subsection"/>
        <w:rPr>
          <w:snapToGrid w:val="0"/>
          <w:spacing w:val="-4"/>
        </w:rPr>
      </w:pPr>
      <w:r>
        <w:rPr>
          <w:snapToGrid w:val="0"/>
          <w:spacing w:val="-4"/>
        </w:rPr>
        <w:tab/>
      </w:r>
      <w:r>
        <w:rPr>
          <w:snapToGrid w:val="0"/>
          <w:spacing w:val="-4"/>
        </w:rPr>
        <w:tab/>
        <w:t>the amount of the reserve that would have been so used is not to be included as part of the division 1 prize pool for that draw when calculating the jackpot prize pool for the next lotto draw.</w:t>
      </w:r>
    </w:p>
    <w:p>
      <w:pPr>
        <w:pStyle w:val="Footnotesection"/>
      </w:pPr>
      <w:bookmarkStart w:id="324" w:name="_Toc5071695"/>
      <w:bookmarkStart w:id="325" w:name="_Toc5072004"/>
      <w:bookmarkStart w:id="326" w:name="_Toc9846769"/>
      <w:bookmarkStart w:id="327" w:name="_Toc48382049"/>
      <w:bookmarkStart w:id="328" w:name="_Toc130782723"/>
      <w:r>
        <w:tab/>
        <w:t>[Rule 25 amended in Gazette 6 Jun 2008 p. 2313.]</w:t>
      </w:r>
    </w:p>
    <w:p>
      <w:pPr>
        <w:pStyle w:val="Heading5"/>
        <w:rPr>
          <w:snapToGrid w:val="0"/>
        </w:rPr>
      </w:pPr>
      <w:bookmarkStart w:id="329" w:name="_Toc277943309"/>
      <w:bookmarkStart w:id="330" w:name="_Toc256152938"/>
      <w:r>
        <w:rPr>
          <w:rStyle w:val="CharSectno"/>
        </w:rPr>
        <w:t>26</w:t>
      </w:r>
      <w:r>
        <w:rPr>
          <w:snapToGrid w:val="0"/>
        </w:rPr>
        <w:t>.</w:t>
      </w:r>
      <w:r>
        <w:rPr>
          <w:snapToGrid w:val="0"/>
        </w:rPr>
        <w:tab/>
        <w:t>Division 1 prizes</w:t>
      </w:r>
      <w:bookmarkEnd w:id="324"/>
      <w:bookmarkEnd w:id="325"/>
      <w:bookmarkEnd w:id="326"/>
      <w:bookmarkEnd w:id="327"/>
      <w:bookmarkEnd w:id="328"/>
      <w:bookmarkEnd w:id="329"/>
      <w:bookmarkEnd w:id="330"/>
    </w:p>
    <w:p>
      <w:pPr>
        <w:pStyle w:val="Subsection"/>
        <w:rPr>
          <w:ins w:id="331" w:author="Master Repository Process" w:date="2021-08-29T02:23:00Z"/>
        </w:rPr>
      </w:pPr>
      <w:ins w:id="332" w:author="Master Repository Process" w:date="2021-08-29T02:23:00Z">
        <w:r>
          <w:rPr>
            <w:snapToGrid w:val="0"/>
          </w:rPr>
          <w:tab/>
          <w:t>(1A)</w:t>
        </w:r>
        <w:r>
          <w:rPr>
            <w:snapToGrid w:val="0"/>
          </w:rPr>
          <w:tab/>
          <w:t xml:space="preserve">A division 1 prize in a </w:t>
        </w:r>
        <w:r>
          <w:t>lotto draw</w:t>
        </w:r>
        <w:r>
          <w:rPr>
            <w:snapToGrid w:val="0"/>
          </w:rPr>
          <w:t xml:space="preserve"> is to be paid in accordance with these rules and </w:t>
        </w:r>
        <w:r>
          <w:t xml:space="preserve">the </w:t>
        </w:r>
        <w:r>
          <w:rPr>
            <w:i/>
            <w:iCs/>
          </w:rPr>
          <w:t>Lotteries Commission (Internet Entries) Rules 2010</w:t>
        </w:r>
        <w:r>
          <w:t>.</w:t>
        </w:r>
      </w:ins>
    </w:p>
    <w:p>
      <w:pPr>
        <w:pStyle w:val="Subsection"/>
        <w:rPr>
          <w:snapToGrid w:val="0"/>
        </w:rPr>
      </w:pPr>
      <w:r>
        <w:rPr>
          <w:snapToGrid w:val="0"/>
        </w:rPr>
        <w:tab/>
        <w:t>(1)</w:t>
      </w:r>
      <w:r>
        <w:rPr>
          <w:snapToGrid w:val="0"/>
        </w:rPr>
        <w:tab/>
        <w:t>To claim a division 1 prize in a lotto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 xml:space="preserve">Subject to subrule (3), a division 1 prize in a lotto draw is to be </w:t>
      </w:r>
      <w:r>
        <w:t>paid</w:t>
      </w:r>
      <w:ins w:id="333" w:author="Master Repository Process" w:date="2021-08-29T02:23:00Z">
        <w:r>
          <w:t xml:space="preserve"> to the holder of a winning receipted ticket</w:t>
        </w:r>
      </w:ins>
      <w:r>
        <w:t> —</w:t>
      </w:r>
    </w:p>
    <w:p>
      <w:pPr>
        <w:pStyle w:val="Indenta"/>
        <w:rPr>
          <w:snapToGrid w:val="0"/>
        </w:rPr>
      </w:pPr>
      <w:r>
        <w:rPr>
          <w:snapToGrid w:val="0"/>
        </w:rPr>
        <w:tab/>
      </w:r>
      <w:r>
        <w:t>(a)</w:t>
      </w:r>
      <w:r>
        <w:rPr>
          <w:snapToGrid w:val="0"/>
        </w:rPr>
        <w:tab/>
        <w:t>by the Commission;</w:t>
      </w:r>
      <w:ins w:id="334" w:author="Master Repository Process" w:date="2021-08-29T02:23:00Z">
        <w:r>
          <w:rPr>
            <w:snapToGrid w:val="0"/>
          </w:rPr>
          <w:t xml:space="preserve"> and</w:t>
        </w:r>
      </w:ins>
    </w:p>
    <w:p>
      <w:pPr>
        <w:pStyle w:val="Indenta"/>
        <w:rPr>
          <w:snapToGrid w:val="0"/>
        </w:rPr>
      </w:pPr>
      <w:r>
        <w:rPr>
          <w:snapToGrid w:val="0"/>
        </w:rPr>
        <w:tab/>
      </w:r>
      <w:r>
        <w:t>(b)</w:t>
      </w:r>
      <w:r>
        <w:rPr>
          <w:snapToGrid w:val="0"/>
        </w:rPr>
        <w:tab/>
      </w:r>
      <w:r>
        <w:t xml:space="preserve">subject to rule 31A, </w:t>
      </w:r>
      <w:r>
        <w:rPr>
          <w:snapToGrid w:val="0"/>
        </w:rPr>
        <w:t>by cheque or in any other manner determined by the Commission; and</w:t>
      </w:r>
    </w:p>
    <w:p>
      <w:pPr>
        <w:pStyle w:val="Indenta"/>
        <w:rPr>
          <w:snapToGrid w:val="0"/>
        </w:rPr>
      </w:pPr>
      <w:r>
        <w:rPr>
          <w:snapToGrid w:val="0"/>
        </w:rPr>
        <w:tab/>
      </w:r>
      <w:r>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r>
      <w:r>
        <w:t>(a)</w:t>
      </w:r>
      <w:r>
        <w:rPr>
          <w:snapToGrid w:val="0"/>
        </w:rPr>
        <w:tab/>
        <w:t>the identity of the prize winner;</w:t>
      </w:r>
    </w:p>
    <w:p>
      <w:pPr>
        <w:pStyle w:val="Indenta"/>
        <w:rPr>
          <w:snapToGrid w:val="0"/>
        </w:rPr>
      </w:pPr>
      <w:r>
        <w:rPr>
          <w:snapToGrid w:val="0"/>
        </w:rPr>
        <w:tab/>
      </w:r>
      <w:r>
        <w:t>(b)</w:t>
      </w:r>
      <w:r>
        <w:rPr>
          <w:snapToGrid w:val="0"/>
        </w:rPr>
        <w:tab/>
        <w:t>the name and address of the person to be paid; and</w:t>
      </w:r>
    </w:p>
    <w:p>
      <w:pPr>
        <w:pStyle w:val="Indenta"/>
        <w:rPr>
          <w:snapToGrid w:val="0"/>
        </w:rPr>
      </w:pPr>
      <w:r>
        <w:rPr>
          <w:snapToGrid w:val="0"/>
        </w:rPr>
        <w:tab/>
      </w:r>
      <w:r>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w:t>
      </w:r>
    </w:p>
    <w:p>
      <w:pPr>
        <w:pStyle w:val="Indenta"/>
        <w:rPr>
          <w:snapToGrid w:val="0"/>
        </w:rPr>
      </w:pPr>
      <w:r>
        <w:rPr>
          <w:snapToGrid w:val="0"/>
        </w:rPr>
        <w:tab/>
      </w:r>
      <w:r>
        <w:t>(d)</w:t>
      </w:r>
      <w:r>
        <w:rPr>
          <w:snapToGrid w:val="0"/>
        </w:rPr>
        <w:tab/>
        <w:t>accept the claim but refuse to pay the prize until it is satisfied of the details referred to in paragraphs (a), (b) and (c);</w:t>
      </w:r>
    </w:p>
    <w:p>
      <w:pPr>
        <w:pStyle w:val="Indenta"/>
        <w:rPr>
          <w:snapToGrid w:val="0"/>
        </w:rPr>
      </w:pPr>
      <w:r>
        <w:rPr>
          <w:snapToGrid w:val="0"/>
        </w:rPr>
        <w:tab/>
      </w:r>
      <w:r>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r>
      <w:r>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rPr>
          <w:snapToGrid w:val="0"/>
        </w:rPr>
      </w:pPr>
      <w:r>
        <w:rPr>
          <w:snapToGrid w:val="0"/>
        </w:rPr>
        <w:tab/>
        <w:t>(5)</w:t>
      </w:r>
      <w:r>
        <w:rPr>
          <w:snapToGrid w:val="0"/>
        </w:rPr>
        <w:tab/>
        <w:t>Where the holder of a receipted ticket wins a division 1 prize in a lotto draw and one or more other prizes on the same ticket, none of those prizes are to be paid until after the validation period for that draw.</w:t>
      </w:r>
    </w:p>
    <w:p>
      <w:pPr>
        <w:pStyle w:val="Footnotesection"/>
      </w:pPr>
      <w:bookmarkStart w:id="335" w:name="_Toc5071696"/>
      <w:bookmarkStart w:id="336" w:name="_Toc5072005"/>
      <w:bookmarkStart w:id="337" w:name="_Toc9846770"/>
      <w:bookmarkStart w:id="338" w:name="_Toc48382050"/>
      <w:bookmarkStart w:id="339" w:name="_Toc130782724"/>
      <w:r>
        <w:tab/>
        <w:t>[Rule 26 amended in Gazette 6 Jun 2008 p. 2313</w:t>
      </w:r>
      <w:ins w:id="340" w:author="Master Repository Process" w:date="2021-08-29T02:23:00Z">
        <w:r>
          <w:t>; 19 Nov 2010 p. 5722</w:t>
        </w:r>
      </w:ins>
      <w:r>
        <w:t>.]</w:t>
      </w:r>
    </w:p>
    <w:p>
      <w:pPr>
        <w:pStyle w:val="Heading5"/>
        <w:rPr>
          <w:snapToGrid w:val="0"/>
        </w:rPr>
      </w:pPr>
      <w:bookmarkStart w:id="341" w:name="_Toc277943310"/>
      <w:bookmarkStart w:id="342" w:name="_Toc256152939"/>
      <w:r>
        <w:rPr>
          <w:rStyle w:val="CharSectno"/>
        </w:rPr>
        <w:t>27</w:t>
      </w:r>
      <w:r>
        <w:rPr>
          <w:snapToGrid w:val="0"/>
        </w:rPr>
        <w:t>.</w:t>
      </w:r>
      <w:r>
        <w:rPr>
          <w:snapToGrid w:val="0"/>
        </w:rPr>
        <w:tab/>
        <w:t>Division 2 prizes</w:t>
      </w:r>
      <w:bookmarkEnd w:id="335"/>
      <w:bookmarkEnd w:id="336"/>
      <w:bookmarkEnd w:id="337"/>
      <w:bookmarkEnd w:id="338"/>
      <w:bookmarkEnd w:id="339"/>
      <w:bookmarkEnd w:id="341"/>
      <w:bookmarkEnd w:id="342"/>
    </w:p>
    <w:p>
      <w:pPr>
        <w:pStyle w:val="Subsection"/>
        <w:rPr>
          <w:ins w:id="343" w:author="Master Repository Process" w:date="2021-08-29T02:23:00Z"/>
        </w:rPr>
      </w:pPr>
      <w:ins w:id="344" w:author="Master Repository Process" w:date="2021-08-29T02:23:00Z">
        <w:r>
          <w:tab/>
          <w:t>(1A)</w:t>
        </w:r>
        <w:r>
          <w:tab/>
          <w:t xml:space="preserve">A division 2 prize in a lotto draw is to be paid in accordance with these rules and the </w:t>
        </w:r>
        <w:r>
          <w:rPr>
            <w:i/>
            <w:iCs/>
          </w:rPr>
          <w:t>Lotteries Commission (Internet Entries) Rules 2010</w:t>
        </w:r>
        <w:r>
          <w:t>.</w:t>
        </w:r>
      </w:ins>
    </w:p>
    <w:p>
      <w:pPr>
        <w:pStyle w:val="Subsection"/>
        <w:rPr>
          <w:snapToGrid w:val="0"/>
        </w:rPr>
      </w:pPr>
      <w:r>
        <w:rPr>
          <w:snapToGrid w:val="0"/>
        </w:rPr>
        <w:tab/>
        <w:t>(1)</w:t>
      </w:r>
      <w:r>
        <w:rPr>
          <w:snapToGrid w:val="0"/>
        </w:rPr>
        <w:tab/>
        <w:t>To claim a division 2 prize in a lotto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 xml:space="preserve">A division 2 prize is to be </w:t>
      </w:r>
      <w:r>
        <w:t>paid</w:t>
      </w:r>
      <w:ins w:id="345" w:author="Master Repository Process" w:date="2021-08-29T02:23:00Z">
        <w:r>
          <w:t xml:space="preserve"> to the holder of a winning receipted ticket</w:t>
        </w:r>
      </w:ins>
      <w:r>
        <w:t> —</w:t>
      </w:r>
    </w:p>
    <w:p>
      <w:pPr>
        <w:pStyle w:val="Indenta"/>
        <w:rPr>
          <w:snapToGrid w:val="0"/>
        </w:rPr>
      </w:pPr>
      <w:r>
        <w:rPr>
          <w:snapToGrid w:val="0"/>
        </w:rPr>
        <w:tab/>
      </w:r>
      <w:r>
        <w:t>(a)</w:t>
      </w:r>
      <w:r>
        <w:rPr>
          <w:snapToGrid w:val="0"/>
        </w:rPr>
        <w:tab/>
        <w:t>by the Commission or an authorised payout centre;</w:t>
      </w:r>
      <w:ins w:id="346" w:author="Master Repository Process" w:date="2021-08-29T02:23:00Z">
        <w:r>
          <w:rPr>
            <w:snapToGrid w:val="0"/>
          </w:rPr>
          <w:t xml:space="preserve"> and</w:t>
        </w:r>
      </w:ins>
    </w:p>
    <w:p>
      <w:pPr>
        <w:pStyle w:val="Indenta"/>
        <w:rPr>
          <w:snapToGrid w:val="0"/>
        </w:rPr>
      </w:pPr>
      <w:r>
        <w:rPr>
          <w:snapToGrid w:val="0"/>
        </w:rPr>
        <w:tab/>
      </w:r>
      <w:r>
        <w:t>(b)</w:t>
      </w:r>
      <w:r>
        <w:rPr>
          <w:snapToGrid w:val="0"/>
        </w:rPr>
        <w:tab/>
      </w:r>
      <w:r>
        <w:t xml:space="preserve">subject to rule 31A, </w:t>
      </w:r>
      <w:r>
        <w:rPr>
          <w:snapToGrid w:val="0"/>
        </w:rPr>
        <w:t>by cheque or in any other manner determined by the Commission;</w:t>
      </w:r>
      <w:ins w:id="347" w:author="Master Repository Process" w:date="2021-08-29T02:23:00Z">
        <w:r>
          <w:rPr>
            <w:snapToGrid w:val="0"/>
          </w:rPr>
          <w:t xml:space="preserve"> and</w:t>
        </w:r>
      </w:ins>
    </w:p>
    <w:p>
      <w:pPr>
        <w:pStyle w:val="Indenta"/>
        <w:rPr>
          <w:del w:id="348" w:author="Master Repository Process" w:date="2021-08-29T02:23:00Z"/>
          <w:snapToGrid w:val="0"/>
        </w:rPr>
      </w:pPr>
      <w:del w:id="349" w:author="Master Repository Process" w:date="2021-08-29T02:23:00Z">
        <w:r>
          <w:rPr>
            <w:snapToGrid w:val="0"/>
          </w:rPr>
          <w:tab/>
        </w:r>
        <w:r>
          <w:delText>(c)</w:delText>
        </w:r>
        <w:r>
          <w:rPr>
            <w:snapToGrid w:val="0"/>
          </w:rPr>
          <w:tab/>
          <w:delText>to the holder of the winning receipted ticket; and</w:delText>
        </w:r>
      </w:del>
    </w:p>
    <w:p>
      <w:pPr>
        <w:pStyle w:val="Ednotepara"/>
        <w:rPr>
          <w:ins w:id="350" w:author="Master Repository Process" w:date="2021-08-29T02:23:00Z"/>
          <w:snapToGrid w:val="0"/>
        </w:rPr>
      </w:pPr>
      <w:ins w:id="351" w:author="Master Repository Process" w:date="2021-08-29T02:23:00Z">
        <w:r>
          <w:rPr>
            <w:snapToGrid w:val="0"/>
          </w:rPr>
          <w:tab/>
          <w:t>[(c)</w:t>
        </w:r>
        <w:r>
          <w:rPr>
            <w:snapToGrid w:val="0"/>
          </w:rPr>
          <w:tab/>
          <w:t>deleted]</w:t>
        </w:r>
      </w:ins>
    </w:p>
    <w:p>
      <w:pPr>
        <w:pStyle w:val="Indenta"/>
        <w:rPr>
          <w:snapToGrid w:val="0"/>
        </w:rPr>
      </w:pPr>
      <w:r>
        <w:rPr>
          <w:snapToGrid w:val="0"/>
        </w:rPr>
        <w:tab/>
      </w:r>
      <w:r>
        <w:t>(d)</w:t>
      </w:r>
      <w:r>
        <w:rPr>
          <w:snapToGrid w:val="0"/>
        </w:rPr>
        <w:tab/>
        <w:t>after the receipted ticket is presented to the Commission or authorised payout centre.</w:t>
      </w:r>
    </w:p>
    <w:p>
      <w:pPr>
        <w:pStyle w:val="Footnotesection"/>
      </w:pPr>
      <w:bookmarkStart w:id="352" w:name="_Toc5071697"/>
      <w:bookmarkStart w:id="353" w:name="_Toc5072006"/>
      <w:bookmarkStart w:id="354" w:name="_Toc9846771"/>
      <w:bookmarkStart w:id="355" w:name="_Toc48382051"/>
      <w:bookmarkStart w:id="356" w:name="_Toc130782725"/>
      <w:r>
        <w:tab/>
        <w:t>[Rule 27 amended in Gazette 6 Jun 2008 p. 2313</w:t>
      </w:r>
      <w:ins w:id="357" w:author="Master Repository Process" w:date="2021-08-29T02:23:00Z">
        <w:r>
          <w:t>; 19 Nov 2010 p. 5722</w:t>
        </w:r>
        <w:r>
          <w:noBreakHyphen/>
          <w:t>3</w:t>
        </w:r>
      </w:ins>
      <w:r>
        <w:t>.]</w:t>
      </w:r>
    </w:p>
    <w:p>
      <w:pPr>
        <w:pStyle w:val="Heading5"/>
        <w:rPr>
          <w:snapToGrid w:val="0"/>
        </w:rPr>
      </w:pPr>
      <w:bookmarkStart w:id="358" w:name="_Toc277943311"/>
      <w:bookmarkStart w:id="359" w:name="_Toc256152940"/>
      <w:r>
        <w:rPr>
          <w:rStyle w:val="CharSectno"/>
        </w:rPr>
        <w:t>28</w:t>
      </w:r>
      <w:r>
        <w:rPr>
          <w:snapToGrid w:val="0"/>
        </w:rPr>
        <w:t>.</w:t>
      </w:r>
      <w:r>
        <w:rPr>
          <w:snapToGrid w:val="0"/>
        </w:rPr>
        <w:tab/>
        <w:t>Division 3, 4 and 5 prizes</w:t>
      </w:r>
      <w:bookmarkEnd w:id="352"/>
      <w:bookmarkEnd w:id="353"/>
      <w:bookmarkEnd w:id="354"/>
      <w:bookmarkEnd w:id="355"/>
      <w:bookmarkEnd w:id="356"/>
      <w:bookmarkEnd w:id="358"/>
      <w:bookmarkEnd w:id="359"/>
    </w:p>
    <w:p>
      <w:pPr>
        <w:pStyle w:val="Subsection"/>
        <w:rPr>
          <w:ins w:id="360" w:author="Master Repository Process" w:date="2021-08-29T02:23:00Z"/>
        </w:rPr>
      </w:pPr>
      <w:ins w:id="361" w:author="Master Repository Process" w:date="2021-08-29T02:23:00Z">
        <w:r>
          <w:tab/>
          <w:t>(1A)</w:t>
        </w:r>
        <w:r>
          <w:tab/>
          <w:t xml:space="preserve">A division 3, 4 or 5 prize in a lotto draw is to be paid in accordance with these rules and the </w:t>
        </w:r>
        <w:r>
          <w:rPr>
            <w:i/>
            <w:iCs/>
          </w:rPr>
          <w:t>Lotteries Commission (Internet Entries) Rules 2010</w:t>
        </w:r>
        <w:r>
          <w:t>.</w:t>
        </w:r>
      </w:ins>
    </w:p>
    <w:p>
      <w:pPr>
        <w:pStyle w:val="Subsection"/>
        <w:rPr>
          <w:snapToGrid w:val="0"/>
        </w:rPr>
      </w:pPr>
      <w:r>
        <w:rPr>
          <w:snapToGrid w:val="0"/>
        </w:rPr>
        <w:tab/>
        <w:t>(1)</w:t>
      </w:r>
      <w:r>
        <w:rPr>
          <w:snapToGrid w:val="0"/>
        </w:rPr>
        <w:tab/>
        <w:t>To claim a division 3, 4 or 5 prize in a lotto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w:t>
      </w:r>
    </w:p>
    <w:p>
      <w:pPr>
        <w:pStyle w:val="Indenta"/>
        <w:rPr>
          <w:snapToGrid w:val="0"/>
        </w:rPr>
      </w:pPr>
      <w:r>
        <w:rPr>
          <w:snapToGrid w:val="0"/>
        </w:rPr>
        <w:tab/>
      </w:r>
      <w:r>
        <w:t>(a)</w:t>
      </w:r>
      <w:r>
        <w:rPr>
          <w:snapToGrid w:val="0"/>
        </w:rPr>
        <w:tab/>
        <w:t>if it is $500 or less —</w:t>
      </w:r>
    </w:p>
    <w:p>
      <w:pPr>
        <w:pStyle w:val="Indenti"/>
        <w:rPr>
          <w:snapToGrid w:val="0"/>
        </w:rPr>
      </w:pPr>
      <w:r>
        <w:tab/>
        <w:t>(i)</w:t>
      </w:r>
      <w:r>
        <w:tab/>
      </w:r>
      <w:r>
        <w:rPr>
          <w:snapToGrid w:val="0"/>
        </w:rPr>
        <w:t>by the Commission, an authorised payout centre or any other agent;</w:t>
      </w:r>
    </w:p>
    <w:p>
      <w:pPr>
        <w:pStyle w:val="Indenti"/>
        <w:rPr>
          <w:snapToGrid w:val="0"/>
        </w:rPr>
      </w:pPr>
      <w:r>
        <w:tab/>
        <w:t>(ii)</w:t>
      </w:r>
      <w:r>
        <w:tab/>
        <w:t xml:space="preserve">subject to rule 31A, </w:t>
      </w:r>
      <w:r>
        <w:rPr>
          <w:snapToGrid w:val="0"/>
        </w:rPr>
        <w:t>in cash or in any other manner determined by the Commission; and</w:t>
      </w:r>
    </w:p>
    <w:p>
      <w:pPr>
        <w:pStyle w:val="Indenti"/>
        <w:rPr>
          <w:snapToGrid w:val="0"/>
        </w:rPr>
      </w:pPr>
      <w:r>
        <w:tab/>
        <w:t>(iii)</w:t>
      </w:r>
      <w:r>
        <w:tab/>
      </w:r>
      <w:r>
        <w:rPr>
          <w:snapToGrid w:val="0"/>
        </w:rPr>
        <w:t>after the receipted ticket is presented to the Commission, authorised payout centre or agent;</w:t>
      </w:r>
    </w:p>
    <w:p>
      <w:pPr>
        <w:pStyle w:val="Indenta"/>
        <w:rPr>
          <w:snapToGrid w:val="0"/>
        </w:rPr>
      </w:pPr>
      <w:r>
        <w:rPr>
          <w:snapToGrid w:val="0"/>
        </w:rPr>
        <w:tab/>
      </w:r>
      <w:r>
        <w:rPr>
          <w:snapToGrid w:val="0"/>
        </w:rPr>
        <w:tab/>
        <w:t>or</w:t>
      </w:r>
    </w:p>
    <w:p>
      <w:pPr>
        <w:pStyle w:val="Indenta"/>
        <w:rPr>
          <w:snapToGrid w:val="0"/>
        </w:rPr>
      </w:pPr>
      <w:r>
        <w:rPr>
          <w:snapToGrid w:val="0"/>
        </w:rPr>
        <w:tab/>
      </w:r>
      <w:r>
        <w:t>(b)</w:t>
      </w:r>
      <w:r>
        <w:rPr>
          <w:snapToGrid w:val="0"/>
        </w:rPr>
        <w:tab/>
        <w:t>if it is more than $500 —</w:t>
      </w:r>
    </w:p>
    <w:p>
      <w:pPr>
        <w:pStyle w:val="Indenti"/>
        <w:rPr>
          <w:snapToGrid w:val="0"/>
        </w:rPr>
      </w:pPr>
      <w:r>
        <w:tab/>
        <w:t>(i)</w:t>
      </w:r>
      <w:r>
        <w:tab/>
      </w:r>
      <w:r>
        <w:rPr>
          <w:snapToGrid w:val="0"/>
        </w:rPr>
        <w:t>by the Commission, an authorised payout centre or an agent who has been authorised by the Commission to pay prizes over $500;</w:t>
      </w:r>
    </w:p>
    <w:p>
      <w:pPr>
        <w:pStyle w:val="Indenti"/>
        <w:rPr>
          <w:snapToGrid w:val="0"/>
        </w:rPr>
      </w:pPr>
      <w:r>
        <w:tab/>
        <w:t>(ii)</w:t>
      </w:r>
      <w:r>
        <w:tab/>
        <w:t xml:space="preserve">subject to rule 31A, </w:t>
      </w:r>
      <w:r>
        <w:rPr>
          <w:snapToGrid w:val="0"/>
        </w:rPr>
        <w:t>by cheque or in any other manner determined by the Commission; and</w:t>
      </w:r>
    </w:p>
    <w:p>
      <w:pPr>
        <w:pStyle w:val="Indenti"/>
        <w:rPr>
          <w:snapToGrid w:val="0"/>
        </w:rPr>
      </w:pPr>
      <w:r>
        <w:tab/>
        <w:t>(iii)</w:t>
      </w:r>
      <w:r>
        <w:tab/>
      </w:r>
      <w:r>
        <w:rPr>
          <w:snapToGrid w:val="0"/>
        </w:rPr>
        <w:t>after the receipted ticket is presented to the Commission, authorised payout centre or authorised agent.</w:t>
      </w:r>
    </w:p>
    <w:p>
      <w:pPr>
        <w:pStyle w:val="Footnotesection"/>
      </w:pPr>
      <w:bookmarkStart w:id="362" w:name="_Toc5071698"/>
      <w:bookmarkStart w:id="363" w:name="_Toc5072007"/>
      <w:bookmarkStart w:id="364" w:name="_Toc9846772"/>
      <w:bookmarkStart w:id="365" w:name="_Toc48382052"/>
      <w:bookmarkStart w:id="366" w:name="_Toc130782726"/>
      <w:r>
        <w:tab/>
        <w:t>[Rule 28 amended in Gazette 6 Jun 2008 p. 2313-14</w:t>
      </w:r>
      <w:ins w:id="367" w:author="Master Repository Process" w:date="2021-08-29T02:23:00Z">
        <w:r>
          <w:t>; 19 Nov 2010 p. 5723</w:t>
        </w:r>
      </w:ins>
      <w:r>
        <w:t>.]</w:t>
      </w:r>
    </w:p>
    <w:p>
      <w:pPr>
        <w:pStyle w:val="Heading5"/>
      </w:pPr>
      <w:bookmarkStart w:id="368" w:name="_Toc277943312"/>
      <w:bookmarkStart w:id="369" w:name="_Toc256152941"/>
      <w:r>
        <w:rPr>
          <w:rStyle w:val="CharSectno"/>
        </w:rPr>
        <w:t>28A</w:t>
      </w:r>
      <w:r>
        <w:t>.</w:t>
      </w:r>
      <w:r>
        <w:tab/>
        <w:t>Claiming a syndicate share prize</w:t>
      </w:r>
      <w:bookmarkEnd w:id="368"/>
      <w:bookmarkEnd w:id="369"/>
    </w:p>
    <w:p>
      <w:pPr>
        <w:pStyle w:val="Subsection"/>
      </w:pPr>
      <w:r>
        <w:tab/>
        <w:t>(1)</w:t>
      </w:r>
      <w:r>
        <w:tab/>
        <w:t>To claim a share of a prize in a lotto draw, the holder of a winning syndicate share receipted ticket must present it to an agent within the payout period for that draw.</w:t>
      </w:r>
    </w:p>
    <w:p>
      <w:pPr>
        <w:pStyle w:val="Subsection"/>
      </w:pPr>
      <w:r>
        <w:tab/>
        <w:t>(2)</w:t>
      </w:r>
      <w:r>
        <w:tab/>
        <w:t>A share of a division 1 prize in a lotto draw cannot be paid until after the validation period for that draw.</w:t>
      </w:r>
    </w:p>
    <w:p>
      <w:pPr>
        <w:pStyle w:val="Subsection"/>
      </w:pPr>
      <w:r>
        <w:tab/>
        <w:t>(3)</w:t>
      </w:r>
      <w:r>
        <w:tab/>
        <w:t>A share of a prize is to be paid to a holder of a winning syndicate share receipted ticket —</w:t>
      </w:r>
    </w:p>
    <w:p>
      <w:pPr>
        <w:pStyle w:val="Indenta"/>
      </w:pPr>
      <w:r>
        <w:tab/>
        <w:t>(a)</w:t>
      </w:r>
      <w:r>
        <w:tab/>
        <w:t>if it is $500 or less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pPr>
      <w:r>
        <w:tab/>
        <w:t>(b)</w:t>
      </w:r>
      <w:r>
        <w:tab/>
        <w:t>if it is more than $500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28A inserted in Gazette 6 Jun 2008 p. 2314-15.]</w:t>
      </w:r>
    </w:p>
    <w:p>
      <w:pPr>
        <w:pStyle w:val="Heading5"/>
        <w:rPr>
          <w:snapToGrid w:val="0"/>
        </w:rPr>
      </w:pPr>
      <w:bookmarkStart w:id="370" w:name="_Toc277943313"/>
      <w:bookmarkStart w:id="371" w:name="_Toc256152942"/>
      <w:r>
        <w:rPr>
          <w:rStyle w:val="CharSectno"/>
        </w:rPr>
        <w:t>29</w:t>
      </w:r>
      <w:r>
        <w:rPr>
          <w:snapToGrid w:val="0"/>
        </w:rPr>
        <w:t>.</w:t>
      </w:r>
      <w:r>
        <w:rPr>
          <w:snapToGrid w:val="0"/>
        </w:rPr>
        <w:tab/>
        <w:t>Commission may require a statutory declaration</w:t>
      </w:r>
      <w:bookmarkEnd w:id="362"/>
      <w:bookmarkEnd w:id="363"/>
      <w:bookmarkEnd w:id="364"/>
      <w:bookmarkEnd w:id="365"/>
      <w:bookmarkEnd w:id="366"/>
      <w:bookmarkEnd w:id="370"/>
      <w:bookmarkEnd w:id="371"/>
    </w:p>
    <w:p>
      <w:pPr>
        <w:pStyle w:val="Subsection"/>
        <w:rPr>
          <w:snapToGrid w:val="0"/>
        </w:rPr>
      </w:pPr>
      <w:r>
        <w:rPr>
          <w:snapToGrid w:val="0"/>
        </w:rPr>
        <w:tab/>
        <w:t>(1)</w:t>
      </w:r>
      <w:r>
        <w:rPr>
          <w:snapToGrid w:val="0"/>
        </w:rPr>
        <w:tab/>
        <w:t>Before paying any prize</w:t>
      </w:r>
      <w:r>
        <w:t xml:space="preserve"> or share of a prize</w:t>
      </w:r>
      <w:r>
        <w:rPr>
          <w:snapToGrid w:val="0"/>
        </w:rPr>
        <w:t xml:space="preserv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w:t>
      </w:r>
      <w:r>
        <w:t xml:space="preserve"> or share of a prize</w:t>
      </w:r>
      <w:r>
        <w:rPr>
          <w:snapToGrid w:val="0"/>
        </w:rPr>
        <w:t xml:space="preserve"> to that person.</w:t>
      </w:r>
    </w:p>
    <w:p>
      <w:pPr>
        <w:pStyle w:val="Footnotesection"/>
      </w:pPr>
      <w:bookmarkStart w:id="372" w:name="_Toc5071699"/>
      <w:bookmarkStart w:id="373" w:name="_Toc5072008"/>
      <w:bookmarkStart w:id="374" w:name="_Toc9846773"/>
      <w:bookmarkStart w:id="375" w:name="_Toc48382053"/>
      <w:bookmarkStart w:id="376" w:name="_Toc130782727"/>
      <w:r>
        <w:tab/>
        <w:t>[Rule 29 amended in Gazette 6 Jun 2008 p. 2315.]</w:t>
      </w:r>
    </w:p>
    <w:p>
      <w:pPr>
        <w:pStyle w:val="Heading5"/>
        <w:rPr>
          <w:snapToGrid w:val="0"/>
        </w:rPr>
      </w:pPr>
      <w:bookmarkStart w:id="377" w:name="_Toc277943314"/>
      <w:bookmarkStart w:id="378" w:name="_Toc256152943"/>
      <w:r>
        <w:rPr>
          <w:rStyle w:val="CharSectno"/>
        </w:rPr>
        <w:t>30</w:t>
      </w:r>
      <w:r>
        <w:rPr>
          <w:snapToGrid w:val="0"/>
        </w:rPr>
        <w:t>.</w:t>
      </w:r>
      <w:r>
        <w:rPr>
          <w:snapToGrid w:val="0"/>
        </w:rPr>
        <w:tab/>
        <w:t>Publication of names and addresses of prize winners</w:t>
      </w:r>
      <w:bookmarkEnd w:id="372"/>
      <w:bookmarkEnd w:id="373"/>
      <w:bookmarkEnd w:id="374"/>
      <w:bookmarkEnd w:id="375"/>
      <w:bookmarkEnd w:id="376"/>
      <w:bookmarkEnd w:id="377"/>
      <w:bookmarkEnd w:id="378"/>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379" w:name="_Toc5071700"/>
      <w:bookmarkStart w:id="380" w:name="_Toc5072009"/>
      <w:bookmarkStart w:id="381" w:name="_Toc9846774"/>
      <w:bookmarkStart w:id="382" w:name="_Toc48382054"/>
      <w:bookmarkStart w:id="383" w:name="_Toc130782728"/>
      <w:bookmarkStart w:id="384" w:name="_Toc277943315"/>
      <w:bookmarkStart w:id="385" w:name="_Toc256152944"/>
      <w:r>
        <w:rPr>
          <w:rStyle w:val="CharSectno"/>
        </w:rPr>
        <w:t>31</w:t>
      </w:r>
      <w:r>
        <w:rPr>
          <w:snapToGrid w:val="0"/>
        </w:rPr>
        <w:t>.</w:t>
      </w:r>
      <w:r>
        <w:rPr>
          <w:snapToGrid w:val="0"/>
        </w:rPr>
        <w:tab/>
        <w:t>Player Registration Service</w:t>
      </w:r>
      <w:bookmarkEnd w:id="379"/>
      <w:bookmarkEnd w:id="380"/>
      <w:bookmarkEnd w:id="381"/>
      <w:bookmarkEnd w:id="382"/>
      <w:bookmarkEnd w:id="383"/>
      <w:bookmarkEnd w:id="384"/>
      <w:bookmarkEnd w:id="385"/>
    </w:p>
    <w:p>
      <w:pPr>
        <w:pStyle w:val="Subsection"/>
        <w:rPr>
          <w:snapToGrid w:val="0"/>
        </w:rPr>
      </w:pPr>
      <w:r>
        <w:rPr>
          <w:snapToGrid w:val="0"/>
        </w:rPr>
        <w:tab/>
        <w:t>(1)</w:t>
      </w:r>
      <w:r>
        <w:rPr>
          <w:snapToGrid w:val="0"/>
        </w:rPr>
        <w:tab/>
        <w:t>A “Player Registration Service” (PRS) number —</w:t>
      </w:r>
    </w:p>
    <w:p>
      <w:pPr>
        <w:pStyle w:val="Indenta"/>
        <w:rPr>
          <w:snapToGrid w:val="0"/>
        </w:rPr>
      </w:pPr>
      <w:r>
        <w:rPr>
          <w:snapToGrid w:val="0"/>
        </w:rPr>
        <w:tab/>
      </w:r>
      <w:r>
        <w:t>(a)</w:t>
      </w:r>
      <w:r>
        <w:rPr>
          <w:snapToGrid w:val="0"/>
        </w:rPr>
        <w:tab/>
        <w:t>is a number which may be printed on a receipted ticket, corresponding to a name and address to which an unclaimed prize won by that ticket can be sent; and</w:t>
      </w:r>
    </w:p>
    <w:p>
      <w:pPr>
        <w:pStyle w:val="Indenta"/>
      </w:pPr>
      <w:r>
        <w:tab/>
        <w:t>(b)</w:t>
      </w:r>
      <w:r>
        <w:tab/>
        <w:t>is valid for 5 years from the date of issue.</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r>
      <w:r>
        <w:rPr>
          <w:snapToGrid w:val="0"/>
        </w:rPr>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r>
      <w:r>
        <w:rPr>
          <w:snapToGrid w:val="0"/>
        </w:rPr>
        <w:t>(4)</w:t>
      </w:r>
      <w:r>
        <w:tab/>
        <w:t>The prize entitlement of a winning receipted ticket that —</w:t>
      </w:r>
    </w:p>
    <w:p>
      <w:pPr>
        <w:pStyle w:val="Indenta"/>
      </w:pPr>
      <w:r>
        <w:tab/>
        <w:t>(a)</w:t>
      </w:r>
      <w:r>
        <w:tab/>
        <w:t>is endorsed with a player’s card number; and</w:t>
      </w:r>
    </w:p>
    <w:p>
      <w:pPr>
        <w:pStyle w:val="Indenta"/>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pPr>
      <w:r>
        <w:tab/>
      </w:r>
      <w:r>
        <w:rPr>
          <w:snapToGrid w:val="0"/>
        </w:rPr>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bookmarkStart w:id="386" w:name="_Toc129660716"/>
      <w:bookmarkStart w:id="387" w:name="_Toc129660764"/>
      <w:bookmarkStart w:id="388" w:name="_Toc129669312"/>
      <w:bookmarkStart w:id="389" w:name="_Toc129669368"/>
      <w:bookmarkStart w:id="390" w:name="_Toc129679051"/>
      <w:bookmarkStart w:id="391" w:name="_Toc129679162"/>
      <w:bookmarkStart w:id="392" w:name="_Toc129679210"/>
      <w:bookmarkStart w:id="393" w:name="_Toc130782472"/>
      <w:bookmarkStart w:id="394" w:name="_Toc130782681"/>
      <w:bookmarkStart w:id="395" w:name="_Toc130782729"/>
      <w:bookmarkStart w:id="396" w:name="_Toc133379739"/>
      <w:bookmarkStart w:id="397" w:name="_Toc133385334"/>
      <w:bookmarkStart w:id="398" w:name="_Toc147288422"/>
      <w:bookmarkStart w:id="399" w:name="_Toc170549139"/>
      <w:bookmarkStart w:id="400" w:name="_Toc170620892"/>
      <w:bookmarkStart w:id="401" w:name="_Toc170621044"/>
      <w:r>
        <w:tab/>
        <w:t>[Rule 31 amended in Gazette 6 Jun 2008 p. 2315-16.]</w:t>
      </w:r>
    </w:p>
    <w:p>
      <w:pPr>
        <w:pStyle w:val="Heading5"/>
      </w:pPr>
      <w:bookmarkStart w:id="402" w:name="_Toc277943316"/>
      <w:bookmarkStart w:id="403" w:name="_Toc256152945"/>
      <w:r>
        <w:rPr>
          <w:rStyle w:val="CharSectno"/>
        </w:rPr>
        <w:t>31A</w:t>
      </w:r>
      <w:r>
        <w:t>.</w:t>
      </w:r>
      <w:r>
        <w:tab/>
        <w:t>Player’s card holders may request direct credit of prizes</w:t>
      </w:r>
      <w:bookmarkEnd w:id="402"/>
      <w:bookmarkEnd w:id="403"/>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2316.]</w:t>
      </w:r>
    </w:p>
    <w:p>
      <w:pPr>
        <w:pStyle w:val="Heading5"/>
      </w:pPr>
      <w:bookmarkStart w:id="404" w:name="_Toc277943317"/>
      <w:bookmarkStart w:id="405" w:name="_Toc256152946"/>
      <w:r>
        <w:rPr>
          <w:rStyle w:val="CharSectno"/>
        </w:rPr>
        <w:t>31B</w:t>
      </w:r>
      <w:r>
        <w:t>.</w:t>
      </w:r>
      <w:r>
        <w:tab/>
        <w:t>Registering favourite numbers</w:t>
      </w:r>
      <w:bookmarkEnd w:id="404"/>
      <w:bookmarkEnd w:id="405"/>
    </w:p>
    <w:p>
      <w:pPr>
        <w:pStyle w:val="Subsection"/>
      </w:pPr>
      <w:r>
        <w:tab/>
        <w:t>(1)</w:t>
      </w:r>
      <w:r>
        <w:tab/>
        <w:t>A subscriber may register one or more sets of numbers against his or her player’s card number to be the “favourite numbers” for Monday lotto or Wednesday lotto, or both.</w:t>
      </w:r>
    </w:p>
    <w:p>
      <w:pPr>
        <w:pStyle w:val="Subsection"/>
      </w:pPr>
      <w:r>
        <w:tab/>
        <w:t>(2)</w:t>
      </w:r>
      <w:r>
        <w:tab/>
        <w:t>A subscriber may specify particular types of game entry and register sets of numbers for those types of game entry against his or her player’s card number to be the “favourite numbers” for Monday lotto or Wednesday lotto, or both.</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2316-17.]</w:t>
      </w:r>
    </w:p>
    <w:p>
      <w:pPr>
        <w:pStyle w:val="Heading2"/>
      </w:pPr>
      <w:bookmarkStart w:id="406" w:name="_Toc200510477"/>
      <w:bookmarkStart w:id="407" w:name="_Toc210787574"/>
      <w:bookmarkStart w:id="408" w:name="_Toc222820834"/>
      <w:bookmarkStart w:id="409" w:name="_Toc222889193"/>
      <w:bookmarkStart w:id="410" w:name="_Toc224108818"/>
      <w:bookmarkStart w:id="411" w:name="_Toc256152947"/>
      <w:bookmarkStart w:id="412" w:name="_Toc277943318"/>
      <w:r>
        <w:rPr>
          <w:rStyle w:val="CharPartNo"/>
        </w:rPr>
        <w:t>Part 5</w:t>
      </w:r>
      <w:r>
        <w:rPr>
          <w:rStyle w:val="CharDivNo"/>
        </w:rPr>
        <w:t> </w:t>
      </w:r>
      <w:r>
        <w:t>—</w:t>
      </w:r>
      <w:r>
        <w:rPr>
          <w:rStyle w:val="CharDivText"/>
        </w:rPr>
        <w:t> </w:t>
      </w:r>
      <w:r>
        <w:rPr>
          <w:rStyle w:val="CharPartText"/>
        </w:rPr>
        <w:t>Miscellaneous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6"/>
      <w:bookmarkEnd w:id="407"/>
      <w:bookmarkEnd w:id="408"/>
      <w:bookmarkEnd w:id="409"/>
      <w:bookmarkEnd w:id="410"/>
      <w:bookmarkEnd w:id="411"/>
      <w:bookmarkEnd w:id="412"/>
    </w:p>
    <w:p>
      <w:pPr>
        <w:pStyle w:val="Heading5"/>
        <w:rPr>
          <w:snapToGrid w:val="0"/>
        </w:rPr>
      </w:pPr>
      <w:bookmarkStart w:id="413" w:name="_Toc5071701"/>
      <w:bookmarkStart w:id="414" w:name="_Toc5072010"/>
      <w:bookmarkStart w:id="415" w:name="_Toc9846775"/>
      <w:bookmarkStart w:id="416" w:name="_Toc48382055"/>
      <w:bookmarkStart w:id="417" w:name="_Toc130782730"/>
      <w:bookmarkStart w:id="418" w:name="_Toc277943319"/>
      <w:bookmarkStart w:id="419" w:name="_Toc256152948"/>
      <w:r>
        <w:rPr>
          <w:rStyle w:val="CharSectno"/>
        </w:rPr>
        <w:t>32</w:t>
      </w:r>
      <w:r>
        <w:rPr>
          <w:snapToGrid w:val="0"/>
        </w:rPr>
        <w:t>.</w:t>
      </w:r>
      <w:r>
        <w:rPr>
          <w:snapToGrid w:val="0"/>
        </w:rPr>
        <w:tab/>
        <w:t>Instructions</w:t>
      </w:r>
      <w:bookmarkEnd w:id="413"/>
      <w:bookmarkEnd w:id="414"/>
      <w:bookmarkEnd w:id="415"/>
      <w:bookmarkEnd w:id="416"/>
      <w:bookmarkEnd w:id="417"/>
      <w:bookmarkEnd w:id="418"/>
      <w:bookmarkEnd w:id="419"/>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420" w:name="_Toc5071702"/>
      <w:bookmarkStart w:id="421" w:name="_Toc5072011"/>
      <w:bookmarkStart w:id="422" w:name="_Toc9846776"/>
      <w:bookmarkStart w:id="423" w:name="_Toc48382056"/>
      <w:bookmarkStart w:id="424" w:name="_Toc130782731"/>
      <w:r>
        <w:tab/>
        <w:t>[Rule 32 amended in Gazette 6 Jun 2008 p. 2317.]</w:t>
      </w:r>
    </w:p>
    <w:p>
      <w:pPr>
        <w:pStyle w:val="Heading5"/>
        <w:rPr>
          <w:snapToGrid w:val="0"/>
        </w:rPr>
      </w:pPr>
      <w:bookmarkStart w:id="425" w:name="_Toc277943320"/>
      <w:bookmarkStart w:id="426" w:name="_Toc256152949"/>
      <w:r>
        <w:rPr>
          <w:rStyle w:val="CharSectno"/>
        </w:rPr>
        <w:t>33</w:t>
      </w:r>
      <w:r>
        <w:rPr>
          <w:snapToGrid w:val="0"/>
        </w:rPr>
        <w:t>.</w:t>
      </w:r>
      <w:r>
        <w:rPr>
          <w:snapToGrid w:val="0"/>
        </w:rPr>
        <w:tab/>
        <w:t>Rules to be made available</w:t>
      </w:r>
      <w:bookmarkEnd w:id="420"/>
      <w:bookmarkEnd w:id="421"/>
      <w:bookmarkEnd w:id="422"/>
      <w:bookmarkEnd w:id="423"/>
      <w:bookmarkEnd w:id="424"/>
      <w:bookmarkEnd w:id="425"/>
      <w:bookmarkEnd w:id="426"/>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publicise these rules, and any amendment to them, in any other manner it thinks fit.</w:t>
      </w:r>
    </w:p>
    <w:p>
      <w:pPr>
        <w:pStyle w:val="Heading5"/>
        <w:rPr>
          <w:snapToGrid w:val="0"/>
        </w:rPr>
      </w:pPr>
      <w:bookmarkStart w:id="427" w:name="_Toc5071703"/>
      <w:bookmarkStart w:id="428" w:name="_Toc5072012"/>
      <w:bookmarkStart w:id="429" w:name="_Toc9846777"/>
      <w:bookmarkStart w:id="430" w:name="_Toc48382057"/>
      <w:bookmarkStart w:id="431" w:name="_Toc130782732"/>
      <w:bookmarkStart w:id="432" w:name="_Toc277943321"/>
      <w:bookmarkStart w:id="433" w:name="_Toc256152950"/>
      <w:r>
        <w:rPr>
          <w:rStyle w:val="CharSectno"/>
        </w:rPr>
        <w:t>34</w:t>
      </w:r>
      <w:r>
        <w:rPr>
          <w:snapToGrid w:val="0"/>
        </w:rPr>
        <w:t>.</w:t>
      </w:r>
      <w:r>
        <w:rPr>
          <w:snapToGrid w:val="0"/>
        </w:rPr>
        <w:tab/>
        <w:t>Decisions of Commission final</w:t>
      </w:r>
      <w:bookmarkEnd w:id="427"/>
      <w:bookmarkEnd w:id="428"/>
      <w:bookmarkEnd w:id="429"/>
      <w:bookmarkEnd w:id="430"/>
      <w:bookmarkEnd w:id="431"/>
      <w:bookmarkEnd w:id="432"/>
      <w:bookmarkEnd w:id="433"/>
    </w:p>
    <w:p>
      <w:pPr>
        <w:pStyle w:val="Subsection"/>
        <w:rPr>
          <w:snapToGrid w:val="0"/>
        </w:rPr>
      </w:pPr>
      <w:r>
        <w:rPr>
          <w:snapToGrid w:val="0"/>
        </w:rPr>
        <w:tab/>
      </w:r>
      <w:r>
        <w:rPr>
          <w:snapToGrid w:val="0"/>
        </w:rPr>
        <w:tab/>
        <w:t>A decision or determination of the Commission in relation to a lotto draw or an entry in a lotto draw and the declaration and payment of prizes under these rules is final and binding on subscribers, the holders of receipted tickets and any other person claiming a prize in a lotto draw.</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434" w:name="_Toc129660720"/>
      <w:bookmarkStart w:id="435" w:name="_Toc129660768"/>
      <w:bookmarkStart w:id="436" w:name="_Toc129669316"/>
      <w:bookmarkStart w:id="437" w:name="_Toc129669372"/>
      <w:bookmarkStart w:id="438" w:name="_Toc129679055"/>
      <w:bookmarkStart w:id="439" w:name="_Toc129679166"/>
      <w:bookmarkStart w:id="440" w:name="_Toc129679214"/>
      <w:bookmarkStart w:id="441" w:name="_Toc130782476"/>
      <w:bookmarkStart w:id="442" w:name="_Toc130782685"/>
      <w:bookmarkStart w:id="443" w:name="_Toc130782733"/>
      <w:bookmarkStart w:id="444" w:name="_Toc133379743"/>
    </w:p>
    <w:p>
      <w:pPr>
        <w:pStyle w:val="yScheduleHeading"/>
      </w:pPr>
      <w:bookmarkStart w:id="445" w:name="_Toc210787578"/>
      <w:bookmarkStart w:id="446" w:name="_Toc222820838"/>
      <w:bookmarkStart w:id="447" w:name="_Toc222889197"/>
      <w:bookmarkStart w:id="448" w:name="_Toc224108822"/>
      <w:bookmarkStart w:id="449" w:name="_Toc256152951"/>
      <w:bookmarkStart w:id="450" w:name="_Toc277943322"/>
      <w:bookmarkStart w:id="451" w:name="_Toc200510482"/>
      <w:bookmarkStart w:id="452" w:name="_Toc129660725"/>
      <w:bookmarkStart w:id="453" w:name="_Toc129660773"/>
      <w:bookmarkStart w:id="454" w:name="_Toc129669321"/>
      <w:bookmarkStart w:id="455" w:name="_Toc129669377"/>
      <w:bookmarkStart w:id="456" w:name="_Toc129679060"/>
      <w:bookmarkStart w:id="457" w:name="_Toc129679171"/>
      <w:bookmarkStart w:id="458" w:name="_Toc129679219"/>
      <w:bookmarkStart w:id="459" w:name="_Toc130782481"/>
      <w:bookmarkStart w:id="460" w:name="_Toc130782690"/>
      <w:bookmarkStart w:id="461" w:name="_Toc130782738"/>
      <w:bookmarkStart w:id="462" w:name="_Toc133379748"/>
      <w:bookmarkStart w:id="463" w:name="_Toc133385343"/>
      <w:bookmarkStart w:id="464" w:name="_Toc147288431"/>
      <w:bookmarkStart w:id="465" w:name="_Toc170549148"/>
      <w:bookmarkStart w:id="466" w:name="_Toc170620901"/>
      <w:bookmarkStart w:id="467" w:name="_Toc170621051"/>
      <w:bookmarkEnd w:id="434"/>
      <w:bookmarkEnd w:id="435"/>
      <w:bookmarkEnd w:id="436"/>
      <w:bookmarkEnd w:id="437"/>
      <w:bookmarkEnd w:id="438"/>
      <w:bookmarkEnd w:id="439"/>
      <w:bookmarkEnd w:id="440"/>
      <w:bookmarkEnd w:id="441"/>
      <w:bookmarkEnd w:id="442"/>
      <w:bookmarkEnd w:id="443"/>
      <w:bookmarkEnd w:id="444"/>
      <w:r>
        <w:rPr>
          <w:rStyle w:val="CharSchNo"/>
        </w:rPr>
        <w:t>Schedule 1</w:t>
      </w:r>
      <w:r>
        <w:t> — </w:t>
      </w:r>
      <w:r>
        <w:rPr>
          <w:rStyle w:val="CharSchText"/>
        </w:rPr>
        <w:t>Calculating the total cost of entry — Monday lotto or Wednesday lotto draw</w:t>
      </w:r>
      <w:bookmarkEnd w:id="445"/>
      <w:bookmarkEnd w:id="446"/>
      <w:bookmarkEnd w:id="447"/>
      <w:bookmarkEnd w:id="448"/>
      <w:bookmarkEnd w:id="449"/>
      <w:bookmarkEnd w:id="450"/>
    </w:p>
    <w:p>
      <w:pPr>
        <w:pStyle w:val="yShoulderClause"/>
        <w:rPr>
          <w:snapToGrid w:val="0"/>
        </w:rPr>
      </w:pPr>
      <w:r>
        <w:rPr>
          <w:snapToGrid w:val="0"/>
        </w:rPr>
        <w:t>[r. 5(1)]</w:t>
      </w:r>
    </w:p>
    <w:p>
      <w:pPr>
        <w:pStyle w:val="yFootnoteheading"/>
      </w:pPr>
      <w:r>
        <w:tab/>
        <w:t>[Heading inserted in Gazette 3 Oct 2008 p. 4495.]</w:t>
      </w:r>
    </w:p>
    <w:p>
      <w:pPr>
        <w:pStyle w:val="yMiscellaneousBody"/>
      </w:pPr>
      <w:r>
        <w:t>The unit cost of entering a Monday lotto or a Wednesday lotto draw is made up of a subscription of 40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bCs/>
        </w:rPr>
      </w:pPr>
      <w:r>
        <w:rPr>
          <w:b/>
          <w:bCs/>
        </w:rPr>
        <w:t>((G x $0.40) x .09 </w:t>
      </w:r>
      <w:r>
        <w:rPr>
          <w:b/>
          <w:bCs/>
        </w:rPr>
        <w:sym w:font="Symbol" w:char="F0AE"/>
      </w:r>
      <w:r>
        <w:rPr>
          <w:b/>
          <w:bCs/>
        </w:rPr>
        <w:t xml:space="preserve"> rounded) x W = T</w:t>
      </w:r>
    </w:p>
    <w:p>
      <w:pPr>
        <w:pStyle w:val="yMiscellaneousBody"/>
      </w:pPr>
      <w:r>
        <w:t>where —</w:t>
      </w:r>
    </w:p>
    <w:p>
      <w:pPr>
        <w:pStyle w:val="yMiscellaneousBody"/>
        <w:tabs>
          <w:tab w:val="left" w:pos="600"/>
          <w:tab w:val="left" w:pos="1080"/>
          <w:tab w:val="left" w:pos="1560"/>
        </w:tabs>
      </w:pPr>
      <w:r>
        <w:tab/>
      </w:r>
      <w:r>
        <w:rPr>
          <w:b/>
          <w:bCs/>
        </w:rPr>
        <w:t>G</w:t>
      </w:r>
      <w:r>
        <w:tab/>
        <w:t>=</w:t>
      </w:r>
      <w:r>
        <w:tab/>
        <w:t>No. of games entered in a draw</w:t>
      </w:r>
    </w:p>
    <w:p>
      <w:pPr>
        <w:pStyle w:val="yMiscellaneousBody"/>
        <w:tabs>
          <w:tab w:val="left" w:pos="600"/>
          <w:tab w:val="left" w:pos="1080"/>
          <w:tab w:val="left" w:pos="1560"/>
        </w:tabs>
      </w:pPr>
      <w:r>
        <w:tab/>
      </w:r>
      <w:r>
        <w:rPr>
          <w:b/>
          <w:bCs/>
        </w:rPr>
        <w:t>W</w:t>
      </w:r>
      <w:r>
        <w:rPr>
          <w:b/>
          <w:bCs/>
        </w:rPr>
        <w:tab/>
      </w:r>
      <w:r>
        <w:t>=</w:t>
      </w:r>
      <w:r>
        <w:tab/>
        <w:t>No. of weeks the entry spans</w:t>
      </w:r>
    </w:p>
    <w:p>
      <w:pPr>
        <w:pStyle w:val="yMiscellaneousBody"/>
        <w:tabs>
          <w:tab w:val="left" w:pos="600"/>
          <w:tab w:val="left" w:pos="1080"/>
          <w:tab w:val="left" w:pos="1560"/>
        </w:tabs>
      </w:pPr>
      <w:r>
        <w:tab/>
      </w:r>
      <w:r>
        <w:rPr>
          <w:b/>
          <w:bCs/>
        </w:rPr>
        <w:t>T</w:t>
      </w:r>
      <w:r>
        <w:tab/>
        <w:t>=</w:t>
      </w:r>
      <w:r>
        <w:tab/>
        <w:t>Total agent’s component cost payable by the subscriber</w:t>
      </w:r>
    </w:p>
    <w:p>
      <w:pPr>
        <w:pStyle w:val="yMiscellaneousBody"/>
        <w:rPr>
          <w:b/>
          <w:bCs/>
        </w:rPr>
      </w:pPr>
      <w:r>
        <w:rPr>
          <w:b/>
          <w:bCs/>
        </w:rPr>
        <w:t>Examples:</w:t>
      </w:r>
    </w:p>
    <w:p>
      <w:pPr>
        <w:pStyle w:val="yMiscellaneousBody"/>
      </w:pPr>
      <w:r>
        <w:t>The total cost of entry for a Slikpik 25 entry for a single Monday lotto or Wednesday lotto draw is calculated as follows —</w:t>
      </w:r>
    </w:p>
    <w:p>
      <w:pPr>
        <w:pStyle w:val="yMiscellaneousBody"/>
        <w:tabs>
          <w:tab w:val="left" w:pos="600"/>
          <w:tab w:val="left" w:pos="4560"/>
          <w:tab w:val="decimal" w:pos="5400"/>
        </w:tabs>
      </w:pPr>
      <w:r>
        <w:tab/>
        <w:t>Subscription [25 games @ $0.40 each]</w:t>
      </w:r>
      <w:r>
        <w:tab/>
        <w:t>=</w:t>
      </w:r>
      <w:r>
        <w:tab/>
        <w:t>$10.00</w:t>
      </w:r>
    </w:p>
    <w:p>
      <w:pPr>
        <w:pStyle w:val="yMiscellaneousBody"/>
        <w:tabs>
          <w:tab w:val="left" w:pos="600"/>
          <w:tab w:val="left" w:pos="4560"/>
          <w:tab w:val="decimal" w:pos="5400"/>
        </w:tabs>
      </w:pPr>
      <w:r>
        <w:tab/>
        <w:t>9% of subscription [.09 x $10.00]</w:t>
      </w:r>
      <w:r>
        <w:tab/>
        <w:t>=</w:t>
      </w:r>
      <w:r>
        <w:tab/>
        <w:t>$0.90</w:t>
      </w:r>
    </w:p>
    <w:p>
      <w:pPr>
        <w:pStyle w:val="yMiscellaneousBody"/>
        <w:tabs>
          <w:tab w:val="left" w:pos="600"/>
          <w:tab w:val="left" w:pos="4560"/>
          <w:tab w:val="decimal" w:pos="5400"/>
        </w:tabs>
      </w:pPr>
      <w:r>
        <w:tab/>
        <w:t>Rounded using “bankers rounding”</w:t>
      </w:r>
      <w:r>
        <w:tab/>
        <w:t>=</w:t>
      </w:r>
      <w:r>
        <w:tab/>
        <w:t>$0.90</w:t>
      </w:r>
    </w:p>
    <w:p>
      <w:pPr>
        <w:pStyle w:val="yMiscellaneousBody"/>
        <w:tabs>
          <w:tab w:val="left" w:pos="600"/>
          <w:tab w:val="left" w:pos="4560"/>
          <w:tab w:val="decimal" w:pos="5400"/>
        </w:tabs>
        <w:rPr>
          <w:b/>
          <w:bCs/>
        </w:rPr>
      </w:pPr>
      <w:r>
        <w:rPr>
          <w:b/>
          <w:bCs/>
        </w:rPr>
        <w:tab/>
        <w:t>Total cost of entry</w:t>
      </w:r>
      <w:r>
        <w:rPr>
          <w:b/>
          <w:bCs/>
        </w:rPr>
        <w:tab/>
        <w:t>=</w:t>
      </w:r>
      <w:r>
        <w:rPr>
          <w:b/>
          <w:bCs/>
        </w:rPr>
        <w:tab/>
        <w:t>$10.90</w:t>
      </w:r>
    </w:p>
    <w:p>
      <w:pPr>
        <w:pStyle w:val="yMiscellaneousBody"/>
      </w:pPr>
      <w:r>
        <w:t>The total cost of entry for a System 8 entry for a single Monday lotto or Wednesday lotto draw is calculated as follows —</w:t>
      </w:r>
    </w:p>
    <w:p>
      <w:pPr>
        <w:pStyle w:val="yMiscellaneousBody"/>
        <w:tabs>
          <w:tab w:val="left" w:pos="600"/>
          <w:tab w:val="left" w:pos="4560"/>
          <w:tab w:val="decimal" w:pos="5400"/>
        </w:tabs>
      </w:pPr>
      <w:r>
        <w:tab/>
        <w:t>Subscription [28 games @ $0.40 each]</w:t>
      </w:r>
      <w:r>
        <w:tab/>
        <w:t>=</w:t>
      </w:r>
      <w:r>
        <w:tab/>
        <w:t>$11.20</w:t>
      </w:r>
    </w:p>
    <w:p>
      <w:pPr>
        <w:pStyle w:val="yMiscellaneousBody"/>
        <w:tabs>
          <w:tab w:val="left" w:pos="600"/>
          <w:tab w:val="left" w:pos="4560"/>
          <w:tab w:val="decimal" w:pos="5400"/>
        </w:tabs>
      </w:pPr>
      <w:r>
        <w:tab/>
        <w:t>9% of subscription [.09 x $11.20]</w:t>
      </w:r>
      <w:r>
        <w:tab/>
        <w:t>=</w:t>
      </w:r>
      <w:r>
        <w:tab/>
        <w:t>$1.008</w:t>
      </w:r>
    </w:p>
    <w:p>
      <w:pPr>
        <w:pStyle w:val="yMiscellaneousBody"/>
        <w:tabs>
          <w:tab w:val="left" w:pos="600"/>
          <w:tab w:val="left" w:pos="4560"/>
          <w:tab w:val="decimal" w:pos="5400"/>
        </w:tabs>
      </w:pPr>
      <w:r>
        <w:tab/>
        <w:t>Rounded using “bankers rounding”</w:t>
      </w:r>
      <w:r>
        <w:tab/>
        <w:t>=</w:t>
      </w:r>
      <w:r>
        <w:tab/>
        <w:t>$1.00</w:t>
      </w:r>
    </w:p>
    <w:p>
      <w:pPr>
        <w:pStyle w:val="yMiscellaneousBody"/>
        <w:tabs>
          <w:tab w:val="left" w:pos="600"/>
          <w:tab w:val="left" w:pos="4560"/>
          <w:tab w:val="decimal" w:pos="5400"/>
        </w:tabs>
        <w:rPr>
          <w:b/>
          <w:bCs/>
        </w:rPr>
      </w:pPr>
      <w:r>
        <w:rPr>
          <w:b/>
          <w:bCs/>
        </w:rPr>
        <w:tab/>
        <w:t>Total cost of entry</w:t>
      </w:r>
      <w:r>
        <w:rPr>
          <w:b/>
          <w:bCs/>
        </w:rPr>
        <w:tab/>
        <w:t>=</w:t>
      </w:r>
      <w:r>
        <w:rPr>
          <w:b/>
          <w:bCs/>
        </w:rPr>
        <w:tab/>
        <w:t>$12.20</w:t>
      </w:r>
    </w:p>
    <w:p>
      <w:pPr>
        <w:pStyle w:val="yMiscellaneousBody"/>
      </w:pPr>
      <w:r>
        <w:t>The total cost of entry for a 6 game board System 9 entry for a single Monday lotto or Wednesday lotto draw is calculated as follows —</w:t>
      </w:r>
    </w:p>
    <w:p>
      <w:pPr>
        <w:pStyle w:val="yMiscellaneousBody"/>
        <w:tabs>
          <w:tab w:val="left" w:pos="600"/>
          <w:tab w:val="left" w:pos="4560"/>
          <w:tab w:val="decimal" w:pos="5400"/>
        </w:tabs>
      </w:pPr>
      <w:r>
        <w:tab/>
        <w:t>Subscription [6 x 84 games @ $0.40 each]</w:t>
      </w:r>
      <w:r>
        <w:tab/>
        <w:t>=</w:t>
      </w:r>
      <w:r>
        <w:tab/>
        <w:t>$201.60</w:t>
      </w:r>
    </w:p>
    <w:p>
      <w:pPr>
        <w:pStyle w:val="yMiscellaneousBody"/>
        <w:tabs>
          <w:tab w:val="left" w:pos="600"/>
          <w:tab w:val="left" w:pos="4560"/>
          <w:tab w:val="decimal" w:pos="5400"/>
        </w:tabs>
      </w:pPr>
      <w:r>
        <w:tab/>
        <w:t>9% of subscription [.09 x $201.60]</w:t>
      </w:r>
      <w:r>
        <w:tab/>
        <w:t>=</w:t>
      </w:r>
      <w:r>
        <w:tab/>
        <w:t>$18.144</w:t>
      </w:r>
    </w:p>
    <w:p>
      <w:pPr>
        <w:pStyle w:val="yMiscellaneousBody"/>
        <w:tabs>
          <w:tab w:val="left" w:pos="600"/>
          <w:tab w:val="left" w:pos="4560"/>
          <w:tab w:val="decimal" w:pos="5400"/>
        </w:tabs>
      </w:pPr>
      <w:r>
        <w:tab/>
        <w:t>Rounded using “bankers rounding”</w:t>
      </w:r>
      <w:r>
        <w:tab/>
        <w:t>=</w:t>
      </w:r>
      <w:r>
        <w:tab/>
        <w:t>$18.15</w:t>
      </w:r>
    </w:p>
    <w:p>
      <w:pPr>
        <w:pStyle w:val="yMiscellaneousBody"/>
        <w:tabs>
          <w:tab w:val="left" w:pos="600"/>
          <w:tab w:val="left" w:pos="4560"/>
          <w:tab w:val="decimal" w:pos="5400"/>
        </w:tabs>
        <w:rPr>
          <w:b/>
          <w:bCs/>
        </w:rPr>
      </w:pPr>
      <w:r>
        <w:rPr>
          <w:b/>
          <w:bCs/>
        </w:rPr>
        <w:tab/>
        <w:t>Total cost of entry</w:t>
      </w:r>
      <w:r>
        <w:rPr>
          <w:b/>
          <w:bCs/>
        </w:rPr>
        <w:tab/>
        <w:t>=</w:t>
      </w:r>
      <w:r>
        <w:rPr>
          <w:b/>
          <w:bCs/>
        </w:rPr>
        <w:tab/>
        <w:t>$219.75</w:t>
      </w:r>
    </w:p>
    <w:p>
      <w:pPr>
        <w:pStyle w:val="yMiscellaneousBody"/>
      </w:pPr>
      <w:r>
        <w:t>The total cost of entry for a Slikpik 25 entry spanning 10 weeks of Monday lotto or Wednesday lotto is calculated as follows —</w:t>
      </w:r>
    </w:p>
    <w:p>
      <w:pPr>
        <w:pStyle w:val="yMiscellaneousBody"/>
        <w:tabs>
          <w:tab w:val="left" w:pos="600"/>
          <w:tab w:val="left" w:pos="4560"/>
          <w:tab w:val="decimal" w:pos="5160"/>
        </w:tabs>
      </w:pPr>
      <w:r>
        <w:tab/>
        <w:t>Subscription for one week</w:t>
      </w:r>
    </w:p>
    <w:p>
      <w:pPr>
        <w:pStyle w:val="yMiscellaneousBody"/>
        <w:tabs>
          <w:tab w:val="left" w:pos="600"/>
          <w:tab w:val="left" w:pos="4560"/>
          <w:tab w:val="decimal" w:pos="5400"/>
        </w:tabs>
      </w:pPr>
      <w:r>
        <w:tab/>
        <w:t xml:space="preserve">[25 games @ $0.40 each] </w:t>
      </w:r>
      <w:r>
        <w:tab/>
        <w:t>=</w:t>
      </w:r>
      <w:r>
        <w:tab/>
        <w:t>$10.00</w:t>
      </w:r>
    </w:p>
    <w:p>
      <w:pPr>
        <w:pStyle w:val="yMiscellaneousBody"/>
        <w:tabs>
          <w:tab w:val="left" w:pos="600"/>
          <w:tab w:val="left" w:pos="4560"/>
          <w:tab w:val="decimal" w:pos="5400"/>
        </w:tabs>
      </w:pPr>
      <w:r>
        <w:tab/>
        <w:t>9% of subscription [.09 x $10.00]</w:t>
      </w:r>
      <w:r>
        <w:tab/>
        <w:t>=</w:t>
      </w:r>
      <w:r>
        <w:tab/>
        <w:t>$0.90</w:t>
      </w:r>
    </w:p>
    <w:p>
      <w:pPr>
        <w:pStyle w:val="yMiscellaneousBody"/>
        <w:tabs>
          <w:tab w:val="left" w:pos="600"/>
          <w:tab w:val="left" w:pos="4560"/>
          <w:tab w:val="decimal" w:pos="5400"/>
        </w:tabs>
      </w:pPr>
      <w:r>
        <w:tab/>
        <w:t>Rounded using “bankers rounding”</w:t>
      </w:r>
      <w:r>
        <w:tab/>
        <w:t>=</w:t>
      </w:r>
      <w:r>
        <w:tab/>
        <w:t>$0.90</w:t>
      </w:r>
    </w:p>
    <w:p>
      <w:pPr>
        <w:pStyle w:val="yMiscellaneousBody"/>
        <w:tabs>
          <w:tab w:val="left" w:pos="600"/>
          <w:tab w:val="left" w:pos="4560"/>
          <w:tab w:val="decimal" w:pos="5400"/>
        </w:tabs>
      </w:pPr>
      <w:r>
        <w:tab/>
        <w:t>Total cost of entry for one week</w:t>
      </w:r>
      <w:r>
        <w:tab/>
        <w:t>=</w:t>
      </w:r>
      <w:r>
        <w:tab/>
        <w:t>$10.90</w:t>
      </w:r>
    </w:p>
    <w:p>
      <w:pPr>
        <w:pStyle w:val="yMiscellaneousBody"/>
        <w:tabs>
          <w:tab w:val="left" w:pos="600"/>
          <w:tab w:val="left" w:pos="4560"/>
          <w:tab w:val="decimal" w:pos="5400"/>
        </w:tabs>
        <w:rPr>
          <w:b/>
          <w:bCs/>
        </w:rPr>
      </w:pPr>
      <w:r>
        <w:rPr>
          <w:b/>
          <w:bCs/>
        </w:rPr>
        <w:tab/>
        <w:t>Total cost of entry for 10 weeks</w:t>
      </w:r>
      <w:r>
        <w:rPr>
          <w:b/>
          <w:bCs/>
        </w:rPr>
        <w:tab/>
        <w:t>=</w:t>
      </w:r>
      <w:r>
        <w:rPr>
          <w:b/>
          <w:bCs/>
        </w:rPr>
        <w:tab/>
        <w:t>$109.00</w:t>
      </w:r>
    </w:p>
    <w:p>
      <w:pPr>
        <w:pStyle w:val="yMiscellaneousBody"/>
      </w:pPr>
      <w:r>
        <w:t>* Rounding is calculated using the method known as “bankers rounding” or “round</w:t>
      </w:r>
      <w:r>
        <w:noBreakHyphen/>
        <w:t>to</w:t>
      </w:r>
      <w:r>
        <w:noBreakHyphen/>
        <w:t>even” rounding.</w:t>
      </w:r>
    </w:p>
    <w:p>
      <w:pPr>
        <w:pStyle w:val="yFootnotesection"/>
      </w:pPr>
      <w:r>
        <w:tab/>
        <w:t>[Schedule 1 inserted in Gazette 3 Oct 2008 p. 4495-6.]</w:t>
      </w:r>
    </w:p>
    <w:p>
      <w:pPr>
        <w:pStyle w:val="yScheduleHeading"/>
      </w:pPr>
      <w:bookmarkStart w:id="468" w:name="_Toc210787579"/>
      <w:bookmarkStart w:id="469" w:name="_Toc222820839"/>
      <w:bookmarkStart w:id="470" w:name="_Toc222889198"/>
      <w:bookmarkStart w:id="471" w:name="_Toc224108823"/>
      <w:bookmarkStart w:id="472" w:name="_Toc256152952"/>
      <w:bookmarkStart w:id="473" w:name="_Toc277943323"/>
      <w:r>
        <w:rPr>
          <w:rStyle w:val="CharSchNo"/>
        </w:rPr>
        <w:t>Schedule 2</w:t>
      </w:r>
      <w:r>
        <w:t> — </w:t>
      </w:r>
      <w:r>
        <w:rPr>
          <w:rStyle w:val="CharSchText"/>
        </w:rPr>
        <w:t>System entries and game equivalents</w:t>
      </w:r>
      <w:bookmarkEnd w:id="451"/>
      <w:bookmarkEnd w:id="468"/>
      <w:bookmarkEnd w:id="469"/>
      <w:bookmarkEnd w:id="470"/>
      <w:bookmarkEnd w:id="471"/>
      <w:bookmarkEnd w:id="472"/>
      <w:bookmarkEnd w:id="473"/>
    </w:p>
    <w:p>
      <w:pPr>
        <w:pStyle w:val="yFootnoteheading"/>
        <w:spacing w:after="120"/>
      </w:pPr>
      <w:r>
        <w:tab/>
        <w:t>[Heading inserted in Gazette 6 Jun 2008 p. 2319.]</w:t>
      </w: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rPr>
            </w:pPr>
            <w:r>
              <w:rPr>
                <w:b/>
                <w:bCs/>
              </w:rPr>
              <w:t>Monday and Wednesday Lotto</w:t>
            </w:r>
          </w:p>
          <w:p>
            <w:pPr>
              <w:pStyle w:val="yTable"/>
              <w:keepLines/>
              <w:spacing w:before="0"/>
              <w:ind w:right="170"/>
              <w:jc w:val="center"/>
              <w:rPr>
                <w:b/>
                <w:bCs/>
              </w:rPr>
            </w:pP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rPr>
            </w:pPr>
            <w:r>
              <w:rPr>
                <w:b/>
                <w:bCs/>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rPr>
            </w:pPr>
            <w:r>
              <w:rPr>
                <w:b/>
                <w:bCs/>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38 760</w:t>
            </w:r>
          </w:p>
        </w:tc>
      </w:tr>
    </w:tbl>
    <w:p>
      <w:pPr>
        <w:pStyle w:val="yFootnotesection"/>
      </w:pPr>
      <w:r>
        <w:tab/>
        <w:t>[Schedule 2 inserted in Gazette 6 Jun 2008 p. 2319-20.]</w:t>
      </w:r>
    </w:p>
    <w:p>
      <w:pPr>
        <w:pStyle w:val="yScheduleHeading"/>
      </w:pPr>
      <w:bookmarkStart w:id="474" w:name="_Toc200510483"/>
      <w:bookmarkStart w:id="475" w:name="_Toc210787580"/>
      <w:bookmarkStart w:id="476" w:name="_Toc222820840"/>
      <w:bookmarkStart w:id="477" w:name="_Toc222889199"/>
      <w:bookmarkStart w:id="478" w:name="_Toc224108824"/>
      <w:bookmarkStart w:id="479" w:name="_Toc256152953"/>
      <w:bookmarkStart w:id="480" w:name="_Toc277943324"/>
      <w:r>
        <w:rPr>
          <w:rStyle w:val="CharSchNo"/>
        </w:rPr>
        <w:t xml:space="preserve">Schedule </w:t>
      </w:r>
      <w:bookmarkEnd w:id="452"/>
      <w:bookmarkEnd w:id="453"/>
      <w:bookmarkEnd w:id="454"/>
      <w:bookmarkEnd w:id="455"/>
      <w:bookmarkEnd w:id="456"/>
      <w:bookmarkEnd w:id="457"/>
      <w:bookmarkEnd w:id="458"/>
      <w:bookmarkEnd w:id="459"/>
      <w:bookmarkEnd w:id="460"/>
      <w:bookmarkEnd w:id="461"/>
      <w:r>
        <w:rPr>
          <w:rStyle w:val="CharSchNo"/>
        </w:rPr>
        <w:t>3</w:t>
      </w:r>
      <w:bookmarkEnd w:id="462"/>
      <w:bookmarkEnd w:id="463"/>
      <w:bookmarkEnd w:id="464"/>
      <w:bookmarkEnd w:id="465"/>
      <w:bookmarkEnd w:id="466"/>
      <w:bookmarkEnd w:id="467"/>
      <w:bookmarkEnd w:id="474"/>
      <w:bookmarkEnd w:id="475"/>
      <w:bookmarkEnd w:id="476"/>
      <w:bookmarkEnd w:id="477"/>
      <w:bookmarkEnd w:id="478"/>
      <w:bookmarkEnd w:id="479"/>
      <w:bookmarkEnd w:id="480"/>
    </w:p>
    <w:p>
      <w:pPr>
        <w:pStyle w:val="yHeading2"/>
      </w:pPr>
      <w:bookmarkStart w:id="481" w:name="_Toc5072019"/>
      <w:bookmarkStart w:id="482" w:name="_Toc10539414"/>
      <w:bookmarkStart w:id="483" w:name="_Toc48382064"/>
      <w:bookmarkStart w:id="484" w:name="_Toc129660726"/>
      <w:bookmarkStart w:id="485" w:name="_Toc129660774"/>
      <w:bookmarkStart w:id="486" w:name="_Toc129669322"/>
      <w:bookmarkStart w:id="487" w:name="_Toc129669378"/>
      <w:bookmarkStart w:id="488" w:name="_Toc129679061"/>
      <w:bookmarkStart w:id="489" w:name="_Toc129679172"/>
      <w:bookmarkStart w:id="490" w:name="_Toc129679220"/>
      <w:bookmarkStart w:id="491" w:name="_Toc130782482"/>
      <w:bookmarkStart w:id="492" w:name="_Toc130782691"/>
      <w:bookmarkStart w:id="493" w:name="_Toc130782739"/>
      <w:bookmarkStart w:id="494" w:name="_Toc133379749"/>
      <w:bookmarkStart w:id="495" w:name="_Toc133385344"/>
      <w:bookmarkStart w:id="496" w:name="_Toc147288432"/>
      <w:bookmarkStart w:id="497" w:name="_Toc170549149"/>
      <w:bookmarkStart w:id="498" w:name="_Toc170620902"/>
      <w:bookmarkStart w:id="499" w:name="_Toc170621052"/>
      <w:bookmarkStart w:id="500" w:name="_Toc200510484"/>
      <w:bookmarkStart w:id="501" w:name="_Toc210787581"/>
      <w:bookmarkStart w:id="502" w:name="_Toc222820841"/>
      <w:bookmarkStart w:id="503" w:name="_Toc222889200"/>
      <w:bookmarkStart w:id="504" w:name="_Toc224108825"/>
      <w:bookmarkStart w:id="505" w:name="_Toc256152954"/>
      <w:bookmarkStart w:id="506" w:name="_Toc277943325"/>
      <w:r>
        <w:rPr>
          <w:rStyle w:val="CharSchText"/>
        </w:rPr>
        <w:t>System entry prize schedule</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yShoulderClause"/>
        <w:rPr>
          <w:snapToGrid w:val="0"/>
        </w:rPr>
      </w:pPr>
      <w:r>
        <w:rPr>
          <w:snapToGrid w:val="0"/>
        </w:rPr>
        <w:t>[r. 21(2)]</w:t>
      </w:r>
    </w:p>
    <w:p>
      <w:pPr>
        <w:pStyle w:val="yMiscellaneousBody"/>
        <w:spacing w:before="0"/>
      </w:pPr>
    </w:p>
    <w:tbl>
      <w:tblPr>
        <w:tblW w:w="0" w:type="auto"/>
        <w:tblInd w:w="108" w:type="dxa"/>
        <w:tblBorders>
          <w:bottom w:val="single" w:sz="4" w:space="0" w:color="auto"/>
        </w:tblBorders>
        <w:tblLayout w:type="fixed"/>
        <w:tblLook w:val="0000" w:firstRow="0" w:lastRow="0" w:firstColumn="0" w:lastColumn="0" w:noHBand="0" w:noVBand="0"/>
      </w:tblPr>
      <w:tblGrid>
        <w:gridCol w:w="993"/>
        <w:gridCol w:w="708"/>
        <w:gridCol w:w="284"/>
        <w:gridCol w:w="283"/>
        <w:gridCol w:w="284"/>
        <w:gridCol w:w="283"/>
        <w:gridCol w:w="309"/>
        <w:gridCol w:w="358"/>
        <w:gridCol w:w="359"/>
        <w:gridCol w:w="358"/>
        <w:gridCol w:w="359"/>
        <w:gridCol w:w="358"/>
        <w:gridCol w:w="359"/>
        <w:gridCol w:w="358"/>
        <w:gridCol w:w="359"/>
        <w:gridCol w:w="358"/>
        <w:gridCol w:w="359"/>
        <w:gridCol w:w="359"/>
      </w:tblGrid>
      <w:tr>
        <w:trPr>
          <w:cantSplit/>
          <w:trHeight w:val="275"/>
          <w:tblHeader/>
        </w:trPr>
        <w:tc>
          <w:tcPr>
            <w:tcW w:w="7088" w:type="dxa"/>
            <w:gridSpan w:val="18"/>
            <w:tcBorders>
              <w:top w:val="single" w:sz="4" w:space="0" w:color="auto"/>
              <w:bottom w:val="nil"/>
            </w:tcBorders>
          </w:tcPr>
          <w:p>
            <w:pPr>
              <w:pStyle w:val="yTable"/>
              <w:spacing w:before="120" w:line="100" w:lineRule="atLeast"/>
              <w:jc w:val="center"/>
              <w:rPr>
                <w:b/>
                <w:bCs/>
                <w:spacing w:val="-2"/>
                <w:sz w:val="13"/>
              </w:rPr>
            </w:pPr>
            <w:r>
              <w:rPr>
                <w:b/>
                <w:bCs/>
                <w:spacing w:val="-2"/>
                <w:sz w:val="13"/>
              </w:rPr>
              <w:t>NUMBER OF PRIZES</w:t>
            </w:r>
          </w:p>
        </w:tc>
      </w:tr>
      <w:tr>
        <w:trPr>
          <w:trHeight w:val="275"/>
          <w:tblHeader/>
        </w:trPr>
        <w:tc>
          <w:tcPr>
            <w:tcW w:w="993" w:type="dxa"/>
            <w:tcBorders>
              <w:top w:val="nil"/>
              <w:bottom w:val="nil"/>
            </w:tcBorders>
          </w:tcPr>
          <w:p>
            <w:pPr>
              <w:pStyle w:val="yTable"/>
              <w:spacing w:line="160" w:lineRule="atLeast"/>
              <w:ind w:left="-108"/>
              <w:rPr>
                <w:b/>
                <w:bCs/>
                <w:spacing w:val="-2"/>
                <w:sz w:val="13"/>
              </w:rPr>
            </w:pPr>
            <w:r>
              <w:rPr>
                <w:b/>
                <w:bCs/>
                <w:spacing w:val="-2"/>
                <w:sz w:val="13"/>
              </w:rPr>
              <w:t>WINNING</w:t>
            </w:r>
          </w:p>
          <w:p>
            <w:pPr>
              <w:pStyle w:val="yTable"/>
              <w:spacing w:before="0" w:line="160" w:lineRule="atLeast"/>
              <w:ind w:left="-108"/>
              <w:rPr>
                <w:b/>
                <w:bCs/>
                <w:spacing w:val="-2"/>
                <w:sz w:val="13"/>
              </w:rPr>
            </w:pPr>
            <w:r>
              <w:rPr>
                <w:b/>
                <w:bCs/>
                <w:spacing w:val="-2"/>
                <w:sz w:val="13"/>
              </w:rPr>
              <w:t>NUMBERS</w:t>
            </w:r>
          </w:p>
        </w:tc>
        <w:tc>
          <w:tcPr>
            <w:tcW w:w="992" w:type="dxa"/>
            <w:gridSpan w:val="2"/>
            <w:tcBorders>
              <w:top w:val="nil"/>
              <w:bottom w:val="nil"/>
            </w:tcBorders>
          </w:tcPr>
          <w:p>
            <w:pPr>
              <w:pStyle w:val="yTable"/>
              <w:spacing w:before="0" w:line="60" w:lineRule="atLeast"/>
              <w:rPr>
                <w:b/>
                <w:bCs/>
                <w:spacing w:val="-2"/>
                <w:sz w:val="13"/>
              </w:rPr>
            </w:pPr>
            <w:r>
              <w:rPr>
                <w:b/>
                <w:bCs/>
                <w:spacing w:val="-2"/>
                <w:sz w:val="13"/>
              </w:rPr>
              <w:t>PRIZE</w:t>
            </w:r>
          </w:p>
          <w:p>
            <w:pPr>
              <w:pStyle w:val="yTable"/>
              <w:spacing w:before="0" w:line="60" w:lineRule="atLeast"/>
              <w:rPr>
                <w:b/>
                <w:bCs/>
                <w:spacing w:val="-2"/>
                <w:sz w:val="13"/>
              </w:rPr>
            </w:pPr>
            <w:r>
              <w:rPr>
                <w:b/>
                <w:bCs/>
                <w:spacing w:val="-2"/>
                <w:sz w:val="13"/>
              </w:rPr>
              <w:t>TAKE</w:t>
            </w:r>
          </w:p>
          <w:p>
            <w:pPr>
              <w:pStyle w:val="yTable"/>
              <w:spacing w:before="0" w:line="60" w:lineRule="atLeast"/>
              <w:rPr>
                <w:b/>
                <w:bCs/>
                <w:spacing w:val="-2"/>
                <w:sz w:val="13"/>
              </w:rPr>
            </w:pPr>
            <w:r>
              <w:rPr>
                <w:b/>
                <w:bCs/>
                <w:spacing w:val="-2"/>
                <w:sz w:val="13"/>
              </w:rPr>
              <w:t>DIVISIONS</w:t>
            </w:r>
          </w:p>
        </w:tc>
        <w:tc>
          <w:tcPr>
            <w:tcW w:w="5103" w:type="dxa"/>
            <w:gridSpan w:val="15"/>
            <w:tcBorders>
              <w:top w:val="nil"/>
              <w:bottom w:val="nil"/>
            </w:tcBorders>
          </w:tcPr>
          <w:p>
            <w:pPr>
              <w:pStyle w:val="yTable"/>
              <w:spacing w:before="120" w:line="100" w:lineRule="atLeast"/>
              <w:jc w:val="center"/>
              <w:rPr>
                <w:b/>
                <w:bCs/>
                <w:spacing w:val="-2"/>
                <w:sz w:val="13"/>
              </w:rPr>
            </w:pPr>
            <w:r>
              <w:rPr>
                <w:b/>
                <w:bCs/>
                <w:spacing w:val="-2"/>
                <w:sz w:val="13"/>
              </w:rPr>
              <w:br/>
              <w:t>SYSTEMS</w:t>
            </w:r>
          </w:p>
        </w:tc>
      </w:tr>
      <w:tr>
        <w:tblPrEx>
          <w:tblCellMar>
            <w:left w:w="0" w:type="dxa"/>
            <w:right w:w="0" w:type="dxa"/>
          </w:tblCellMar>
        </w:tblPrEx>
        <w:trPr>
          <w:tblHeader/>
        </w:trPr>
        <w:tc>
          <w:tcPr>
            <w:tcW w:w="993" w:type="dxa"/>
            <w:tcBorders>
              <w:top w:val="nil"/>
              <w:bottom w:val="single" w:sz="4" w:space="0" w:color="auto"/>
            </w:tcBorders>
          </w:tcPr>
          <w:p>
            <w:pPr>
              <w:pStyle w:val="yTable"/>
              <w:spacing w:line="120" w:lineRule="atLeast"/>
              <w:rPr>
                <w:b/>
                <w:bCs/>
                <w:spacing w:val="-2"/>
                <w:sz w:val="13"/>
              </w:rPr>
            </w:pPr>
            <w:r>
              <w:rPr>
                <w:b/>
                <w:bCs/>
                <w:spacing w:val="-2"/>
                <w:sz w:val="13"/>
              </w:rPr>
              <w:fldChar w:fldCharType="begin"/>
            </w:r>
            <w:r>
              <w:rPr>
                <w:b/>
                <w:bCs/>
                <w:spacing w:val="-2"/>
                <w:sz w:val="13"/>
              </w:rPr>
              <w:instrText>ADVANCE \D 2.80</w:instrText>
            </w:r>
            <w:r>
              <w:rPr>
                <w:b/>
                <w:bCs/>
                <w:spacing w:val="-2"/>
                <w:sz w:val="13"/>
              </w:rPr>
              <w:fldChar w:fldCharType="end"/>
            </w:r>
          </w:p>
        </w:tc>
        <w:tc>
          <w:tcPr>
            <w:tcW w:w="708" w:type="dxa"/>
            <w:tcBorders>
              <w:top w:val="nil"/>
              <w:bottom w:val="single" w:sz="4" w:space="0" w:color="auto"/>
            </w:tcBorders>
          </w:tcPr>
          <w:p>
            <w:pPr>
              <w:pStyle w:val="yTable"/>
              <w:spacing w:line="120" w:lineRule="atLeast"/>
              <w:jc w:val="right"/>
              <w:rPr>
                <w:b/>
                <w:bCs/>
                <w:spacing w:val="-2"/>
                <w:sz w:val="13"/>
              </w:rPr>
            </w:pPr>
          </w:p>
        </w:tc>
        <w:tc>
          <w:tcPr>
            <w:tcW w:w="284" w:type="dxa"/>
            <w:tcBorders>
              <w:top w:val="nil"/>
              <w:bottom w:val="single" w:sz="4" w:space="0" w:color="auto"/>
            </w:tcBorders>
          </w:tcPr>
          <w:p>
            <w:pPr>
              <w:pStyle w:val="yTable"/>
              <w:spacing w:line="120" w:lineRule="atLeast"/>
              <w:jc w:val="right"/>
              <w:rPr>
                <w:b/>
                <w:bCs/>
                <w:spacing w:val="-2"/>
                <w:sz w:val="13"/>
              </w:rPr>
            </w:pPr>
            <w:r>
              <w:rPr>
                <w:b/>
                <w:bCs/>
                <w:spacing w:val="-2"/>
                <w:sz w:val="13"/>
              </w:rPr>
              <w:t>5</w:t>
            </w:r>
          </w:p>
        </w:tc>
        <w:tc>
          <w:tcPr>
            <w:tcW w:w="283" w:type="dxa"/>
            <w:tcBorders>
              <w:top w:val="nil"/>
              <w:bottom w:val="single" w:sz="4" w:space="0" w:color="auto"/>
            </w:tcBorders>
          </w:tcPr>
          <w:p>
            <w:pPr>
              <w:pStyle w:val="yTable"/>
              <w:spacing w:line="120" w:lineRule="atLeast"/>
              <w:jc w:val="right"/>
              <w:rPr>
                <w:b/>
                <w:bCs/>
                <w:spacing w:val="-2"/>
                <w:sz w:val="13"/>
              </w:rPr>
            </w:pPr>
            <w:r>
              <w:rPr>
                <w:b/>
                <w:bCs/>
                <w:spacing w:val="-2"/>
                <w:sz w:val="13"/>
              </w:rPr>
              <w:t>4</w:t>
            </w:r>
          </w:p>
        </w:tc>
        <w:tc>
          <w:tcPr>
            <w:tcW w:w="284" w:type="dxa"/>
            <w:tcBorders>
              <w:top w:val="nil"/>
              <w:bottom w:val="single" w:sz="4" w:space="0" w:color="auto"/>
            </w:tcBorders>
          </w:tcPr>
          <w:p>
            <w:pPr>
              <w:pStyle w:val="yTable"/>
              <w:spacing w:line="120" w:lineRule="atLeast"/>
              <w:jc w:val="right"/>
              <w:rPr>
                <w:b/>
                <w:bCs/>
                <w:spacing w:val="-2"/>
                <w:sz w:val="13"/>
              </w:rPr>
            </w:pPr>
            <w:r>
              <w:rPr>
                <w:b/>
                <w:bCs/>
                <w:spacing w:val="-2"/>
                <w:sz w:val="13"/>
              </w:rPr>
              <w:t>7</w:t>
            </w:r>
          </w:p>
        </w:tc>
        <w:tc>
          <w:tcPr>
            <w:tcW w:w="283" w:type="dxa"/>
            <w:tcBorders>
              <w:top w:val="nil"/>
              <w:bottom w:val="single" w:sz="4" w:space="0" w:color="auto"/>
            </w:tcBorders>
          </w:tcPr>
          <w:p>
            <w:pPr>
              <w:pStyle w:val="yTable"/>
              <w:spacing w:line="120" w:lineRule="atLeast"/>
              <w:jc w:val="right"/>
              <w:rPr>
                <w:b/>
                <w:bCs/>
                <w:spacing w:val="-2"/>
                <w:sz w:val="13"/>
              </w:rPr>
            </w:pPr>
            <w:r>
              <w:rPr>
                <w:b/>
                <w:bCs/>
                <w:spacing w:val="-2"/>
                <w:sz w:val="13"/>
              </w:rPr>
              <w:t>8</w:t>
            </w:r>
          </w:p>
        </w:tc>
        <w:tc>
          <w:tcPr>
            <w:tcW w:w="309" w:type="dxa"/>
            <w:tcBorders>
              <w:top w:val="nil"/>
              <w:bottom w:val="single" w:sz="4" w:space="0" w:color="auto"/>
            </w:tcBorders>
          </w:tcPr>
          <w:p>
            <w:pPr>
              <w:pStyle w:val="yTable"/>
              <w:spacing w:line="120" w:lineRule="atLeast"/>
              <w:jc w:val="right"/>
              <w:rPr>
                <w:b/>
                <w:bCs/>
                <w:spacing w:val="-2"/>
                <w:sz w:val="13"/>
              </w:rPr>
            </w:pPr>
            <w:r>
              <w:rPr>
                <w:b/>
                <w:bCs/>
                <w:spacing w:val="-2"/>
                <w:sz w:val="13"/>
              </w:rPr>
              <w:t>9</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10</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11</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12</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13</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14</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15</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16</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17</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18</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19</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20</w:t>
            </w:r>
          </w:p>
        </w:tc>
      </w:tr>
      <w:tr>
        <w:tblPrEx>
          <w:tblCellMar>
            <w:left w:w="0" w:type="dxa"/>
            <w:right w:w="0" w:type="dxa"/>
          </w:tblCellMar>
        </w:tblPrEx>
        <w:tc>
          <w:tcPr>
            <w:tcW w:w="993" w:type="dxa"/>
            <w:tcBorders>
              <w:top w:val="single" w:sz="4" w:space="0" w:color="auto"/>
            </w:tcBorders>
          </w:tcPr>
          <w:p>
            <w:pPr>
              <w:pStyle w:val="yTable"/>
              <w:spacing w:line="120" w:lineRule="atLeast"/>
              <w:rPr>
                <w:spacing w:val="-2"/>
                <w:sz w:val="13"/>
              </w:rPr>
            </w:pPr>
            <w:r>
              <w:rPr>
                <w:spacing w:val="-2"/>
                <w:sz w:val="13"/>
              </w:rPr>
              <w:t>Six and two</w:t>
            </w:r>
          </w:p>
          <w:p>
            <w:pPr>
              <w:pStyle w:val="yTable"/>
              <w:spacing w:before="0" w:line="120" w:lineRule="atLeast"/>
              <w:ind w:right="142"/>
              <w:rPr>
                <w:spacing w:val="-2"/>
                <w:sz w:val="13"/>
              </w:rPr>
            </w:pPr>
            <w:r>
              <w:rPr>
                <w:spacing w:val="-2"/>
                <w:sz w:val="13"/>
              </w:rPr>
              <w:t>supplementaries</w:t>
            </w:r>
          </w:p>
        </w:tc>
        <w:tc>
          <w:tcPr>
            <w:tcW w:w="708" w:type="dxa"/>
            <w:tcBorders>
              <w:top w:val="single" w:sz="4" w:space="0" w:color="auto"/>
            </w:tcBorders>
          </w:tcPr>
          <w:p>
            <w:pPr>
              <w:pStyle w:val="yTable"/>
              <w:spacing w:line="120" w:lineRule="atLeast"/>
              <w:jc w:val="right"/>
              <w:rPr>
                <w:spacing w:val="-2"/>
                <w:sz w:val="13"/>
              </w:rPr>
            </w:pPr>
          </w:p>
        </w:tc>
        <w:tc>
          <w:tcPr>
            <w:tcW w:w="284" w:type="dxa"/>
            <w:tcBorders>
              <w:top w:val="single" w:sz="4" w:space="0" w:color="auto"/>
            </w:tcBorders>
          </w:tcPr>
          <w:p>
            <w:pPr>
              <w:pStyle w:val="yTable"/>
              <w:spacing w:line="120" w:lineRule="atLeast"/>
              <w:jc w:val="right"/>
              <w:rPr>
                <w:spacing w:val="-2"/>
                <w:sz w:val="13"/>
              </w:rPr>
            </w:pPr>
          </w:p>
        </w:tc>
        <w:tc>
          <w:tcPr>
            <w:tcW w:w="283" w:type="dxa"/>
            <w:tcBorders>
              <w:top w:val="single" w:sz="4" w:space="0" w:color="auto"/>
            </w:tcBorders>
          </w:tcPr>
          <w:p>
            <w:pPr>
              <w:pStyle w:val="yTable"/>
              <w:spacing w:line="120" w:lineRule="atLeast"/>
              <w:jc w:val="right"/>
              <w:rPr>
                <w:spacing w:val="-2"/>
                <w:sz w:val="13"/>
              </w:rPr>
            </w:pPr>
          </w:p>
        </w:tc>
        <w:tc>
          <w:tcPr>
            <w:tcW w:w="284" w:type="dxa"/>
            <w:tcBorders>
              <w:top w:val="single" w:sz="4" w:space="0" w:color="auto"/>
            </w:tcBorders>
          </w:tcPr>
          <w:p>
            <w:pPr>
              <w:pStyle w:val="yTable"/>
              <w:spacing w:line="120" w:lineRule="atLeast"/>
              <w:jc w:val="right"/>
              <w:rPr>
                <w:spacing w:val="-2"/>
                <w:sz w:val="13"/>
              </w:rPr>
            </w:pPr>
          </w:p>
        </w:tc>
        <w:tc>
          <w:tcPr>
            <w:tcW w:w="283" w:type="dxa"/>
            <w:tcBorders>
              <w:top w:val="single" w:sz="4" w:space="0" w:color="auto"/>
            </w:tcBorders>
          </w:tcPr>
          <w:p>
            <w:pPr>
              <w:pStyle w:val="yTable"/>
              <w:spacing w:line="120" w:lineRule="atLeast"/>
              <w:jc w:val="right"/>
              <w:rPr>
                <w:spacing w:val="-2"/>
                <w:sz w:val="13"/>
              </w:rPr>
            </w:pPr>
          </w:p>
        </w:tc>
        <w:tc>
          <w:tcPr>
            <w:tcW w:w="30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1</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w:t>
            </w:r>
          </w:p>
        </w:tc>
        <w:tc>
          <w:tcPr>
            <w:tcW w:w="30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2</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12</w:t>
            </w:r>
          </w:p>
        </w:tc>
        <w:tc>
          <w:tcPr>
            <w:tcW w:w="30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3</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18</w:t>
            </w:r>
          </w:p>
        </w:tc>
        <w:tc>
          <w:tcPr>
            <w:tcW w:w="358" w:type="dxa"/>
          </w:tcPr>
          <w:p>
            <w:pPr>
              <w:pStyle w:val="yTable"/>
              <w:spacing w:before="0" w:line="120" w:lineRule="atLeast"/>
              <w:jc w:val="right"/>
              <w:rPr>
                <w:spacing w:val="-2"/>
                <w:sz w:val="13"/>
              </w:rPr>
            </w:pPr>
            <w:r>
              <w:rPr>
                <w:spacing w:val="-2"/>
                <w:sz w:val="13"/>
              </w:rPr>
              <w:t>24</w:t>
            </w:r>
          </w:p>
        </w:tc>
        <w:tc>
          <w:tcPr>
            <w:tcW w:w="359" w:type="dxa"/>
          </w:tcPr>
          <w:p>
            <w:pPr>
              <w:pStyle w:val="yTable"/>
              <w:spacing w:before="0" w:line="120" w:lineRule="atLeast"/>
              <w:jc w:val="right"/>
              <w:rPr>
                <w:spacing w:val="-2"/>
                <w:sz w:val="13"/>
              </w:rPr>
            </w:pPr>
            <w:r>
              <w:rPr>
                <w:spacing w:val="-2"/>
                <w:sz w:val="13"/>
              </w:rPr>
              <w:t>30</w:t>
            </w:r>
          </w:p>
        </w:tc>
        <w:tc>
          <w:tcPr>
            <w:tcW w:w="358" w:type="dxa"/>
          </w:tcPr>
          <w:p>
            <w:pPr>
              <w:pStyle w:val="yTable"/>
              <w:spacing w:before="0" w:line="120" w:lineRule="atLeast"/>
              <w:jc w:val="right"/>
              <w:rPr>
                <w:spacing w:val="-2"/>
                <w:sz w:val="13"/>
              </w:rPr>
            </w:pPr>
            <w:r>
              <w:rPr>
                <w:spacing w:val="-2"/>
                <w:sz w:val="13"/>
              </w:rPr>
              <w:t>36</w:t>
            </w:r>
          </w:p>
        </w:tc>
        <w:tc>
          <w:tcPr>
            <w:tcW w:w="359" w:type="dxa"/>
          </w:tcPr>
          <w:p>
            <w:pPr>
              <w:pStyle w:val="yTable"/>
              <w:spacing w:before="0" w:line="120" w:lineRule="atLeast"/>
              <w:jc w:val="right"/>
              <w:rPr>
                <w:spacing w:val="-2"/>
                <w:sz w:val="13"/>
              </w:rPr>
            </w:pPr>
            <w:r>
              <w:rPr>
                <w:spacing w:val="-2"/>
                <w:sz w:val="13"/>
              </w:rPr>
              <w:t>42</w:t>
            </w:r>
          </w:p>
        </w:tc>
        <w:tc>
          <w:tcPr>
            <w:tcW w:w="358" w:type="dxa"/>
          </w:tcPr>
          <w:p>
            <w:pPr>
              <w:pStyle w:val="yTable"/>
              <w:spacing w:before="0" w:line="120" w:lineRule="atLeast"/>
              <w:jc w:val="right"/>
              <w:rPr>
                <w:spacing w:val="-2"/>
                <w:sz w:val="13"/>
              </w:rPr>
            </w:pPr>
            <w:r>
              <w:rPr>
                <w:spacing w:val="-2"/>
                <w:sz w:val="13"/>
              </w:rPr>
              <w:t>48</w:t>
            </w:r>
          </w:p>
        </w:tc>
        <w:tc>
          <w:tcPr>
            <w:tcW w:w="359" w:type="dxa"/>
          </w:tcPr>
          <w:p>
            <w:pPr>
              <w:pStyle w:val="yTable"/>
              <w:spacing w:before="0" w:line="120" w:lineRule="atLeast"/>
              <w:jc w:val="right"/>
              <w:rPr>
                <w:spacing w:val="-2"/>
                <w:sz w:val="13"/>
              </w:rPr>
            </w:pPr>
            <w:r>
              <w:rPr>
                <w:spacing w:val="-2"/>
                <w:sz w:val="13"/>
              </w:rPr>
              <w:t>54</w:t>
            </w:r>
          </w:p>
        </w:tc>
        <w:tc>
          <w:tcPr>
            <w:tcW w:w="358" w:type="dxa"/>
          </w:tcPr>
          <w:p>
            <w:pPr>
              <w:pStyle w:val="yTable"/>
              <w:spacing w:before="0" w:line="120" w:lineRule="atLeast"/>
              <w:jc w:val="right"/>
              <w:rPr>
                <w:spacing w:val="-2"/>
                <w:sz w:val="13"/>
              </w:rPr>
            </w:pPr>
            <w:r>
              <w:rPr>
                <w:spacing w:val="-2"/>
                <w:sz w:val="13"/>
              </w:rPr>
              <w:t>60</w:t>
            </w:r>
          </w:p>
        </w:tc>
        <w:tc>
          <w:tcPr>
            <w:tcW w:w="359" w:type="dxa"/>
          </w:tcPr>
          <w:p>
            <w:pPr>
              <w:pStyle w:val="yTable"/>
              <w:spacing w:before="0" w:line="120" w:lineRule="atLeast"/>
              <w:jc w:val="right"/>
              <w:rPr>
                <w:spacing w:val="-2"/>
                <w:sz w:val="13"/>
              </w:rPr>
            </w:pPr>
            <w:r>
              <w:rPr>
                <w:spacing w:val="-2"/>
                <w:sz w:val="13"/>
              </w:rPr>
              <w:t>66</w:t>
            </w:r>
          </w:p>
        </w:tc>
        <w:tc>
          <w:tcPr>
            <w:tcW w:w="359" w:type="dxa"/>
          </w:tcPr>
          <w:p>
            <w:pPr>
              <w:pStyle w:val="yTable"/>
              <w:spacing w:before="0" w:line="120" w:lineRule="atLeast"/>
              <w:jc w:val="right"/>
              <w:rPr>
                <w:spacing w:val="-2"/>
                <w:sz w:val="13"/>
              </w:rPr>
            </w:pPr>
            <w:r>
              <w:rPr>
                <w:spacing w:val="-2"/>
                <w:sz w:val="13"/>
              </w:rPr>
              <w:t>72</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4</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15</w:t>
            </w:r>
          </w:p>
        </w:tc>
        <w:tc>
          <w:tcPr>
            <w:tcW w:w="309" w:type="dxa"/>
          </w:tcPr>
          <w:p>
            <w:pPr>
              <w:pStyle w:val="yTable"/>
              <w:spacing w:before="0" w:line="120" w:lineRule="atLeast"/>
              <w:jc w:val="right"/>
              <w:rPr>
                <w:spacing w:val="-2"/>
                <w:sz w:val="13"/>
              </w:rPr>
            </w:pPr>
            <w:r>
              <w:rPr>
                <w:spacing w:val="-2"/>
                <w:sz w:val="13"/>
              </w:rPr>
              <w:t>45</w:t>
            </w:r>
          </w:p>
        </w:tc>
        <w:tc>
          <w:tcPr>
            <w:tcW w:w="358" w:type="dxa"/>
          </w:tcPr>
          <w:p>
            <w:pPr>
              <w:pStyle w:val="yTable"/>
              <w:spacing w:before="0" w:line="120" w:lineRule="atLeast"/>
              <w:jc w:val="right"/>
              <w:rPr>
                <w:spacing w:val="-2"/>
                <w:sz w:val="13"/>
              </w:rPr>
            </w:pPr>
            <w:r>
              <w:rPr>
                <w:spacing w:val="-2"/>
                <w:sz w:val="13"/>
              </w:rPr>
              <w:t>90</w:t>
            </w:r>
          </w:p>
        </w:tc>
        <w:tc>
          <w:tcPr>
            <w:tcW w:w="359" w:type="dxa"/>
          </w:tcPr>
          <w:p>
            <w:pPr>
              <w:pStyle w:val="yTable"/>
              <w:spacing w:before="0" w:line="120" w:lineRule="atLeast"/>
              <w:jc w:val="right"/>
              <w:rPr>
                <w:spacing w:val="-2"/>
                <w:sz w:val="13"/>
              </w:rPr>
            </w:pPr>
            <w:r>
              <w:rPr>
                <w:spacing w:val="-2"/>
                <w:sz w:val="13"/>
              </w:rPr>
              <w:t>150</w:t>
            </w:r>
          </w:p>
        </w:tc>
        <w:tc>
          <w:tcPr>
            <w:tcW w:w="358" w:type="dxa"/>
          </w:tcPr>
          <w:p>
            <w:pPr>
              <w:pStyle w:val="yTable"/>
              <w:spacing w:before="0" w:line="120" w:lineRule="atLeast"/>
              <w:jc w:val="right"/>
              <w:rPr>
                <w:spacing w:val="-2"/>
                <w:sz w:val="13"/>
              </w:rPr>
            </w:pPr>
            <w:r>
              <w:rPr>
                <w:spacing w:val="-2"/>
                <w:sz w:val="13"/>
              </w:rPr>
              <w:t>225</w:t>
            </w:r>
          </w:p>
        </w:tc>
        <w:tc>
          <w:tcPr>
            <w:tcW w:w="359" w:type="dxa"/>
          </w:tcPr>
          <w:p>
            <w:pPr>
              <w:pStyle w:val="yTable"/>
              <w:spacing w:before="0" w:line="120" w:lineRule="atLeast"/>
              <w:jc w:val="right"/>
              <w:rPr>
                <w:spacing w:val="-2"/>
                <w:sz w:val="13"/>
              </w:rPr>
            </w:pPr>
            <w:r>
              <w:rPr>
                <w:spacing w:val="-2"/>
                <w:sz w:val="13"/>
              </w:rPr>
              <w:t>315</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540</w:t>
            </w:r>
          </w:p>
        </w:tc>
        <w:tc>
          <w:tcPr>
            <w:tcW w:w="358" w:type="dxa"/>
          </w:tcPr>
          <w:p>
            <w:pPr>
              <w:pStyle w:val="yTable"/>
              <w:spacing w:before="0" w:line="120" w:lineRule="atLeast"/>
              <w:jc w:val="right"/>
              <w:rPr>
                <w:spacing w:val="-2"/>
                <w:sz w:val="13"/>
              </w:rPr>
            </w:pPr>
            <w:r>
              <w:rPr>
                <w:spacing w:val="-2"/>
                <w:sz w:val="13"/>
              </w:rPr>
              <w:t>675</w:t>
            </w:r>
          </w:p>
        </w:tc>
        <w:tc>
          <w:tcPr>
            <w:tcW w:w="359" w:type="dxa"/>
          </w:tcPr>
          <w:p>
            <w:pPr>
              <w:pStyle w:val="yTable"/>
              <w:spacing w:before="0" w:line="120" w:lineRule="atLeast"/>
              <w:jc w:val="right"/>
              <w:rPr>
                <w:spacing w:val="-2"/>
                <w:sz w:val="13"/>
              </w:rPr>
            </w:pPr>
            <w:r>
              <w:rPr>
                <w:spacing w:val="-2"/>
                <w:sz w:val="13"/>
              </w:rPr>
              <w:t>825</w:t>
            </w:r>
          </w:p>
        </w:tc>
        <w:tc>
          <w:tcPr>
            <w:tcW w:w="358" w:type="dxa"/>
          </w:tcPr>
          <w:p>
            <w:pPr>
              <w:pStyle w:val="yTable"/>
              <w:spacing w:before="0" w:line="120" w:lineRule="atLeast"/>
              <w:jc w:val="right"/>
              <w:rPr>
                <w:spacing w:val="-2"/>
                <w:sz w:val="13"/>
              </w:rPr>
            </w:pPr>
            <w:r>
              <w:rPr>
                <w:spacing w:val="-2"/>
                <w:sz w:val="13"/>
              </w:rPr>
              <w:t>990</w:t>
            </w:r>
          </w:p>
        </w:tc>
        <w:tc>
          <w:tcPr>
            <w:tcW w:w="359" w:type="dxa"/>
          </w:tcPr>
          <w:p>
            <w:pPr>
              <w:pStyle w:val="yTable"/>
              <w:spacing w:before="0" w:line="120" w:lineRule="atLeast"/>
              <w:jc w:val="right"/>
              <w:rPr>
                <w:spacing w:val="-2"/>
                <w:sz w:val="13"/>
              </w:rPr>
            </w:pPr>
            <w:r>
              <w:rPr>
                <w:spacing w:val="-2"/>
                <w:sz w:val="13"/>
              </w:rPr>
              <w:t>1170</w:t>
            </w:r>
          </w:p>
        </w:tc>
        <w:tc>
          <w:tcPr>
            <w:tcW w:w="359" w:type="dxa"/>
          </w:tcPr>
          <w:p>
            <w:pPr>
              <w:pStyle w:val="yTable"/>
              <w:spacing w:before="0" w:line="120" w:lineRule="atLeast"/>
              <w:jc w:val="righ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5</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20</w:t>
            </w:r>
          </w:p>
        </w:tc>
        <w:tc>
          <w:tcPr>
            <w:tcW w:w="358" w:type="dxa"/>
          </w:tcPr>
          <w:p>
            <w:pPr>
              <w:pStyle w:val="yTable"/>
              <w:spacing w:before="0" w:line="120" w:lineRule="atLeast"/>
              <w:jc w:val="right"/>
              <w:rPr>
                <w:spacing w:val="-2"/>
                <w:sz w:val="13"/>
              </w:rPr>
            </w:pPr>
            <w:r>
              <w:rPr>
                <w:spacing w:val="-2"/>
                <w:sz w:val="13"/>
              </w:rPr>
              <w:t>80</w:t>
            </w:r>
          </w:p>
        </w:tc>
        <w:tc>
          <w:tcPr>
            <w:tcW w:w="359" w:type="dxa"/>
          </w:tcPr>
          <w:p>
            <w:pPr>
              <w:pStyle w:val="yTable"/>
              <w:spacing w:before="0" w:line="120" w:lineRule="atLeast"/>
              <w:jc w:val="right"/>
              <w:rPr>
                <w:spacing w:val="-2"/>
                <w:sz w:val="13"/>
              </w:rPr>
            </w:pPr>
            <w:r>
              <w:rPr>
                <w:spacing w:val="-2"/>
                <w:sz w:val="13"/>
              </w:rPr>
              <w:t>180</w:t>
            </w:r>
          </w:p>
        </w:tc>
        <w:tc>
          <w:tcPr>
            <w:tcW w:w="358" w:type="dxa"/>
          </w:tcPr>
          <w:p>
            <w:pPr>
              <w:pStyle w:val="yTable"/>
              <w:spacing w:before="0" w:line="120" w:lineRule="atLeast"/>
              <w:jc w:val="right"/>
              <w:rPr>
                <w:spacing w:val="-2"/>
                <w:sz w:val="13"/>
              </w:rPr>
            </w:pPr>
            <w:r>
              <w:rPr>
                <w:spacing w:val="-2"/>
                <w:sz w:val="13"/>
              </w:rPr>
              <w:t>320</w:t>
            </w:r>
          </w:p>
        </w:tc>
        <w:tc>
          <w:tcPr>
            <w:tcW w:w="359" w:type="dxa"/>
          </w:tcPr>
          <w:p>
            <w:pPr>
              <w:pStyle w:val="yTable"/>
              <w:spacing w:before="0" w:line="120" w:lineRule="atLeast"/>
              <w:jc w:val="right"/>
              <w:rPr>
                <w:spacing w:val="-2"/>
                <w:sz w:val="13"/>
              </w:rPr>
            </w:pPr>
            <w:r>
              <w:rPr>
                <w:spacing w:val="-2"/>
                <w:sz w:val="13"/>
              </w:rPr>
              <w:t>500</w:t>
            </w:r>
          </w:p>
        </w:tc>
        <w:tc>
          <w:tcPr>
            <w:tcW w:w="358" w:type="dxa"/>
          </w:tcPr>
          <w:p>
            <w:pPr>
              <w:pStyle w:val="yTable"/>
              <w:spacing w:before="0" w:line="120" w:lineRule="atLeast"/>
              <w:jc w:val="right"/>
              <w:rPr>
                <w:spacing w:val="-2"/>
                <w:sz w:val="13"/>
              </w:rPr>
            </w:pPr>
            <w:r>
              <w:rPr>
                <w:spacing w:val="-2"/>
                <w:sz w:val="13"/>
              </w:rPr>
              <w:t>720</w:t>
            </w:r>
          </w:p>
        </w:tc>
        <w:tc>
          <w:tcPr>
            <w:tcW w:w="359" w:type="dxa"/>
          </w:tcPr>
          <w:p>
            <w:pPr>
              <w:pStyle w:val="yTable"/>
              <w:spacing w:before="0" w:line="120" w:lineRule="atLeast"/>
              <w:jc w:val="right"/>
              <w:rPr>
                <w:spacing w:val="-2"/>
                <w:sz w:val="13"/>
              </w:rPr>
            </w:pPr>
            <w:r>
              <w:rPr>
                <w:spacing w:val="-2"/>
                <w:sz w:val="13"/>
              </w:rPr>
              <w:t>980</w:t>
            </w:r>
          </w:p>
        </w:tc>
        <w:tc>
          <w:tcPr>
            <w:tcW w:w="358" w:type="dxa"/>
          </w:tcPr>
          <w:p>
            <w:pPr>
              <w:pStyle w:val="yTable"/>
              <w:spacing w:before="0" w:line="120" w:lineRule="atLeast"/>
              <w:jc w:val="right"/>
              <w:rPr>
                <w:spacing w:val="-2"/>
                <w:sz w:val="13"/>
              </w:rPr>
            </w:pPr>
            <w:r>
              <w:rPr>
                <w:spacing w:val="-2"/>
                <w:sz w:val="13"/>
              </w:rPr>
              <w:t>1280</w:t>
            </w:r>
          </w:p>
        </w:tc>
        <w:tc>
          <w:tcPr>
            <w:tcW w:w="359" w:type="dxa"/>
          </w:tcPr>
          <w:p>
            <w:pPr>
              <w:pStyle w:val="yTable"/>
              <w:spacing w:before="0" w:line="120" w:lineRule="atLeast"/>
              <w:jc w:val="right"/>
              <w:rPr>
                <w:spacing w:val="-2"/>
                <w:sz w:val="13"/>
              </w:rPr>
            </w:pPr>
            <w:r>
              <w:rPr>
                <w:spacing w:val="-2"/>
                <w:sz w:val="13"/>
              </w:rPr>
              <w:t>1620</w:t>
            </w:r>
          </w:p>
        </w:tc>
        <w:tc>
          <w:tcPr>
            <w:tcW w:w="358" w:type="dxa"/>
          </w:tcPr>
          <w:p>
            <w:pPr>
              <w:pStyle w:val="yTable"/>
              <w:spacing w:before="0" w:line="120" w:lineRule="atLeast"/>
              <w:jc w:val="right"/>
              <w:rPr>
                <w:spacing w:val="-2"/>
                <w:sz w:val="13"/>
              </w:rPr>
            </w:pPr>
            <w:r>
              <w:rPr>
                <w:spacing w:val="-2"/>
                <w:sz w:val="13"/>
              </w:rPr>
              <w:t>2000</w:t>
            </w:r>
          </w:p>
        </w:tc>
        <w:tc>
          <w:tcPr>
            <w:tcW w:w="359" w:type="dxa"/>
          </w:tcPr>
          <w:p>
            <w:pPr>
              <w:pStyle w:val="yTable"/>
              <w:spacing w:before="0" w:line="120" w:lineRule="atLeast"/>
              <w:jc w:val="right"/>
              <w:rPr>
                <w:spacing w:val="-2"/>
                <w:sz w:val="13"/>
              </w:rPr>
            </w:pPr>
            <w:r>
              <w:rPr>
                <w:spacing w:val="-2"/>
                <w:sz w:val="13"/>
              </w:rPr>
              <w:t>2420</w:t>
            </w:r>
          </w:p>
        </w:tc>
        <w:tc>
          <w:tcPr>
            <w:tcW w:w="359" w:type="dxa"/>
          </w:tcPr>
          <w:p>
            <w:pPr>
              <w:pStyle w:val="yTable"/>
              <w:spacing w:before="0" w:line="120" w:lineRule="atLeast"/>
              <w:jc w:val="right"/>
              <w:rPr>
                <w:spacing w:val="-2"/>
                <w:sz w:val="13"/>
              </w:rPr>
            </w:pPr>
            <w:r>
              <w:rPr>
                <w:spacing w:val="-2"/>
                <w:sz w:val="13"/>
              </w:rPr>
              <w:t>2880</w:t>
            </w:r>
          </w:p>
        </w:tc>
      </w:tr>
      <w:tr>
        <w:tblPrEx>
          <w:tblCellMar>
            <w:left w:w="0" w:type="dxa"/>
            <w:right w:w="0" w:type="dxa"/>
          </w:tblCellMar>
        </w:tblPrEx>
        <w:tc>
          <w:tcPr>
            <w:tcW w:w="993" w:type="dxa"/>
          </w:tcPr>
          <w:p>
            <w:pPr>
              <w:pStyle w:val="yTable"/>
              <w:spacing w:line="120" w:lineRule="atLeast"/>
              <w:rPr>
                <w:spacing w:val="-2"/>
                <w:sz w:val="13"/>
              </w:rPr>
            </w:pPr>
            <w:r>
              <w:rPr>
                <w:spacing w:val="-2"/>
                <w:sz w:val="13"/>
              </w:rPr>
              <w:t>Six and one</w:t>
            </w:r>
          </w:p>
          <w:p>
            <w:pPr>
              <w:pStyle w:val="yTable"/>
              <w:spacing w:before="0" w:line="120" w:lineRule="atLeast"/>
              <w:rPr>
                <w:spacing w:val="-2"/>
                <w:sz w:val="13"/>
              </w:rPr>
            </w:pPr>
            <w:r>
              <w:rPr>
                <w:spacing w:val="-2"/>
                <w:sz w:val="13"/>
              </w:rPr>
              <w:t>supplementary</w:t>
            </w:r>
          </w:p>
        </w:tc>
        <w:tc>
          <w:tcPr>
            <w:tcW w:w="708" w:type="dxa"/>
          </w:tcPr>
          <w:p>
            <w:pPr>
              <w:pStyle w:val="yTable"/>
              <w:spacing w:line="120" w:lineRule="atLeast"/>
              <w:jc w:val="center"/>
              <w:rPr>
                <w:spacing w:val="-2"/>
                <w:sz w:val="13"/>
              </w:rPr>
            </w:pPr>
          </w:p>
        </w:tc>
        <w:tc>
          <w:tcPr>
            <w:tcW w:w="284" w:type="dxa"/>
          </w:tcPr>
          <w:p>
            <w:pPr>
              <w:pStyle w:val="yTable"/>
              <w:spacing w:line="120" w:lineRule="atLeast"/>
              <w:jc w:val="right"/>
              <w:rPr>
                <w:spacing w:val="-2"/>
                <w:sz w:val="13"/>
              </w:rPr>
            </w:pPr>
          </w:p>
        </w:tc>
        <w:tc>
          <w:tcPr>
            <w:tcW w:w="283" w:type="dxa"/>
          </w:tcPr>
          <w:p>
            <w:pPr>
              <w:pStyle w:val="yTable"/>
              <w:spacing w:line="120" w:lineRule="atLeast"/>
              <w:jc w:val="right"/>
              <w:rPr>
                <w:spacing w:val="-2"/>
                <w:sz w:val="13"/>
              </w:rPr>
            </w:pPr>
          </w:p>
        </w:tc>
        <w:tc>
          <w:tcPr>
            <w:tcW w:w="284" w:type="dxa"/>
          </w:tcPr>
          <w:p>
            <w:pPr>
              <w:pStyle w:val="yTable"/>
              <w:spacing w:line="120" w:lineRule="atLeast"/>
              <w:jc w:val="right"/>
              <w:rPr>
                <w:spacing w:val="-2"/>
                <w:sz w:val="13"/>
              </w:rPr>
            </w:pPr>
          </w:p>
        </w:tc>
        <w:tc>
          <w:tcPr>
            <w:tcW w:w="283" w:type="dxa"/>
          </w:tcPr>
          <w:p>
            <w:pPr>
              <w:pStyle w:val="yTable"/>
              <w:spacing w:line="120" w:lineRule="atLeast"/>
              <w:jc w:val="right"/>
              <w:rPr>
                <w:spacing w:val="-2"/>
                <w:sz w:val="13"/>
              </w:rPr>
            </w:pPr>
          </w:p>
        </w:tc>
        <w:tc>
          <w:tcPr>
            <w:tcW w:w="30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1</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t>1</w:t>
            </w:r>
          </w:p>
        </w:tc>
        <w:tc>
          <w:tcPr>
            <w:tcW w:w="283" w:type="dxa"/>
          </w:tcPr>
          <w:p>
            <w:pPr>
              <w:pStyle w:val="yTable"/>
              <w:spacing w:before="0" w:line="120" w:lineRule="atLeast"/>
              <w:jc w:val="right"/>
              <w:rPr>
                <w:spacing w:val="-2"/>
                <w:sz w:val="13"/>
              </w:rPr>
            </w:pPr>
            <w:r>
              <w:rPr>
                <w:spacing w:val="-2"/>
                <w:sz w:val="13"/>
              </w:rPr>
              <w:t>1</w:t>
            </w:r>
          </w:p>
        </w:tc>
        <w:tc>
          <w:tcPr>
            <w:tcW w:w="30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2</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t>6</w:t>
            </w:r>
          </w:p>
        </w:tc>
        <w:tc>
          <w:tcPr>
            <w:tcW w:w="283" w:type="dxa"/>
          </w:tcPr>
          <w:p>
            <w:pPr>
              <w:pStyle w:val="yTable"/>
              <w:spacing w:before="0" w:line="120" w:lineRule="atLeast"/>
              <w:jc w:val="right"/>
              <w:rPr>
                <w:spacing w:val="-2"/>
                <w:sz w:val="13"/>
              </w:rPr>
            </w:pPr>
            <w:r>
              <w:rPr>
                <w:spacing w:val="-2"/>
                <w:sz w:val="13"/>
              </w:rPr>
              <w:t>6</w:t>
            </w:r>
          </w:p>
        </w:tc>
        <w:tc>
          <w:tcPr>
            <w:tcW w:w="30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3</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6</w:t>
            </w:r>
          </w:p>
        </w:tc>
        <w:tc>
          <w:tcPr>
            <w:tcW w:w="30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18</w:t>
            </w:r>
          </w:p>
        </w:tc>
        <w:tc>
          <w:tcPr>
            <w:tcW w:w="359" w:type="dxa"/>
          </w:tcPr>
          <w:p>
            <w:pPr>
              <w:pStyle w:val="yTable"/>
              <w:spacing w:before="0" w:line="120" w:lineRule="atLeast"/>
              <w:jc w:val="right"/>
              <w:rPr>
                <w:spacing w:val="-2"/>
                <w:sz w:val="13"/>
              </w:rPr>
            </w:pPr>
            <w:r>
              <w:rPr>
                <w:spacing w:val="-2"/>
                <w:sz w:val="13"/>
              </w:rPr>
              <w:t>24</w:t>
            </w:r>
          </w:p>
        </w:tc>
        <w:tc>
          <w:tcPr>
            <w:tcW w:w="358" w:type="dxa"/>
          </w:tcPr>
          <w:p>
            <w:pPr>
              <w:pStyle w:val="yTable"/>
              <w:spacing w:before="0" w:line="120" w:lineRule="atLeast"/>
              <w:jc w:val="right"/>
              <w:rPr>
                <w:spacing w:val="-2"/>
                <w:sz w:val="13"/>
              </w:rPr>
            </w:pPr>
            <w:r>
              <w:rPr>
                <w:spacing w:val="-2"/>
                <w:sz w:val="13"/>
              </w:rPr>
              <w:t>30</w:t>
            </w:r>
          </w:p>
        </w:tc>
        <w:tc>
          <w:tcPr>
            <w:tcW w:w="359" w:type="dxa"/>
          </w:tcPr>
          <w:p>
            <w:pPr>
              <w:pStyle w:val="yTable"/>
              <w:spacing w:before="0" w:line="120" w:lineRule="atLeast"/>
              <w:jc w:val="right"/>
              <w:rPr>
                <w:spacing w:val="-2"/>
                <w:sz w:val="13"/>
              </w:rPr>
            </w:pPr>
            <w:r>
              <w:rPr>
                <w:spacing w:val="-2"/>
                <w:sz w:val="13"/>
              </w:rPr>
              <w:t>36</w:t>
            </w:r>
          </w:p>
        </w:tc>
        <w:tc>
          <w:tcPr>
            <w:tcW w:w="358" w:type="dxa"/>
          </w:tcPr>
          <w:p>
            <w:pPr>
              <w:pStyle w:val="yTable"/>
              <w:spacing w:before="0" w:line="120" w:lineRule="atLeast"/>
              <w:jc w:val="right"/>
              <w:rPr>
                <w:spacing w:val="-2"/>
                <w:sz w:val="13"/>
              </w:rPr>
            </w:pPr>
            <w:r>
              <w:rPr>
                <w:spacing w:val="-2"/>
                <w:sz w:val="13"/>
              </w:rPr>
              <w:t>42</w:t>
            </w:r>
          </w:p>
        </w:tc>
        <w:tc>
          <w:tcPr>
            <w:tcW w:w="359" w:type="dxa"/>
          </w:tcPr>
          <w:p>
            <w:pPr>
              <w:pStyle w:val="yTable"/>
              <w:spacing w:before="0" w:line="120" w:lineRule="atLeast"/>
              <w:jc w:val="right"/>
              <w:rPr>
                <w:spacing w:val="-2"/>
                <w:sz w:val="13"/>
              </w:rPr>
            </w:pPr>
            <w:r>
              <w:rPr>
                <w:spacing w:val="-2"/>
                <w:sz w:val="13"/>
              </w:rPr>
              <w:t>48</w:t>
            </w:r>
          </w:p>
        </w:tc>
        <w:tc>
          <w:tcPr>
            <w:tcW w:w="358" w:type="dxa"/>
          </w:tcPr>
          <w:p>
            <w:pPr>
              <w:pStyle w:val="yTable"/>
              <w:spacing w:before="0" w:line="120" w:lineRule="atLeast"/>
              <w:jc w:val="right"/>
              <w:rPr>
                <w:spacing w:val="-2"/>
                <w:sz w:val="13"/>
              </w:rPr>
            </w:pPr>
            <w:r>
              <w:rPr>
                <w:spacing w:val="-2"/>
                <w:sz w:val="13"/>
              </w:rPr>
              <w:t>54</w:t>
            </w:r>
          </w:p>
        </w:tc>
        <w:tc>
          <w:tcPr>
            <w:tcW w:w="359" w:type="dxa"/>
          </w:tcPr>
          <w:p>
            <w:pPr>
              <w:pStyle w:val="yTable"/>
              <w:spacing w:before="0" w:line="120" w:lineRule="atLeast"/>
              <w:jc w:val="right"/>
              <w:rPr>
                <w:spacing w:val="-2"/>
                <w:sz w:val="13"/>
              </w:rPr>
            </w:pPr>
            <w:r>
              <w:rPr>
                <w:spacing w:val="-2"/>
                <w:sz w:val="13"/>
              </w:rPr>
              <w:t>60</w:t>
            </w:r>
          </w:p>
        </w:tc>
        <w:tc>
          <w:tcPr>
            <w:tcW w:w="358" w:type="dxa"/>
          </w:tcPr>
          <w:p>
            <w:pPr>
              <w:pStyle w:val="yTable"/>
              <w:spacing w:before="0" w:line="120" w:lineRule="atLeast"/>
              <w:jc w:val="right"/>
              <w:rPr>
                <w:spacing w:val="-2"/>
                <w:sz w:val="13"/>
              </w:rPr>
            </w:pPr>
            <w:r>
              <w:rPr>
                <w:spacing w:val="-2"/>
                <w:sz w:val="13"/>
              </w:rPr>
              <w:t>66</w:t>
            </w:r>
          </w:p>
        </w:tc>
        <w:tc>
          <w:tcPr>
            <w:tcW w:w="359" w:type="dxa"/>
          </w:tcPr>
          <w:p>
            <w:pPr>
              <w:pStyle w:val="yTable"/>
              <w:spacing w:before="0" w:line="120" w:lineRule="atLeast"/>
              <w:jc w:val="right"/>
              <w:rPr>
                <w:spacing w:val="-2"/>
                <w:sz w:val="13"/>
              </w:rPr>
            </w:pPr>
            <w:r>
              <w:rPr>
                <w:spacing w:val="-2"/>
                <w:sz w:val="13"/>
              </w:rPr>
              <w:t>72</w:t>
            </w:r>
          </w:p>
        </w:tc>
        <w:tc>
          <w:tcPr>
            <w:tcW w:w="359" w:type="dxa"/>
          </w:tcPr>
          <w:p>
            <w:pPr>
              <w:pStyle w:val="yTable"/>
              <w:spacing w:before="0" w:line="120" w:lineRule="atLeast"/>
              <w:jc w:val="right"/>
              <w:rPr>
                <w:spacing w:val="-2"/>
                <w:sz w:val="13"/>
              </w:rPr>
            </w:pPr>
            <w:r>
              <w:rPr>
                <w:spacing w:val="-2"/>
                <w:sz w:val="13"/>
              </w:rPr>
              <w:t>78</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4</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15</w:t>
            </w:r>
          </w:p>
        </w:tc>
        <w:tc>
          <w:tcPr>
            <w:tcW w:w="309" w:type="dxa"/>
          </w:tcPr>
          <w:p>
            <w:pPr>
              <w:pStyle w:val="yTable"/>
              <w:spacing w:before="0" w:line="120" w:lineRule="atLeast"/>
              <w:jc w:val="right"/>
              <w:rPr>
                <w:spacing w:val="-2"/>
                <w:sz w:val="13"/>
              </w:rPr>
            </w:pPr>
            <w:r>
              <w:rPr>
                <w:spacing w:val="-2"/>
                <w:sz w:val="13"/>
              </w:rPr>
              <w:t>45</w:t>
            </w:r>
          </w:p>
        </w:tc>
        <w:tc>
          <w:tcPr>
            <w:tcW w:w="358" w:type="dxa"/>
          </w:tcPr>
          <w:p>
            <w:pPr>
              <w:pStyle w:val="yTable"/>
              <w:spacing w:before="0" w:line="120" w:lineRule="atLeast"/>
              <w:jc w:val="right"/>
              <w:rPr>
                <w:spacing w:val="-2"/>
                <w:sz w:val="13"/>
              </w:rPr>
            </w:pPr>
            <w:r>
              <w:rPr>
                <w:spacing w:val="-2"/>
                <w:sz w:val="13"/>
              </w:rPr>
              <w:t>90</w:t>
            </w:r>
          </w:p>
        </w:tc>
        <w:tc>
          <w:tcPr>
            <w:tcW w:w="359" w:type="dxa"/>
          </w:tcPr>
          <w:p>
            <w:pPr>
              <w:pStyle w:val="yTable"/>
              <w:spacing w:before="0" w:line="120" w:lineRule="atLeast"/>
              <w:jc w:val="right"/>
              <w:rPr>
                <w:spacing w:val="-2"/>
                <w:sz w:val="13"/>
              </w:rPr>
            </w:pPr>
            <w:r>
              <w:rPr>
                <w:spacing w:val="-2"/>
                <w:sz w:val="13"/>
              </w:rPr>
              <w:t>150</w:t>
            </w:r>
          </w:p>
        </w:tc>
        <w:tc>
          <w:tcPr>
            <w:tcW w:w="358" w:type="dxa"/>
          </w:tcPr>
          <w:p>
            <w:pPr>
              <w:pStyle w:val="yTable"/>
              <w:spacing w:before="0" w:line="120" w:lineRule="atLeast"/>
              <w:jc w:val="right"/>
              <w:rPr>
                <w:spacing w:val="-2"/>
                <w:sz w:val="13"/>
              </w:rPr>
            </w:pPr>
            <w:r>
              <w:rPr>
                <w:spacing w:val="-2"/>
                <w:sz w:val="13"/>
              </w:rPr>
              <w:t>225</w:t>
            </w:r>
          </w:p>
        </w:tc>
        <w:tc>
          <w:tcPr>
            <w:tcW w:w="359" w:type="dxa"/>
          </w:tcPr>
          <w:p>
            <w:pPr>
              <w:pStyle w:val="yTable"/>
              <w:spacing w:before="0" w:line="120" w:lineRule="atLeast"/>
              <w:jc w:val="right"/>
              <w:rPr>
                <w:spacing w:val="-2"/>
                <w:sz w:val="13"/>
              </w:rPr>
            </w:pPr>
            <w:r>
              <w:rPr>
                <w:spacing w:val="-2"/>
                <w:sz w:val="13"/>
              </w:rPr>
              <w:t>315</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540</w:t>
            </w:r>
          </w:p>
        </w:tc>
        <w:tc>
          <w:tcPr>
            <w:tcW w:w="358" w:type="dxa"/>
          </w:tcPr>
          <w:p>
            <w:pPr>
              <w:pStyle w:val="yTable"/>
              <w:spacing w:before="0" w:line="120" w:lineRule="atLeast"/>
              <w:jc w:val="right"/>
              <w:rPr>
                <w:spacing w:val="-2"/>
                <w:sz w:val="13"/>
              </w:rPr>
            </w:pPr>
            <w:r>
              <w:rPr>
                <w:spacing w:val="-2"/>
                <w:sz w:val="13"/>
              </w:rPr>
              <w:t>675</w:t>
            </w:r>
          </w:p>
        </w:tc>
        <w:tc>
          <w:tcPr>
            <w:tcW w:w="359" w:type="dxa"/>
          </w:tcPr>
          <w:p>
            <w:pPr>
              <w:pStyle w:val="yTable"/>
              <w:spacing w:before="0" w:line="120" w:lineRule="atLeast"/>
              <w:jc w:val="right"/>
              <w:rPr>
                <w:spacing w:val="-2"/>
                <w:sz w:val="13"/>
              </w:rPr>
            </w:pPr>
            <w:r>
              <w:rPr>
                <w:spacing w:val="-2"/>
                <w:sz w:val="13"/>
              </w:rPr>
              <w:t>825</w:t>
            </w:r>
          </w:p>
        </w:tc>
        <w:tc>
          <w:tcPr>
            <w:tcW w:w="358" w:type="dxa"/>
          </w:tcPr>
          <w:p>
            <w:pPr>
              <w:pStyle w:val="yTable"/>
              <w:spacing w:before="0" w:line="120" w:lineRule="atLeast"/>
              <w:jc w:val="right"/>
              <w:rPr>
                <w:spacing w:val="-2"/>
                <w:sz w:val="13"/>
              </w:rPr>
            </w:pPr>
            <w:r>
              <w:rPr>
                <w:spacing w:val="-2"/>
                <w:sz w:val="13"/>
              </w:rPr>
              <w:t>990</w:t>
            </w:r>
          </w:p>
        </w:tc>
        <w:tc>
          <w:tcPr>
            <w:tcW w:w="359" w:type="dxa"/>
          </w:tcPr>
          <w:p>
            <w:pPr>
              <w:pStyle w:val="yTable"/>
              <w:spacing w:before="0" w:line="120" w:lineRule="atLeast"/>
              <w:jc w:val="right"/>
              <w:rPr>
                <w:spacing w:val="-2"/>
                <w:sz w:val="13"/>
              </w:rPr>
            </w:pPr>
            <w:r>
              <w:rPr>
                <w:spacing w:val="-2"/>
                <w:sz w:val="13"/>
              </w:rPr>
              <w:t>1170</w:t>
            </w:r>
          </w:p>
        </w:tc>
        <w:tc>
          <w:tcPr>
            <w:tcW w:w="359" w:type="dxa"/>
          </w:tcPr>
          <w:p>
            <w:pPr>
              <w:pStyle w:val="yTable"/>
              <w:spacing w:before="0" w:line="120" w:lineRule="atLeast"/>
              <w:jc w:val="righ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5</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20</w:t>
            </w:r>
          </w:p>
        </w:tc>
        <w:tc>
          <w:tcPr>
            <w:tcW w:w="358" w:type="dxa"/>
          </w:tcPr>
          <w:p>
            <w:pPr>
              <w:pStyle w:val="yTable"/>
              <w:spacing w:before="0" w:line="120" w:lineRule="atLeast"/>
              <w:jc w:val="right"/>
              <w:rPr>
                <w:spacing w:val="-2"/>
                <w:sz w:val="13"/>
              </w:rPr>
            </w:pPr>
            <w:r>
              <w:rPr>
                <w:spacing w:val="-2"/>
                <w:sz w:val="13"/>
              </w:rPr>
              <w:t>60</w:t>
            </w:r>
          </w:p>
        </w:tc>
        <w:tc>
          <w:tcPr>
            <w:tcW w:w="359" w:type="dxa"/>
          </w:tcPr>
          <w:p>
            <w:pPr>
              <w:pStyle w:val="yTable"/>
              <w:spacing w:before="0" w:line="120" w:lineRule="atLeast"/>
              <w:jc w:val="right"/>
              <w:rPr>
                <w:spacing w:val="-2"/>
                <w:sz w:val="13"/>
              </w:rPr>
            </w:pPr>
            <w:r>
              <w:rPr>
                <w:spacing w:val="-2"/>
                <w:sz w:val="13"/>
              </w:rPr>
              <w:t>120</w:t>
            </w:r>
          </w:p>
        </w:tc>
        <w:tc>
          <w:tcPr>
            <w:tcW w:w="358" w:type="dxa"/>
          </w:tcPr>
          <w:p>
            <w:pPr>
              <w:pStyle w:val="yTable"/>
              <w:spacing w:before="0" w:line="120" w:lineRule="atLeast"/>
              <w:jc w:val="right"/>
              <w:rPr>
                <w:spacing w:val="-2"/>
                <w:sz w:val="13"/>
              </w:rPr>
            </w:pPr>
            <w:r>
              <w:rPr>
                <w:spacing w:val="-2"/>
                <w:sz w:val="13"/>
              </w:rPr>
              <w:t>200</w:t>
            </w:r>
          </w:p>
        </w:tc>
        <w:tc>
          <w:tcPr>
            <w:tcW w:w="359" w:type="dxa"/>
          </w:tcPr>
          <w:p>
            <w:pPr>
              <w:pStyle w:val="yTable"/>
              <w:spacing w:before="0" w:line="120" w:lineRule="atLeast"/>
              <w:jc w:val="right"/>
              <w:rPr>
                <w:spacing w:val="-2"/>
                <w:sz w:val="13"/>
              </w:rPr>
            </w:pPr>
            <w:r>
              <w:rPr>
                <w:spacing w:val="-2"/>
                <w:sz w:val="13"/>
              </w:rPr>
              <w:t>300</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560</w:t>
            </w:r>
          </w:p>
        </w:tc>
        <w:tc>
          <w:tcPr>
            <w:tcW w:w="358" w:type="dxa"/>
          </w:tcPr>
          <w:p>
            <w:pPr>
              <w:pStyle w:val="yTable"/>
              <w:spacing w:before="0" w:line="120" w:lineRule="atLeast"/>
              <w:jc w:val="right"/>
              <w:rPr>
                <w:spacing w:val="-2"/>
                <w:sz w:val="13"/>
              </w:rPr>
            </w:pPr>
            <w:r>
              <w:rPr>
                <w:spacing w:val="-2"/>
                <w:sz w:val="13"/>
              </w:rPr>
              <w:t>720</w:t>
            </w:r>
          </w:p>
        </w:tc>
        <w:tc>
          <w:tcPr>
            <w:tcW w:w="359" w:type="dxa"/>
          </w:tcPr>
          <w:p>
            <w:pPr>
              <w:pStyle w:val="yTable"/>
              <w:spacing w:before="0" w:line="120" w:lineRule="atLeast"/>
              <w:jc w:val="right"/>
              <w:rPr>
                <w:spacing w:val="-2"/>
                <w:sz w:val="13"/>
              </w:rPr>
            </w:pPr>
            <w:r>
              <w:rPr>
                <w:spacing w:val="-2"/>
                <w:sz w:val="13"/>
              </w:rPr>
              <w:t>900</w:t>
            </w:r>
          </w:p>
        </w:tc>
        <w:tc>
          <w:tcPr>
            <w:tcW w:w="358" w:type="dxa"/>
          </w:tcPr>
          <w:p>
            <w:pPr>
              <w:pStyle w:val="yTable"/>
              <w:spacing w:before="0" w:line="120" w:lineRule="atLeast"/>
              <w:jc w:val="right"/>
              <w:rPr>
                <w:spacing w:val="-2"/>
                <w:sz w:val="13"/>
              </w:rPr>
            </w:pPr>
            <w:r>
              <w:rPr>
                <w:spacing w:val="-2"/>
                <w:sz w:val="13"/>
              </w:rPr>
              <w:t>1100</w:t>
            </w:r>
          </w:p>
        </w:tc>
        <w:tc>
          <w:tcPr>
            <w:tcW w:w="359" w:type="dxa"/>
          </w:tcPr>
          <w:p>
            <w:pPr>
              <w:pStyle w:val="yTable"/>
              <w:spacing w:before="0" w:line="120" w:lineRule="atLeast"/>
              <w:jc w:val="right"/>
              <w:rPr>
                <w:spacing w:val="-2"/>
                <w:sz w:val="13"/>
              </w:rPr>
            </w:pPr>
            <w:r>
              <w:rPr>
                <w:spacing w:val="-2"/>
                <w:sz w:val="13"/>
              </w:rPr>
              <w:t>1320</w:t>
            </w:r>
          </w:p>
        </w:tc>
        <w:tc>
          <w:tcPr>
            <w:tcW w:w="359" w:type="dxa"/>
          </w:tcPr>
          <w:p>
            <w:pPr>
              <w:pStyle w:val="yTable"/>
              <w:spacing w:before="0" w:line="120" w:lineRule="atLeast"/>
              <w:jc w:val="right"/>
              <w:rPr>
                <w:spacing w:val="-2"/>
                <w:sz w:val="13"/>
              </w:rPr>
            </w:pPr>
            <w:r>
              <w:rPr>
                <w:spacing w:val="-2"/>
                <w:sz w:val="13"/>
              </w:rPr>
              <w:t>1560</w:t>
            </w:r>
          </w:p>
        </w:tc>
      </w:tr>
      <w:tr>
        <w:tblPrEx>
          <w:tblCellMar>
            <w:left w:w="0" w:type="dxa"/>
            <w:right w:w="0" w:type="dxa"/>
          </w:tblCellMar>
        </w:tblPrEx>
        <w:tc>
          <w:tcPr>
            <w:tcW w:w="993" w:type="dxa"/>
          </w:tcPr>
          <w:p>
            <w:pPr>
              <w:pStyle w:val="yTable"/>
              <w:spacing w:line="120" w:lineRule="atLeast"/>
              <w:rPr>
                <w:sz w:val="13"/>
              </w:rPr>
            </w:pPr>
            <w:r>
              <w:rPr>
                <w:sz w:val="13"/>
              </w:rPr>
              <w:t>Six</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1</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6</w:t>
            </w:r>
          </w:p>
        </w:tc>
        <w:tc>
          <w:tcPr>
            <w:tcW w:w="283" w:type="dxa"/>
          </w:tcPr>
          <w:p>
            <w:pPr>
              <w:pStyle w:val="yTable"/>
              <w:spacing w:before="0" w:line="120" w:lineRule="atLeast"/>
              <w:jc w:val="right"/>
              <w:rPr>
                <w:sz w:val="13"/>
              </w:rPr>
            </w:pPr>
            <w:r>
              <w:rPr>
                <w:sz w:val="13"/>
              </w:rPr>
              <w:t>12</w:t>
            </w:r>
          </w:p>
        </w:tc>
        <w:tc>
          <w:tcPr>
            <w:tcW w:w="309" w:type="dxa"/>
          </w:tcPr>
          <w:p>
            <w:pPr>
              <w:pStyle w:val="yTable"/>
              <w:spacing w:before="0" w:line="120" w:lineRule="atLeast"/>
              <w:jc w:val="right"/>
              <w:rPr>
                <w:sz w:val="13"/>
              </w:rPr>
            </w:pPr>
            <w:r>
              <w:rPr>
                <w:sz w:val="13"/>
              </w:rPr>
              <w:t>18</w:t>
            </w:r>
          </w:p>
        </w:tc>
        <w:tc>
          <w:tcPr>
            <w:tcW w:w="358" w:type="dxa"/>
          </w:tcPr>
          <w:p>
            <w:pPr>
              <w:pStyle w:val="yTable"/>
              <w:spacing w:before="0" w:line="120" w:lineRule="atLeast"/>
              <w:jc w:val="right"/>
              <w:rPr>
                <w:sz w:val="13"/>
              </w:rPr>
            </w:pPr>
            <w:r>
              <w:rPr>
                <w:sz w:val="13"/>
              </w:rPr>
              <w:t>24</w:t>
            </w:r>
          </w:p>
        </w:tc>
        <w:tc>
          <w:tcPr>
            <w:tcW w:w="35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36</w:t>
            </w:r>
          </w:p>
        </w:tc>
        <w:tc>
          <w:tcPr>
            <w:tcW w:w="359" w:type="dxa"/>
          </w:tcPr>
          <w:p>
            <w:pPr>
              <w:pStyle w:val="yTable"/>
              <w:spacing w:before="0" w:line="120" w:lineRule="atLeast"/>
              <w:jc w:val="right"/>
              <w:rPr>
                <w:sz w:val="13"/>
              </w:rPr>
            </w:pPr>
            <w:r>
              <w:rPr>
                <w:sz w:val="13"/>
              </w:rPr>
              <w:t>42</w:t>
            </w:r>
          </w:p>
        </w:tc>
        <w:tc>
          <w:tcPr>
            <w:tcW w:w="358" w:type="dxa"/>
          </w:tcPr>
          <w:p>
            <w:pPr>
              <w:pStyle w:val="yTable"/>
              <w:spacing w:before="0" w:line="120" w:lineRule="atLeast"/>
              <w:jc w:val="right"/>
              <w:rPr>
                <w:sz w:val="13"/>
              </w:rPr>
            </w:pPr>
            <w:r>
              <w:rPr>
                <w:sz w:val="13"/>
              </w:rPr>
              <w:t>48</w:t>
            </w:r>
          </w:p>
        </w:tc>
        <w:tc>
          <w:tcPr>
            <w:tcW w:w="359" w:type="dxa"/>
          </w:tcPr>
          <w:p>
            <w:pPr>
              <w:pStyle w:val="yTable"/>
              <w:spacing w:before="0" w:line="120" w:lineRule="atLeast"/>
              <w:jc w:val="right"/>
              <w:rPr>
                <w:sz w:val="13"/>
              </w:rPr>
            </w:pPr>
            <w:r>
              <w:rPr>
                <w:sz w:val="13"/>
              </w:rPr>
              <w:t>54</w:t>
            </w:r>
          </w:p>
        </w:tc>
        <w:tc>
          <w:tcPr>
            <w:tcW w:w="358" w:type="dxa"/>
          </w:tcPr>
          <w:p>
            <w:pPr>
              <w:pStyle w:val="yTable"/>
              <w:spacing w:before="0" w:line="120" w:lineRule="atLeast"/>
              <w:jc w:val="right"/>
              <w:rPr>
                <w:sz w:val="13"/>
              </w:rPr>
            </w:pPr>
            <w:r>
              <w:rPr>
                <w:sz w:val="13"/>
              </w:rPr>
              <w:t>60</w:t>
            </w:r>
          </w:p>
        </w:tc>
        <w:tc>
          <w:tcPr>
            <w:tcW w:w="359" w:type="dxa"/>
          </w:tcPr>
          <w:p>
            <w:pPr>
              <w:pStyle w:val="yTable"/>
              <w:spacing w:before="0" w:line="120" w:lineRule="atLeast"/>
              <w:jc w:val="right"/>
              <w:rPr>
                <w:sz w:val="13"/>
              </w:rPr>
            </w:pPr>
            <w:r>
              <w:rPr>
                <w:sz w:val="13"/>
              </w:rPr>
              <w:t>66</w:t>
            </w:r>
          </w:p>
        </w:tc>
        <w:tc>
          <w:tcPr>
            <w:tcW w:w="358" w:type="dxa"/>
          </w:tcPr>
          <w:p>
            <w:pPr>
              <w:pStyle w:val="yTable"/>
              <w:spacing w:before="0" w:line="120" w:lineRule="atLeast"/>
              <w:jc w:val="right"/>
              <w:rPr>
                <w:sz w:val="13"/>
              </w:rPr>
            </w:pPr>
            <w:r>
              <w:rPr>
                <w:sz w:val="13"/>
              </w:rPr>
              <w:t>72</w:t>
            </w:r>
          </w:p>
        </w:tc>
        <w:tc>
          <w:tcPr>
            <w:tcW w:w="359" w:type="dxa"/>
          </w:tcPr>
          <w:p>
            <w:pPr>
              <w:pStyle w:val="yTable"/>
              <w:spacing w:before="0" w:line="120" w:lineRule="atLeast"/>
              <w:jc w:val="right"/>
              <w:rPr>
                <w:sz w:val="13"/>
              </w:rPr>
            </w:pPr>
            <w:r>
              <w:rPr>
                <w:sz w:val="13"/>
              </w:rPr>
              <w:t>78</w:t>
            </w:r>
          </w:p>
        </w:tc>
        <w:tc>
          <w:tcPr>
            <w:tcW w:w="359" w:type="dxa"/>
          </w:tcPr>
          <w:p>
            <w:pPr>
              <w:pStyle w:val="yTable"/>
              <w:spacing w:before="0" w:line="120" w:lineRule="atLeast"/>
              <w:jc w:val="right"/>
              <w:rPr>
                <w:sz w:val="13"/>
              </w:rPr>
            </w:pPr>
            <w:r>
              <w:rPr>
                <w:sz w:val="13"/>
              </w:rPr>
              <w:t>84</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45</w:t>
            </w:r>
          </w:p>
        </w:tc>
        <w:tc>
          <w:tcPr>
            <w:tcW w:w="358" w:type="dxa"/>
          </w:tcPr>
          <w:p>
            <w:pPr>
              <w:pStyle w:val="yTable"/>
              <w:spacing w:before="0" w:line="120" w:lineRule="atLeast"/>
              <w:jc w:val="right"/>
              <w:rPr>
                <w:sz w:val="13"/>
              </w:rPr>
            </w:pPr>
            <w:r>
              <w:rPr>
                <w:sz w:val="13"/>
              </w:rPr>
              <w:t>90</w:t>
            </w:r>
          </w:p>
        </w:tc>
        <w:tc>
          <w:tcPr>
            <w:tcW w:w="359" w:type="dxa"/>
          </w:tcPr>
          <w:p>
            <w:pPr>
              <w:pStyle w:val="yTable"/>
              <w:spacing w:before="0" w:line="120" w:lineRule="atLeast"/>
              <w:jc w:val="right"/>
              <w:rPr>
                <w:sz w:val="13"/>
              </w:rPr>
            </w:pPr>
            <w:r>
              <w:rPr>
                <w:sz w:val="13"/>
              </w:rPr>
              <w:t>150</w:t>
            </w:r>
          </w:p>
        </w:tc>
        <w:tc>
          <w:tcPr>
            <w:tcW w:w="358" w:type="dxa"/>
          </w:tcPr>
          <w:p>
            <w:pPr>
              <w:pStyle w:val="yTable"/>
              <w:spacing w:before="0" w:line="120" w:lineRule="atLeast"/>
              <w:jc w:val="right"/>
              <w:rPr>
                <w:sz w:val="13"/>
              </w:rPr>
            </w:pPr>
            <w:r>
              <w:rPr>
                <w:sz w:val="13"/>
              </w:rPr>
              <w:t>225</w:t>
            </w:r>
          </w:p>
        </w:tc>
        <w:tc>
          <w:tcPr>
            <w:tcW w:w="359" w:type="dxa"/>
          </w:tcPr>
          <w:p>
            <w:pPr>
              <w:pStyle w:val="yTable"/>
              <w:spacing w:before="0" w:line="120" w:lineRule="atLeast"/>
              <w:jc w:val="right"/>
              <w:rPr>
                <w:sz w:val="13"/>
              </w:rPr>
            </w:pPr>
            <w:r>
              <w:rPr>
                <w:sz w:val="13"/>
              </w:rPr>
              <w:t>315</w:t>
            </w:r>
          </w:p>
        </w:tc>
        <w:tc>
          <w:tcPr>
            <w:tcW w:w="358" w:type="dxa"/>
          </w:tcPr>
          <w:p>
            <w:pPr>
              <w:pStyle w:val="yTable"/>
              <w:spacing w:before="0" w:line="120" w:lineRule="atLeast"/>
              <w:jc w:val="right"/>
              <w:rPr>
                <w:sz w:val="13"/>
              </w:rPr>
            </w:pPr>
            <w:r>
              <w:rPr>
                <w:sz w:val="13"/>
              </w:rPr>
              <w:t>420</w:t>
            </w:r>
          </w:p>
        </w:tc>
        <w:tc>
          <w:tcPr>
            <w:tcW w:w="359" w:type="dxa"/>
          </w:tcPr>
          <w:p>
            <w:pPr>
              <w:pStyle w:val="yTable"/>
              <w:spacing w:before="0" w:line="120" w:lineRule="atLeast"/>
              <w:jc w:val="right"/>
              <w:rPr>
                <w:sz w:val="13"/>
              </w:rPr>
            </w:pPr>
            <w:r>
              <w:rPr>
                <w:sz w:val="13"/>
              </w:rPr>
              <w:t>540</w:t>
            </w:r>
          </w:p>
        </w:tc>
        <w:tc>
          <w:tcPr>
            <w:tcW w:w="358" w:type="dxa"/>
          </w:tcPr>
          <w:p>
            <w:pPr>
              <w:pStyle w:val="yTable"/>
              <w:spacing w:before="0" w:line="120" w:lineRule="atLeast"/>
              <w:jc w:val="right"/>
              <w:rPr>
                <w:sz w:val="13"/>
              </w:rPr>
            </w:pPr>
            <w:r>
              <w:rPr>
                <w:sz w:val="13"/>
              </w:rPr>
              <w:t>675</w:t>
            </w:r>
          </w:p>
        </w:tc>
        <w:tc>
          <w:tcPr>
            <w:tcW w:w="359" w:type="dxa"/>
          </w:tcPr>
          <w:p>
            <w:pPr>
              <w:pStyle w:val="yTable"/>
              <w:spacing w:before="0" w:line="120" w:lineRule="atLeast"/>
              <w:jc w:val="right"/>
              <w:rPr>
                <w:sz w:val="13"/>
              </w:rPr>
            </w:pPr>
            <w:r>
              <w:rPr>
                <w:sz w:val="13"/>
              </w:rPr>
              <w:t>825</w:t>
            </w:r>
          </w:p>
        </w:tc>
        <w:tc>
          <w:tcPr>
            <w:tcW w:w="358" w:type="dxa"/>
          </w:tcPr>
          <w:p>
            <w:pPr>
              <w:pStyle w:val="yTable"/>
              <w:spacing w:before="0" w:line="120" w:lineRule="atLeast"/>
              <w:jc w:val="right"/>
              <w:rPr>
                <w:sz w:val="13"/>
              </w:rPr>
            </w:pPr>
            <w:r>
              <w:rPr>
                <w:sz w:val="13"/>
              </w:rPr>
              <w:t>990</w:t>
            </w:r>
          </w:p>
        </w:tc>
        <w:tc>
          <w:tcPr>
            <w:tcW w:w="359" w:type="dxa"/>
          </w:tcPr>
          <w:p>
            <w:pPr>
              <w:pStyle w:val="yTable"/>
              <w:spacing w:before="0" w:line="120" w:lineRule="atLeast"/>
              <w:jc w:val="right"/>
              <w:rPr>
                <w:sz w:val="13"/>
              </w:rPr>
            </w:pPr>
            <w:r>
              <w:rPr>
                <w:sz w:val="13"/>
              </w:rPr>
              <w:t>1170</w:t>
            </w:r>
          </w:p>
        </w:tc>
        <w:tc>
          <w:tcPr>
            <w:tcW w:w="359" w:type="dxa"/>
          </w:tcPr>
          <w:p>
            <w:pPr>
              <w:pStyle w:val="yTable"/>
              <w:spacing w:before="0" w:line="120" w:lineRule="atLeast"/>
              <w:jc w:val="right"/>
              <w:rPr>
                <w:sz w:val="13"/>
              </w:rPr>
            </w:pPr>
            <w:r>
              <w:rPr>
                <w:sz w:val="13"/>
              </w:rPr>
              <w:t>1365</w:t>
            </w:r>
          </w:p>
        </w:tc>
      </w:tr>
      <w:tr>
        <w:tblPrEx>
          <w:tblCellMar>
            <w:left w:w="0" w:type="dxa"/>
            <w:right w:w="0" w:type="dxa"/>
          </w:tblCellMar>
        </w:tblPrEx>
        <w:tc>
          <w:tcPr>
            <w:tcW w:w="993" w:type="dxa"/>
          </w:tcPr>
          <w:p>
            <w:pPr>
              <w:pStyle w:val="yTable"/>
              <w:spacing w:line="120" w:lineRule="atLeast"/>
              <w:rPr>
                <w:sz w:val="13"/>
              </w:rPr>
            </w:pPr>
            <w:r>
              <w:rPr>
                <w:sz w:val="13"/>
              </w:rPr>
              <w:t>Five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2</w:t>
            </w:r>
          </w:p>
        </w:tc>
        <w:tc>
          <w:tcPr>
            <w:tcW w:w="30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3</w:t>
            </w:r>
          </w:p>
        </w:tc>
        <w:tc>
          <w:tcPr>
            <w:tcW w:w="359" w:type="dxa"/>
          </w:tcPr>
          <w:p>
            <w:pPr>
              <w:pStyle w:val="yTable"/>
              <w:spacing w:before="0" w:line="120" w:lineRule="atLeast"/>
              <w:jc w:val="right"/>
              <w:rPr>
                <w:sz w:val="13"/>
              </w:rPr>
            </w:pPr>
            <w:r>
              <w:rPr>
                <w:sz w:val="13"/>
              </w:rPr>
              <w:t>4</w:t>
            </w:r>
          </w:p>
        </w:tc>
        <w:tc>
          <w:tcPr>
            <w:tcW w:w="358" w:type="dxa"/>
          </w:tcPr>
          <w:p>
            <w:pPr>
              <w:pStyle w:val="yTable"/>
              <w:spacing w:before="0" w:line="120" w:lineRule="atLeast"/>
              <w:jc w:val="right"/>
              <w:rPr>
                <w:sz w:val="13"/>
              </w:rPr>
            </w:pPr>
            <w:r>
              <w:rPr>
                <w:sz w:val="13"/>
              </w:rPr>
              <w:t>5</w:t>
            </w:r>
          </w:p>
        </w:tc>
        <w:tc>
          <w:tcPr>
            <w:tcW w:w="359" w:type="dxa"/>
          </w:tcPr>
          <w:p>
            <w:pPr>
              <w:pStyle w:val="yTable"/>
              <w:spacing w:before="0" w:line="120" w:lineRule="atLeast"/>
              <w:jc w:val="right"/>
              <w:rPr>
                <w:sz w:val="13"/>
              </w:rPr>
            </w:pPr>
            <w:r>
              <w:rPr>
                <w:sz w:val="13"/>
              </w:rPr>
              <w:t>6</w:t>
            </w:r>
          </w:p>
        </w:tc>
        <w:tc>
          <w:tcPr>
            <w:tcW w:w="358" w:type="dxa"/>
          </w:tcPr>
          <w:p>
            <w:pPr>
              <w:pStyle w:val="yTable"/>
              <w:spacing w:before="0" w:line="120" w:lineRule="atLeast"/>
              <w:jc w:val="right"/>
              <w:rPr>
                <w:sz w:val="13"/>
              </w:rPr>
            </w:pPr>
            <w:r>
              <w:rPr>
                <w:sz w:val="13"/>
              </w:rPr>
              <w:t>7</w:t>
            </w:r>
          </w:p>
        </w:tc>
        <w:tc>
          <w:tcPr>
            <w:tcW w:w="359" w:type="dxa"/>
          </w:tcPr>
          <w:p>
            <w:pPr>
              <w:pStyle w:val="yTable"/>
              <w:spacing w:before="0" w:line="120" w:lineRule="atLeast"/>
              <w:jc w:val="right"/>
              <w:rPr>
                <w:sz w:val="13"/>
              </w:rPr>
            </w:pPr>
            <w:r>
              <w:rPr>
                <w:sz w:val="13"/>
              </w:rPr>
              <w:t>8</w:t>
            </w:r>
          </w:p>
        </w:tc>
        <w:tc>
          <w:tcPr>
            <w:tcW w:w="358" w:type="dxa"/>
          </w:tcPr>
          <w:p>
            <w:pPr>
              <w:pStyle w:val="yTable"/>
              <w:spacing w:before="0" w:line="120" w:lineRule="atLeast"/>
              <w:jc w:val="right"/>
              <w:rPr>
                <w:sz w:val="13"/>
              </w:rPr>
            </w:pPr>
            <w:r>
              <w:rPr>
                <w:sz w:val="13"/>
              </w:rPr>
              <w:t>9</w:t>
            </w:r>
          </w:p>
        </w:tc>
        <w:tc>
          <w:tcPr>
            <w:tcW w:w="35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11</w:t>
            </w:r>
          </w:p>
        </w:tc>
        <w:tc>
          <w:tcPr>
            <w:tcW w:w="359" w:type="dxa"/>
          </w:tcPr>
          <w:p>
            <w:pPr>
              <w:pStyle w:val="yTable"/>
              <w:spacing w:before="0" w:line="120" w:lineRule="atLeast"/>
              <w:jc w:val="right"/>
              <w:rPr>
                <w:sz w:val="13"/>
              </w:rPr>
            </w:pPr>
            <w:r>
              <w:rPr>
                <w:sz w:val="13"/>
              </w:rPr>
              <w:t>12</w:t>
            </w:r>
          </w:p>
        </w:tc>
        <w:tc>
          <w:tcPr>
            <w:tcW w:w="359" w:type="dxa"/>
          </w:tcPr>
          <w:p>
            <w:pPr>
              <w:pStyle w:val="yTable"/>
              <w:spacing w:before="0" w:line="120" w:lineRule="atLeast"/>
              <w:jc w:val="right"/>
              <w:rPr>
                <w:sz w:val="13"/>
              </w:rPr>
            </w:pPr>
            <w:r>
              <w:rPr>
                <w:sz w:val="13"/>
              </w:rPr>
              <w:t>13</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309" w:type="dxa"/>
          </w:tcPr>
          <w:p>
            <w:pPr>
              <w:pStyle w:val="yTable"/>
              <w:spacing w:before="0" w:line="120" w:lineRule="atLeast"/>
              <w:jc w:val="right"/>
              <w:rPr>
                <w:sz w:val="13"/>
              </w:rPr>
            </w:pPr>
            <w:r>
              <w:rPr>
                <w:sz w:val="13"/>
              </w:rPr>
              <w:t>40</w:t>
            </w:r>
          </w:p>
        </w:tc>
        <w:tc>
          <w:tcPr>
            <w:tcW w:w="358" w:type="dxa"/>
          </w:tcPr>
          <w:p>
            <w:pPr>
              <w:pStyle w:val="yTable"/>
              <w:spacing w:before="0" w:line="120" w:lineRule="atLeast"/>
              <w:jc w:val="right"/>
              <w:rPr>
                <w:sz w:val="13"/>
              </w:rPr>
            </w:pPr>
            <w:r>
              <w:rPr>
                <w:sz w:val="13"/>
              </w:rPr>
              <w:t>90</w:t>
            </w:r>
          </w:p>
        </w:tc>
        <w:tc>
          <w:tcPr>
            <w:tcW w:w="359" w:type="dxa"/>
          </w:tcPr>
          <w:p>
            <w:pPr>
              <w:pStyle w:val="yTable"/>
              <w:spacing w:before="0" w:line="120" w:lineRule="atLeast"/>
              <w:jc w:val="right"/>
              <w:rPr>
                <w:sz w:val="13"/>
              </w:rPr>
            </w:pPr>
            <w:r>
              <w:rPr>
                <w:sz w:val="13"/>
              </w:rPr>
              <w:t>160</w:t>
            </w:r>
          </w:p>
        </w:tc>
        <w:tc>
          <w:tcPr>
            <w:tcW w:w="358" w:type="dxa"/>
          </w:tcPr>
          <w:p>
            <w:pPr>
              <w:pStyle w:val="yTable"/>
              <w:spacing w:before="0" w:line="120" w:lineRule="atLeast"/>
              <w:jc w:val="right"/>
              <w:rPr>
                <w:sz w:val="13"/>
              </w:rPr>
            </w:pPr>
            <w:r>
              <w:rPr>
                <w:sz w:val="13"/>
              </w:rPr>
              <w:t>250</w:t>
            </w:r>
          </w:p>
        </w:tc>
        <w:tc>
          <w:tcPr>
            <w:tcW w:w="359" w:type="dxa"/>
          </w:tcPr>
          <w:p>
            <w:pPr>
              <w:pStyle w:val="yTable"/>
              <w:spacing w:before="0" w:line="120" w:lineRule="atLeast"/>
              <w:jc w:val="right"/>
              <w:rPr>
                <w:sz w:val="13"/>
              </w:rPr>
            </w:pPr>
            <w:r>
              <w:rPr>
                <w:sz w:val="13"/>
              </w:rPr>
              <w:t>360</w:t>
            </w:r>
          </w:p>
        </w:tc>
        <w:tc>
          <w:tcPr>
            <w:tcW w:w="358" w:type="dxa"/>
          </w:tcPr>
          <w:p>
            <w:pPr>
              <w:pStyle w:val="yTable"/>
              <w:spacing w:before="0" w:line="120" w:lineRule="atLeast"/>
              <w:jc w:val="right"/>
              <w:rPr>
                <w:sz w:val="13"/>
              </w:rPr>
            </w:pPr>
            <w:r>
              <w:rPr>
                <w:sz w:val="13"/>
              </w:rPr>
              <w:t>490</w:t>
            </w:r>
          </w:p>
        </w:tc>
        <w:tc>
          <w:tcPr>
            <w:tcW w:w="359" w:type="dxa"/>
          </w:tcPr>
          <w:p>
            <w:pPr>
              <w:pStyle w:val="yTable"/>
              <w:spacing w:before="0" w:line="120" w:lineRule="atLeast"/>
              <w:jc w:val="right"/>
              <w:rPr>
                <w:sz w:val="13"/>
              </w:rPr>
            </w:pPr>
            <w:r>
              <w:rPr>
                <w:sz w:val="13"/>
              </w:rPr>
              <w:t>640</w:t>
            </w:r>
          </w:p>
        </w:tc>
        <w:tc>
          <w:tcPr>
            <w:tcW w:w="358" w:type="dxa"/>
          </w:tcPr>
          <w:p>
            <w:pPr>
              <w:pStyle w:val="yTable"/>
              <w:spacing w:before="0" w:line="120" w:lineRule="atLeast"/>
              <w:jc w:val="right"/>
              <w:rPr>
                <w:sz w:val="13"/>
              </w:rPr>
            </w:pPr>
            <w:r>
              <w:rPr>
                <w:sz w:val="13"/>
              </w:rPr>
              <w:t>810</w:t>
            </w:r>
          </w:p>
        </w:tc>
        <w:tc>
          <w:tcPr>
            <w:tcW w:w="359" w:type="dxa"/>
          </w:tcPr>
          <w:p>
            <w:pPr>
              <w:pStyle w:val="yTable"/>
              <w:spacing w:before="0" w:line="120" w:lineRule="atLeast"/>
              <w:jc w:val="right"/>
              <w:rPr>
                <w:sz w:val="13"/>
              </w:rPr>
            </w:pPr>
            <w:r>
              <w:rPr>
                <w:sz w:val="13"/>
              </w:rPr>
              <w:t>1000</w:t>
            </w:r>
          </w:p>
        </w:tc>
        <w:tc>
          <w:tcPr>
            <w:tcW w:w="358" w:type="dxa"/>
          </w:tcPr>
          <w:p>
            <w:pPr>
              <w:pStyle w:val="yTable"/>
              <w:spacing w:before="0" w:line="120" w:lineRule="atLeast"/>
              <w:jc w:val="right"/>
              <w:rPr>
                <w:sz w:val="13"/>
              </w:rPr>
            </w:pPr>
            <w:r>
              <w:rPr>
                <w:sz w:val="13"/>
              </w:rPr>
              <w:t>1210</w:t>
            </w:r>
          </w:p>
        </w:tc>
        <w:tc>
          <w:tcPr>
            <w:tcW w:w="359" w:type="dxa"/>
          </w:tcPr>
          <w:p>
            <w:pPr>
              <w:pStyle w:val="yTable"/>
              <w:spacing w:before="0" w:line="120" w:lineRule="atLeast"/>
              <w:jc w:val="right"/>
              <w:rPr>
                <w:sz w:val="13"/>
              </w:rPr>
            </w:pPr>
            <w:r>
              <w:rPr>
                <w:sz w:val="13"/>
              </w:rPr>
              <w:t>1440</w:t>
            </w:r>
          </w:p>
        </w:tc>
        <w:tc>
          <w:tcPr>
            <w:tcW w:w="359" w:type="dxa"/>
          </w:tcPr>
          <w:p>
            <w:pPr>
              <w:pStyle w:val="yTable"/>
              <w:spacing w:before="0" w:line="120" w:lineRule="atLeast"/>
              <w:jc w:val="right"/>
              <w:rPr>
                <w:sz w:val="13"/>
              </w:rPr>
            </w:pPr>
            <w:r>
              <w:rPr>
                <w:sz w:val="13"/>
              </w:rPr>
              <w:t>1690</w:t>
            </w:r>
          </w:p>
        </w:tc>
      </w:tr>
      <w:tr>
        <w:tblPrEx>
          <w:tblCellMar>
            <w:left w:w="0" w:type="dxa"/>
            <w:right w:w="0" w:type="dxa"/>
          </w:tblCellMar>
        </w:tblPrEx>
        <w:tc>
          <w:tcPr>
            <w:tcW w:w="993" w:type="dxa"/>
          </w:tcPr>
          <w:p>
            <w:pPr>
              <w:pStyle w:val="yTable"/>
              <w:spacing w:line="120" w:lineRule="atLeast"/>
              <w:rPr>
                <w:sz w:val="13"/>
              </w:rPr>
            </w:pPr>
            <w:r>
              <w:rPr>
                <w:sz w:val="13"/>
              </w:rPr>
              <w:t>Five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2</w:t>
            </w:r>
          </w:p>
        </w:tc>
        <w:tc>
          <w:tcPr>
            <w:tcW w:w="309" w:type="dxa"/>
          </w:tcPr>
          <w:p>
            <w:pPr>
              <w:pStyle w:val="yTable"/>
              <w:spacing w:before="0" w:line="120" w:lineRule="atLeast"/>
              <w:jc w:val="right"/>
              <w:rPr>
                <w:sz w:val="13"/>
              </w:rPr>
            </w:pPr>
            <w:r>
              <w:rPr>
                <w:sz w:val="13"/>
              </w:rPr>
              <w:t>3</w:t>
            </w:r>
          </w:p>
        </w:tc>
        <w:tc>
          <w:tcPr>
            <w:tcW w:w="358" w:type="dxa"/>
          </w:tcPr>
          <w:p>
            <w:pPr>
              <w:pStyle w:val="yTable"/>
              <w:spacing w:before="0" w:line="120" w:lineRule="atLeast"/>
              <w:jc w:val="right"/>
              <w:rPr>
                <w:sz w:val="13"/>
              </w:rPr>
            </w:pPr>
            <w:r>
              <w:rPr>
                <w:sz w:val="13"/>
              </w:rPr>
              <w:t>4</w:t>
            </w:r>
          </w:p>
        </w:tc>
        <w:tc>
          <w:tcPr>
            <w:tcW w:w="359" w:type="dxa"/>
          </w:tcPr>
          <w:p>
            <w:pPr>
              <w:pStyle w:val="yTable"/>
              <w:spacing w:before="0" w:line="120" w:lineRule="atLeast"/>
              <w:jc w:val="right"/>
              <w:rPr>
                <w:sz w:val="13"/>
              </w:rPr>
            </w:pPr>
            <w:r>
              <w:rPr>
                <w:sz w:val="13"/>
              </w:rPr>
              <w:t>5</w:t>
            </w:r>
          </w:p>
        </w:tc>
        <w:tc>
          <w:tcPr>
            <w:tcW w:w="358" w:type="dxa"/>
          </w:tcPr>
          <w:p>
            <w:pPr>
              <w:pStyle w:val="yTable"/>
              <w:spacing w:before="0" w:line="120" w:lineRule="atLeast"/>
              <w:jc w:val="right"/>
              <w:rPr>
                <w:sz w:val="13"/>
              </w:rPr>
            </w:pPr>
            <w:r>
              <w:rPr>
                <w:sz w:val="13"/>
              </w:rPr>
              <w:t>6</w:t>
            </w:r>
          </w:p>
        </w:tc>
        <w:tc>
          <w:tcPr>
            <w:tcW w:w="359" w:type="dxa"/>
          </w:tcPr>
          <w:p>
            <w:pPr>
              <w:pStyle w:val="yTable"/>
              <w:spacing w:before="0" w:line="120" w:lineRule="atLeast"/>
              <w:jc w:val="right"/>
              <w:rPr>
                <w:sz w:val="13"/>
              </w:rPr>
            </w:pPr>
            <w:r>
              <w:rPr>
                <w:sz w:val="13"/>
              </w:rPr>
              <w:t>7</w:t>
            </w:r>
          </w:p>
        </w:tc>
        <w:tc>
          <w:tcPr>
            <w:tcW w:w="358" w:type="dxa"/>
          </w:tcPr>
          <w:p>
            <w:pPr>
              <w:pStyle w:val="yTable"/>
              <w:spacing w:before="0" w:line="120" w:lineRule="atLeast"/>
              <w:jc w:val="right"/>
              <w:rPr>
                <w:sz w:val="13"/>
              </w:rPr>
            </w:pPr>
            <w:r>
              <w:rPr>
                <w:sz w:val="13"/>
              </w:rPr>
              <w:t>8</w:t>
            </w:r>
          </w:p>
        </w:tc>
        <w:tc>
          <w:tcPr>
            <w:tcW w:w="359" w:type="dxa"/>
          </w:tcPr>
          <w:p>
            <w:pPr>
              <w:pStyle w:val="yTable"/>
              <w:spacing w:before="0" w:line="120" w:lineRule="atLeast"/>
              <w:jc w:val="right"/>
              <w:rPr>
                <w:sz w:val="13"/>
              </w:rPr>
            </w:pPr>
            <w:r>
              <w:rPr>
                <w:sz w:val="13"/>
              </w:rPr>
              <w:t>9</w:t>
            </w:r>
          </w:p>
        </w:tc>
        <w:tc>
          <w:tcPr>
            <w:tcW w:w="358" w:type="dxa"/>
          </w:tcPr>
          <w:p>
            <w:pPr>
              <w:pStyle w:val="yTable"/>
              <w:spacing w:before="0" w:line="120" w:lineRule="atLeast"/>
              <w:jc w:val="right"/>
              <w:rPr>
                <w:sz w:val="13"/>
              </w:rPr>
            </w:pPr>
            <w:r>
              <w:rPr>
                <w:sz w:val="13"/>
              </w:rPr>
              <w:t>10</w:t>
            </w:r>
          </w:p>
        </w:tc>
        <w:tc>
          <w:tcPr>
            <w:tcW w:w="359" w:type="dxa"/>
          </w:tcPr>
          <w:p>
            <w:pPr>
              <w:pStyle w:val="yTable"/>
              <w:spacing w:before="0" w:line="120" w:lineRule="atLeast"/>
              <w:jc w:val="right"/>
              <w:rPr>
                <w:sz w:val="13"/>
              </w:rPr>
            </w:pPr>
            <w:r>
              <w:rPr>
                <w:sz w:val="13"/>
              </w:rPr>
              <w:t>11</w:t>
            </w:r>
          </w:p>
        </w:tc>
        <w:tc>
          <w:tcPr>
            <w:tcW w:w="358" w:type="dxa"/>
          </w:tcPr>
          <w:p>
            <w:pPr>
              <w:pStyle w:val="yTable"/>
              <w:spacing w:before="0" w:line="120" w:lineRule="atLeast"/>
              <w:jc w:val="right"/>
              <w:rPr>
                <w:sz w:val="13"/>
              </w:rPr>
            </w:pPr>
            <w:r>
              <w:rPr>
                <w:sz w:val="13"/>
              </w:rPr>
              <w:t>12</w:t>
            </w:r>
          </w:p>
        </w:tc>
        <w:tc>
          <w:tcPr>
            <w:tcW w:w="359" w:type="dxa"/>
          </w:tcPr>
          <w:p>
            <w:pPr>
              <w:pStyle w:val="yTable"/>
              <w:spacing w:before="0" w:line="120" w:lineRule="atLeast"/>
              <w:jc w:val="right"/>
              <w:rPr>
                <w:sz w:val="13"/>
              </w:rPr>
            </w:pPr>
            <w:r>
              <w:rPr>
                <w:sz w:val="13"/>
              </w:rPr>
              <w:t>13</w:t>
            </w:r>
          </w:p>
        </w:tc>
        <w:tc>
          <w:tcPr>
            <w:tcW w:w="359" w:type="dxa"/>
          </w:tcPr>
          <w:p>
            <w:pPr>
              <w:pStyle w:val="yTable"/>
              <w:spacing w:before="0" w:line="120" w:lineRule="atLeast"/>
              <w:jc w:val="right"/>
              <w:rPr>
                <w:sz w:val="13"/>
              </w:rPr>
            </w:pPr>
            <w:r>
              <w:rPr>
                <w:sz w:val="13"/>
              </w:rPr>
              <w:t>14</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60</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150</w:t>
            </w:r>
          </w:p>
        </w:tc>
        <w:tc>
          <w:tcPr>
            <w:tcW w:w="359" w:type="dxa"/>
          </w:tcPr>
          <w:p>
            <w:pPr>
              <w:pStyle w:val="yTable"/>
              <w:spacing w:before="0" w:line="120" w:lineRule="atLeast"/>
              <w:jc w:val="right"/>
              <w:rPr>
                <w:sz w:val="13"/>
              </w:rPr>
            </w:pPr>
            <w:r>
              <w:rPr>
                <w:sz w:val="13"/>
              </w:rPr>
              <w:t>210</w:t>
            </w:r>
          </w:p>
        </w:tc>
        <w:tc>
          <w:tcPr>
            <w:tcW w:w="358" w:type="dxa"/>
          </w:tcPr>
          <w:p>
            <w:pPr>
              <w:pStyle w:val="yTable"/>
              <w:spacing w:before="0" w:line="120" w:lineRule="atLeast"/>
              <w:jc w:val="right"/>
              <w:rPr>
                <w:sz w:val="13"/>
              </w:rPr>
            </w:pPr>
            <w:r>
              <w:rPr>
                <w:sz w:val="13"/>
              </w:rPr>
              <w:t>280</w:t>
            </w:r>
          </w:p>
        </w:tc>
        <w:tc>
          <w:tcPr>
            <w:tcW w:w="359" w:type="dxa"/>
          </w:tcPr>
          <w:p>
            <w:pPr>
              <w:pStyle w:val="yTable"/>
              <w:spacing w:before="0" w:line="120" w:lineRule="atLeast"/>
              <w:jc w:val="right"/>
              <w:rPr>
                <w:sz w:val="13"/>
              </w:rPr>
            </w:pPr>
            <w:r>
              <w:rPr>
                <w:sz w:val="13"/>
              </w:rPr>
              <w:t>360</w:t>
            </w:r>
          </w:p>
        </w:tc>
        <w:tc>
          <w:tcPr>
            <w:tcW w:w="358" w:type="dxa"/>
          </w:tcPr>
          <w:p>
            <w:pPr>
              <w:pStyle w:val="yTable"/>
              <w:spacing w:before="0" w:line="120" w:lineRule="atLeast"/>
              <w:jc w:val="right"/>
              <w:rPr>
                <w:sz w:val="13"/>
              </w:rPr>
            </w:pPr>
            <w:r>
              <w:rPr>
                <w:sz w:val="13"/>
              </w:rPr>
              <w:t>450</w:t>
            </w:r>
          </w:p>
        </w:tc>
        <w:tc>
          <w:tcPr>
            <w:tcW w:w="359" w:type="dxa"/>
          </w:tcPr>
          <w:p>
            <w:pPr>
              <w:pStyle w:val="yTable"/>
              <w:spacing w:before="0" w:line="120" w:lineRule="atLeast"/>
              <w:jc w:val="right"/>
              <w:rPr>
                <w:sz w:val="13"/>
              </w:rPr>
            </w:pPr>
            <w:r>
              <w:rPr>
                <w:sz w:val="13"/>
              </w:rPr>
              <w:t>550</w:t>
            </w:r>
          </w:p>
        </w:tc>
        <w:tc>
          <w:tcPr>
            <w:tcW w:w="358" w:type="dxa"/>
          </w:tcPr>
          <w:p>
            <w:pPr>
              <w:pStyle w:val="yTable"/>
              <w:spacing w:before="0" w:line="120" w:lineRule="atLeast"/>
              <w:jc w:val="right"/>
              <w:rPr>
                <w:sz w:val="13"/>
              </w:rPr>
            </w:pPr>
            <w:r>
              <w:rPr>
                <w:sz w:val="13"/>
              </w:rPr>
              <w:t>660</w:t>
            </w:r>
          </w:p>
        </w:tc>
        <w:tc>
          <w:tcPr>
            <w:tcW w:w="359" w:type="dxa"/>
          </w:tcPr>
          <w:p>
            <w:pPr>
              <w:pStyle w:val="yTable"/>
              <w:spacing w:before="0" w:line="120" w:lineRule="atLeast"/>
              <w:jc w:val="right"/>
              <w:rPr>
                <w:sz w:val="13"/>
              </w:rPr>
            </w:pPr>
            <w:r>
              <w:rPr>
                <w:sz w:val="13"/>
              </w:rPr>
              <w:t>780</w:t>
            </w:r>
          </w:p>
        </w:tc>
        <w:tc>
          <w:tcPr>
            <w:tcW w:w="359" w:type="dxa"/>
          </w:tcPr>
          <w:p>
            <w:pPr>
              <w:pStyle w:val="yTable"/>
              <w:spacing w:before="0" w:line="120" w:lineRule="atLeast"/>
              <w:jc w:val="right"/>
              <w:rPr>
                <w:sz w:val="13"/>
              </w:rPr>
            </w:pPr>
            <w:r>
              <w:rPr>
                <w:sz w:val="13"/>
              </w:rPr>
              <w:t>910</w:t>
            </w:r>
          </w:p>
        </w:tc>
      </w:tr>
      <w:tr>
        <w:tblPrEx>
          <w:tblCellMar>
            <w:left w:w="0" w:type="dxa"/>
            <w:right w:w="0" w:type="dxa"/>
          </w:tblCellMar>
        </w:tblPrEx>
        <w:tc>
          <w:tcPr>
            <w:tcW w:w="993" w:type="dxa"/>
          </w:tcPr>
          <w:p>
            <w:pPr>
              <w:pStyle w:val="yTable"/>
              <w:spacing w:line="120" w:lineRule="atLeast"/>
              <w:rPr>
                <w:sz w:val="13"/>
              </w:rPr>
            </w:pPr>
            <w:r>
              <w:rPr>
                <w:sz w:val="13"/>
              </w:rPr>
              <w:t>Five</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1</w:t>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3</w:t>
            </w:r>
          </w:p>
        </w:tc>
        <w:tc>
          <w:tcPr>
            <w:tcW w:w="309" w:type="dxa"/>
          </w:tcPr>
          <w:p>
            <w:pPr>
              <w:pStyle w:val="yTable"/>
              <w:spacing w:before="0" w:line="120" w:lineRule="atLeast"/>
              <w:jc w:val="right"/>
              <w:rPr>
                <w:sz w:val="13"/>
              </w:rPr>
            </w:pPr>
            <w:r>
              <w:rPr>
                <w:sz w:val="13"/>
              </w:rPr>
              <w:t>4</w:t>
            </w:r>
          </w:p>
        </w:tc>
        <w:tc>
          <w:tcPr>
            <w:tcW w:w="358" w:type="dxa"/>
          </w:tcPr>
          <w:p>
            <w:pPr>
              <w:pStyle w:val="yTable"/>
              <w:spacing w:before="0" w:line="120" w:lineRule="atLeast"/>
              <w:jc w:val="right"/>
              <w:rPr>
                <w:sz w:val="13"/>
              </w:rPr>
            </w:pPr>
            <w:r>
              <w:rPr>
                <w:sz w:val="13"/>
              </w:rPr>
              <w:t>5</w:t>
            </w:r>
          </w:p>
        </w:tc>
        <w:tc>
          <w:tcPr>
            <w:tcW w:w="359" w:type="dxa"/>
          </w:tcPr>
          <w:p>
            <w:pPr>
              <w:pStyle w:val="yTable"/>
              <w:spacing w:before="0" w:line="120" w:lineRule="atLeast"/>
              <w:jc w:val="right"/>
              <w:rPr>
                <w:sz w:val="13"/>
              </w:rPr>
            </w:pPr>
            <w:r>
              <w:rPr>
                <w:sz w:val="13"/>
              </w:rPr>
              <w:t>6</w:t>
            </w:r>
          </w:p>
        </w:tc>
        <w:tc>
          <w:tcPr>
            <w:tcW w:w="358" w:type="dxa"/>
          </w:tcPr>
          <w:p>
            <w:pPr>
              <w:pStyle w:val="yTable"/>
              <w:spacing w:before="0" w:line="120" w:lineRule="atLeast"/>
              <w:jc w:val="right"/>
              <w:rPr>
                <w:sz w:val="13"/>
              </w:rPr>
            </w:pPr>
            <w:r>
              <w:rPr>
                <w:sz w:val="13"/>
              </w:rPr>
              <w:t>7</w:t>
            </w:r>
          </w:p>
        </w:tc>
        <w:tc>
          <w:tcPr>
            <w:tcW w:w="359" w:type="dxa"/>
          </w:tcPr>
          <w:p>
            <w:pPr>
              <w:pStyle w:val="yTable"/>
              <w:spacing w:before="0" w:line="120" w:lineRule="atLeast"/>
              <w:jc w:val="right"/>
              <w:rPr>
                <w:sz w:val="13"/>
              </w:rPr>
            </w:pPr>
            <w:r>
              <w:rPr>
                <w:sz w:val="13"/>
              </w:rPr>
              <w:t>8</w:t>
            </w:r>
          </w:p>
        </w:tc>
        <w:tc>
          <w:tcPr>
            <w:tcW w:w="358" w:type="dxa"/>
          </w:tcPr>
          <w:p>
            <w:pPr>
              <w:pStyle w:val="yTable"/>
              <w:spacing w:before="0" w:line="120" w:lineRule="atLeast"/>
              <w:jc w:val="right"/>
              <w:rPr>
                <w:sz w:val="13"/>
              </w:rPr>
            </w:pPr>
            <w:r>
              <w:rPr>
                <w:sz w:val="13"/>
              </w:rPr>
              <w:t>9</w:t>
            </w:r>
          </w:p>
        </w:tc>
        <w:tc>
          <w:tcPr>
            <w:tcW w:w="35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11</w:t>
            </w:r>
          </w:p>
        </w:tc>
        <w:tc>
          <w:tcPr>
            <w:tcW w:w="359" w:type="dxa"/>
          </w:tcPr>
          <w:p>
            <w:pPr>
              <w:pStyle w:val="yTable"/>
              <w:spacing w:before="0" w:line="120" w:lineRule="atLeast"/>
              <w:jc w:val="right"/>
              <w:rPr>
                <w:sz w:val="13"/>
              </w:rPr>
            </w:pPr>
            <w:r>
              <w:rPr>
                <w:sz w:val="13"/>
              </w:rPr>
              <w:t>12</w:t>
            </w:r>
          </w:p>
        </w:tc>
        <w:tc>
          <w:tcPr>
            <w:tcW w:w="358" w:type="dxa"/>
          </w:tcPr>
          <w:p>
            <w:pPr>
              <w:pStyle w:val="yTable"/>
              <w:spacing w:before="0" w:line="120" w:lineRule="atLeast"/>
              <w:jc w:val="right"/>
              <w:rPr>
                <w:sz w:val="13"/>
              </w:rPr>
            </w:pPr>
            <w:r>
              <w:rPr>
                <w:sz w:val="13"/>
              </w:rPr>
              <w:t>13</w:t>
            </w:r>
          </w:p>
        </w:tc>
        <w:tc>
          <w:tcPr>
            <w:tcW w:w="359" w:type="dxa"/>
          </w:tcPr>
          <w:p>
            <w:pPr>
              <w:pStyle w:val="yTable"/>
              <w:spacing w:before="0" w:line="120" w:lineRule="atLeast"/>
              <w:jc w:val="right"/>
              <w:rPr>
                <w:sz w:val="13"/>
              </w:rPr>
            </w:pPr>
            <w:r>
              <w:rPr>
                <w:sz w:val="13"/>
              </w:rPr>
              <w:t>14</w:t>
            </w:r>
          </w:p>
        </w:tc>
        <w:tc>
          <w:tcPr>
            <w:tcW w:w="359" w:type="dxa"/>
          </w:tcPr>
          <w:p>
            <w:pPr>
              <w:pStyle w:val="yTable"/>
              <w:spacing w:before="0" w:line="120" w:lineRule="atLeast"/>
              <w:jc w:val="right"/>
              <w:rPr>
                <w:sz w:val="13"/>
              </w:rPr>
            </w:pPr>
            <w:r>
              <w:rPr>
                <w:sz w:val="13"/>
              </w:rPr>
              <w:t>15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line="120" w:lineRule="atLeast"/>
              <w:rPr>
                <w:sz w:val="13"/>
              </w:rPr>
            </w:pPr>
            <w:r>
              <w:rPr>
                <w:sz w:val="13"/>
              </w:rPr>
              <w:t>Four and two 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16</w:t>
            </w:r>
          </w:p>
        </w:tc>
        <w:tc>
          <w:tcPr>
            <w:tcW w:w="30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64</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144</w:t>
            </w:r>
          </w:p>
        </w:tc>
        <w:tc>
          <w:tcPr>
            <w:tcW w:w="359" w:type="dxa"/>
          </w:tcPr>
          <w:p>
            <w:pPr>
              <w:pStyle w:val="yTable"/>
              <w:spacing w:before="0" w:line="120" w:lineRule="atLeast"/>
              <w:jc w:val="right"/>
              <w:rPr>
                <w:sz w:val="13"/>
              </w:rPr>
            </w:pPr>
            <w:r>
              <w:rPr>
                <w:sz w:val="13"/>
              </w:rPr>
              <w:t>196</w:t>
            </w:r>
          </w:p>
        </w:tc>
        <w:tc>
          <w:tcPr>
            <w:tcW w:w="358" w:type="dxa"/>
          </w:tcPr>
          <w:p>
            <w:pPr>
              <w:pStyle w:val="yTable"/>
              <w:spacing w:before="0" w:line="120" w:lineRule="atLeast"/>
              <w:jc w:val="right"/>
              <w:rPr>
                <w:sz w:val="13"/>
              </w:rPr>
            </w:pPr>
            <w:r>
              <w:rPr>
                <w:sz w:val="13"/>
              </w:rPr>
              <w:t>256</w:t>
            </w:r>
          </w:p>
        </w:tc>
        <w:tc>
          <w:tcPr>
            <w:tcW w:w="359" w:type="dxa"/>
          </w:tcPr>
          <w:p>
            <w:pPr>
              <w:pStyle w:val="yTable"/>
              <w:spacing w:before="0" w:line="120" w:lineRule="atLeast"/>
              <w:jc w:val="right"/>
              <w:rPr>
                <w:sz w:val="13"/>
              </w:rPr>
            </w:pPr>
            <w:r>
              <w:rPr>
                <w:sz w:val="13"/>
              </w:rPr>
              <w:t>324</w:t>
            </w:r>
          </w:p>
        </w:tc>
        <w:tc>
          <w:tcPr>
            <w:tcW w:w="358" w:type="dxa"/>
          </w:tcPr>
          <w:p>
            <w:pPr>
              <w:pStyle w:val="yTable"/>
              <w:spacing w:before="0" w:line="120" w:lineRule="atLeast"/>
              <w:jc w:val="right"/>
              <w:rPr>
                <w:sz w:val="13"/>
              </w:rPr>
            </w:pPr>
            <w:r>
              <w:rPr>
                <w:sz w:val="13"/>
              </w:rPr>
              <w:t>400</w:t>
            </w:r>
          </w:p>
        </w:tc>
        <w:tc>
          <w:tcPr>
            <w:tcW w:w="359" w:type="dxa"/>
          </w:tcPr>
          <w:p>
            <w:pPr>
              <w:pStyle w:val="yTable"/>
              <w:spacing w:before="0" w:line="120" w:lineRule="atLeast"/>
              <w:jc w:val="right"/>
              <w:rPr>
                <w:sz w:val="13"/>
              </w:rPr>
            </w:pPr>
            <w:r>
              <w:rPr>
                <w:sz w:val="13"/>
              </w:rPr>
              <w:t>484</w:t>
            </w:r>
          </w:p>
        </w:tc>
        <w:tc>
          <w:tcPr>
            <w:tcW w:w="358" w:type="dxa"/>
          </w:tcPr>
          <w:p>
            <w:pPr>
              <w:pStyle w:val="yTable"/>
              <w:spacing w:before="0" w:line="120" w:lineRule="atLeast"/>
              <w:jc w:val="right"/>
              <w:rPr>
                <w:sz w:val="13"/>
              </w:rPr>
            </w:pPr>
            <w:r>
              <w:rPr>
                <w:sz w:val="13"/>
              </w:rPr>
              <w:t>576</w:t>
            </w:r>
          </w:p>
        </w:tc>
        <w:tc>
          <w:tcPr>
            <w:tcW w:w="359" w:type="dxa"/>
          </w:tcPr>
          <w:p>
            <w:pPr>
              <w:pStyle w:val="yTable"/>
              <w:spacing w:before="0" w:line="120" w:lineRule="atLeast"/>
              <w:jc w:val="right"/>
              <w:rPr>
                <w:sz w:val="13"/>
              </w:rPr>
            </w:pPr>
            <w:r>
              <w:rPr>
                <w:sz w:val="13"/>
              </w:rPr>
              <w:t>676</w:t>
            </w:r>
          </w:p>
        </w:tc>
        <w:tc>
          <w:tcPr>
            <w:tcW w:w="359" w:type="dxa"/>
          </w:tcPr>
          <w:p>
            <w:pPr>
              <w:pStyle w:val="yTable"/>
              <w:spacing w:before="0" w:line="120" w:lineRule="atLeast"/>
              <w:jc w:val="right"/>
              <w:rPr>
                <w:sz w:val="13"/>
              </w:rPr>
            </w:pPr>
            <w:r>
              <w:rPr>
                <w:sz w:val="13"/>
              </w:rPr>
              <w:t>784</w:t>
            </w:r>
          </w:p>
        </w:tc>
      </w:tr>
      <w:tr>
        <w:tblPrEx>
          <w:tblCellMar>
            <w:left w:w="0" w:type="dxa"/>
            <w:right w:w="0" w:type="dxa"/>
          </w:tblCellMar>
        </w:tblPrEx>
        <w:tc>
          <w:tcPr>
            <w:tcW w:w="993" w:type="dxa"/>
          </w:tcPr>
          <w:p>
            <w:pPr>
              <w:pStyle w:val="yTable"/>
              <w:spacing w:line="120" w:lineRule="atLeast"/>
              <w:rPr>
                <w:sz w:val="13"/>
              </w:rPr>
            </w:pPr>
            <w:r>
              <w:rPr>
                <w:sz w:val="13"/>
              </w:rPr>
              <w:t>Four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38</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12</w:t>
            </w:r>
          </w:p>
        </w:tc>
        <w:tc>
          <w:tcPr>
            <w:tcW w:w="309" w:type="dxa"/>
          </w:tcPr>
          <w:p>
            <w:pPr>
              <w:pStyle w:val="yTable"/>
              <w:spacing w:before="0" w:line="120" w:lineRule="atLeast"/>
              <w:jc w:val="right"/>
              <w:rPr>
                <w:sz w:val="13"/>
              </w:rPr>
            </w:pPr>
            <w:r>
              <w:rPr>
                <w:sz w:val="13"/>
              </w:rPr>
              <w:t>24</w:t>
            </w:r>
          </w:p>
        </w:tc>
        <w:tc>
          <w:tcPr>
            <w:tcW w:w="358" w:type="dxa"/>
          </w:tcPr>
          <w:p>
            <w:pPr>
              <w:pStyle w:val="yTable"/>
              <w:spacing w:before="0" w:line="120" w:lineRule="atLeast"/>
              <w:jc w:val="right"/>
              <w:rPr>
                <w:sz w:val="13"/>
              </w:rPr>
            </w:pPr>
            <w:r>
              <w:rPr>
                <w:sz w:val="13"/>
              </w:rPr>
              <w:t>40</w:t>
            </w:r>
          </w:p>
        </w:tc>
        <w:tc>
          <w:tcPr>
            <w:tcW w:w="359" w:type="dxa"/>
          </w:tcPr>
          <w:p>
            <w:pPr>
              <w:pStyle w:val="yTable"/>
              <w:spacing w:before="0" w:line="120" w:lineRule="atLeast"/>
              <w:jc w:val="right"/>
              <w:rPr>
                <w:sz w:val="13"/>
              </w:rPr>
            </w:pPr>
            <w:r>
              <w:rPr>
                <w:sz w:val="13"/>
              </w:rPr>
              <w:t>60</w:t>
            </w:r>
          </w:p>
        </w:tc>
        <w:tc>
          <w:tcPr>
            <w:tcW w:w="358" w:type="dxa"/>
          </w:tcPr>
          <w:p>
            <w:pPr>
              <w:pStyle w:val="yTable"/>
              <w:spacing w:before="0" w:line="120" w:lineRule="atLeast"/>
              <w:jc w:val="right"/>
              <w:rPr>
                <w:sz w:val="13"/>
              </w:rPr>
            </w:pPr>
            <w:r>
              <w:rPr>
                <w:sz w:val="13"/>
              </w:rPr>
              <w:t>84</w:t>
            </w:r>
          </w:p>
        </w:tc>
        <w:tc>
          <w:tcPr>
            <w:tcW w:w="359" w:type="dxa"/>
          </w:tcPr>
          <w:p>
            <w:pPr>
              <w:pStyle w:val="yTable"/>
              <w:spacing w:before="0" w:line="120" w:lineRule="atLeast"/>
              <w:jc w:val="right"/>
              <w:rPr>
                <w:sz w:val="13"/>
              </w:rPr>
            </w:pPr>
            <w:r>
              <w:rPr>
                <w:sz w:val="13"/>
              </w:rPr>
              <w:t>112</w:t>
            </w:r>
          </w:p>
        </w:tc>
        <w:tc>
          <w:tcPr>
            <w:tcW w:w="358" w:type="dxa"/>
          </w:tcPr>
          <w:p>
            <w:pPr>
              <w:pStyle w:val="yTable"/>
              <w:spacing w:before="0" w:line="120" w:lineRule="atLeast"/>
              <w:jc w:val="right"/>
              <w:rPr>
                <w:sz w:val="13"/>
              </w:rPr>
            </w:pPr>
            <w:r>
              <w:rPr>
                <w:sz w:val="13"/>
              </w:rPr>
              <w:t>144</w:t>
            </w:r>
          </w:p>
        </w:tc>
        <w:tc>
          <w:tcPr>
            <w:tcW w:w="359" w:type="dxa"/>
          </w:tcPr>
          <w:p>
            <w:pPr>
              <w:pStyle w:val="yTable"/>
              <w:spacing w:before="0" w:line="120" w:lineRule="atLeast"/>
              <w:jc w:val="right"/>
              <w:rPr>
                <w:sz w:val="13"/>
              </w:rPr>
            </w:pPr>
            <w:r>
              <w:rPr>
                <w:sz w:val="13"/>
              </w:rPr>
              <w:t>180</w:t>
            </w:r>
          </w:p>
        </w:tc>
        <w:tc>
          <w:tcPr>
            <w:tcW w:w="358" w:type="dxa"/>
          </w:tcPr>
          <w:p>
            <w:pPr>
              <w:pStyle w:val="yTable"/>
              <w:spacing w:before="0" w:line="120" w:lineRule="atLeast"/>
              <w:jc w:val="right"/>
              <w:rPr>
                <w:sz w:val="13"/>
              </w:rPr>
            </w:pPr>
            <w:r>
              <w:rPr>
                <w:sz w:val="13"/>
              </w:rPr>
              <w:t>220</w:t>
            </w:r>
          </w:p>
        </w:tc>
        <w:tc>
          <w:tcPr>
            <w:tcW w:w="359" w:type="dxa"/>
          </w:tcPr>
          <w:p>
            <w:pPr>
              <w:pStyle w:val="yTable"/>
              <w:spacing w:before="0" w:line="120" w:lineRule="atLeast"/>
              <w:jc w:val="right"/>
              <w:rPr>
                <w:sz w:val="13"/>
              </w:rPr>
            </w:pPr>
            <w:r>
              <w:rPr>
                <w:sz w:val="13"/>
              </w:rPr>
              <w:t>264</w:t>
            </w:r>
          </w:p>
        </w:tc>
        <w:tc>
          <w:tcPr>
            <w:tcW w:w="358" w:type="dxa"/>
          </w:tcPr>
          <w:p>
            <w:pPr>
              <w:pStyle w:val="yTable"/>
              <w:spacing w:before="0" w:line="120" w:lineRule="atLeast"/>
              <w:jc w:val="right"/>
              <w:rPr>
                <w:sz w:val="13"/>
              </w:rPr>
            </w:pPr>
            <w:r>
              <w:rPr>
                <w:sz w:val="13"/>
              </w:rPr>
              <w:t>312</w:t>
            </w:r>
          </w:p>
        </w:tc>
        <w:tc>
          <w:tcPr>
            <w:tcW w:w="359" w:type="dxa"/>
          </w:tcPr>
          <w:p>
            <w:pPr>
              <w:pStyle w:val="yTable"/>
              <w:spacing w:before="0" w:line="120" w:lineRule="atLeast"/>
              <w:jc w:val="right"/>
              <w:rPr>
                <w:sz w:val="13"/>
              </w:rPr>
            </w:pPr>
            <w:r>
              <w:rPr>
                <w:sz w:val="13"/>
              </w:rPr>
              <w:t>364</w:t>
            </w:r>
          </w:p>
        </w:tc>
        <w:tc>
          <w:tcPr>
            <w:tcW w:w="359" w:type="dxa"/>
          </w:tcPr>
          <w:p>
            <w:pPr>
              <w:pStyle w:val="yTable"/>
              <w:spacing w:before="0" w:line="120" w:lineRule="atLeast"/>
              <w:jc w:val="right"/>
              <w:rPr>
                <w:sz w:val="13"/>
              </w:rPr>
            </w:pPr>
            <w:r>
              <w:rPr>
                <w:sz w:val="13"/>
              </w:rPr>
              <w:t>420</w:t>
            </w:r>
          </w:p>
        </w:tc>
      </w:tr>
      <w:tr>
        <w:tblPrEx>
          <w:tblCellMar>
            <w:left w:w="0" w:type="dxa"/>
            <w:right w:w="0" w:type="dxa"/>
          </w:tblCellMar>
        </w:tblPrEx>
        <w:tc>
          <w:tcPr>
            <w:tcW w:w="993" w:type="dxa"/>
          </w:tcPr>
          <w:p>
            <w:pPr>
              <w:pStyle w:val="yTable"/>
              <w:pageBreakBefore/>
              <w:spacing w:line="120" w:lineRule="atLeast"/>
              <w:rPr>
                <w:sz w:val="13"/>
              </w:rPr>
            </w:pPr>
            <w:r>
              <w:rPr>
                <w:sz w:val="13"/>
              </w:rPr>
              <w:t>Four</w:t>
            </w:r>
          </w:p>
        </w:tc>
        <w:tc>
          <w:tcPr>
            <w:tcW w:w="708" w:type="dxa"/>
          </w:tcPr>
          <w:p>
            <w:pPr>
              <w:pStyle w:val="yTable"/>
              <w:keepNext/>
              <w:spacing w:line="120" w:lineRule="atLeast"/>
              <w:jc w:val="center"/>
              <w:rPr>
                <w:sz w:val="13"/>
              </w:rPr>
            </w:pPr>
          </w:p>
        </w:tc>
        <w:tc>
          <w:tcPr>
            <w:tcW w:w="284" w:type="dxa"/>
          </w:tcPr>
          <w:p>
            <w:pPr>
              <w:pStyle w:val="yTable"/>
              <w:keepNext/>
              <w:spacing w:line="120" w:lineRule="atLeast"/>
              <w:jc w:val="right"/>
              <w:rPr>
                <w:sz w:val="13"/>
              </w:rPr>
            </w:pPr>
          </w:p>
        </w:tc>
        <w:tc>
          <w:tcPr>
            <w:tcW w:w="283" w:type="dxa"/>
          </w:tcPr>
          <w:p>
            <w:pPr>
              <w:pStyle w:val="yTable"/>
              <w:keepNext/>
              <w:spacing w:line="120" w:lineRule="atLeast"/>
              <w:jc w:val="right"/>
              <w:rPr>
                <w:sz w:val="13"/>
              </w:rPr>
            </w:pPr>
          </w:p>
        </w:tc>
        <w:tc>
          <w:tcPr>
            <w:tcW w:w="284" w:type="dxa"/>
          </w:tcPr>
          <w:p>
            <w:pPr>
              <w:pStyle w:val="yTable"/>
              <w:keepNext/>
              <w:spacing w:line="120" w:lineRule="atLeast"/>
              <w:jc w:val="right"/>
              <w:rPr>
                <w:sz w:val="13"/>
              </w:rPr>
            </w:pPr>
          </w:p>
        </w:tc>
        <w:tc>
          <w:tcPr>
            <w:tcW w:w="283" w:type="dxa"/>
          </w:tcPr>
          <w:p>
            <w:pPr>
              <w:pStyle w:val="yTable"/>
              <w:keepNext/>
              <w:spacing w:line="120" w:lineRule="atLeast"/>
              <w:jc w:val="right"/>
              <w:rPr>
                <w:sz w:val="13"/>
              </w:rPr>
            </w:pPr>
          </w:p>
        </w:tc>
        <w:tc>
          <w:tcPr>
            <w:tcW w:w="30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r>
      <w:tr>
        <w:tblPrEx>
          <w:tblCellMar>
            <w:left w:w="0" w:type="dxa"/>
            <w:right w:w="0" w:type="dxa"/>
          </w:tblCellMar>
        </w:tblPrEx>
        <w:tc>
          <w:tcPr>
            <w:tcW w:w="993" w:type="dxa"/>
          </w:tcPr>
          <w:p>
            <w:pPr>
              <w:pStyle w:val="yTable"/>
              <w:keepNext/>
              <w:spacing w:before="0" w:line="120" w:lineRule="atLeast"/>
              <w:rPr>
                <w:sz w:val="13"/>
              </w:rPr>
            </w:pPr>
          </w:p>
        </w:tc>
        <w:tc>
          <w:tcPr>
            <w:tcW w:w="708" w:type="dxa"/>
          </w:tcPr>
          <w:p>
            <w:pPr>
              <w:pStyle w:val="yTable"/>
              <w:keepNext/>
              <w:spacing w:before="0" w:line="120" w:lineRule="atLeast"/>
              <w:jc w:val="center"/>
              <w:rPr>
                <w:sz w:val="13"/>
              </w:rPr>
            </w:pPr>
            <w:r>
              <w:rPr>
                <w:sz w:val="13"/>
              </w:rPr>
              <w:t>1</w:t>
            </w:r>
          </w:p>
        </w:tc>
        <w:tc>
          <w:tcPr>
            <w:tcW w:w="284" w:type="dxa"/>
          </w:tcPr>
          <w:p>
            <w:pPr>
              <w:pStyle w:val="yTable"/>
              <w:keepNext/>
              <w:spacing w:before="0" w:line="120" w:lineRule="atLeast"/>
              <w:jc w:val="right"/>
              <w:rPr>
                <w:sz w:val="13"/>
              </w:rPr>
            </w:pPr>
            <w:r>
              <w:rPr>
                <w:sz w:val="13"/>
              </w:rPr>
              <w:noBreakHyphen/>
            </w:r>
          </w:p>
        </w:tc>
        <w:tc>
          <w:tcPr>
            <w:tcW w:w="283" w:type="dxa"/>
          </w:tcPr>
          <w:p>
            <w:pPr>
              <w:pStyle w:val="yTable"/>
              <w:keepNext/>
              <w:spacing w:before="0" w:line="120" w:lineRule="atLeast"/>
              <w:jc w:val="right"/>
              <w:rPr>
                <w:sz w:val="13"/>
              </w:rPr>
            </w:pPr>
            <w:r>
              <w:rPr>
                <w:sz w:val="13"/>
              </w:rPr>
              <w:t>1</w:t>
            </w:r>
          </w:p>
        </w:tc>
        <w:tc>
          <w:tcPr>
            <w:tcW w:w="284" w:type="dxa"/>
          </w:tcPr>
          <w:p>
            <w:pPr>
              <w:pStyle w:val="yTable"/>
              <w:keepNext/>
              <w:spacing w:before="0" w:line="120" w:lineRule="atLeast"/>
              <w:jc w:val="right"/>
              <w:rPr>
                <w:sz w:val="13"/>
              </w:rPr>
            </w:pPr>
            <w:r>
              <w:rPr>
                <w:sz w:val="13"/>
              </w:rPr>
              <w:noBreakHyphen/>
            </w:r>
          </w:p>
        </w:tc>
        <w:tc>
          <w:tcPr>
            <w:tcW w:w="283" w:type="dxa"/>
          </w:tcPr>
          <w:p>
            <w:pPr>
              <w:pStyle w:val="yTable"/>
              <w:keepNext/>
              <w:spacing w:before="0" w:line="120" w:lineRule="atLeast"/>
              <w:jc w:val="right"/>
              <w:rPr>
                <w:sz w:val="13"/>
              </w:rPr>
            </w:pPr>
            <w:r>
              <w:rPr>
                <w:sz w:val="13"/>
              </w:rPr>
              <w:noBreakHyphen/>
            </w:r>
          </w:p>
        </w:tc>
        <w:tc>
          <w:tcPr>
            <w:tcW w:w="30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Borders>
              <w:bottom w:val="nil"/>
            </w:tcBorders>
          </w:tcPr>
          <w:p>
            <w:pPr>
              <w:pStyle w:val="yTable"/>
              <w:spacing w:before="0" w:line="120" w:lineRule="atLeast"/>
              <w:rPr>
                <w:sz w:val="13"/>
              </w:rPr>
            </w:pPr>
          </w:p>
        </w:tc>
        <w:tc>
          <w:tcPr>
            <w:tcW w:w="708" w:type="dxa"/>
            <w:tcBorders>
              <w:bottom w:val="nil"/>
            </w:tcBorders>
          </w:tcPr>
          <w:p>
            <w:pPr>
              <w:pStyle w:val="yTable"/>
              <w:spacing w:before="0" w:line="120" w:lineRule="atLeast"/>
              <w:jc w:val="center"/>
              <w:rPr>
                <w:sz w:val="13"/>
              </w:rPr>
            </w:pPr>
            <w:r>
              <w:rPr>
                <w:sz w:val="13"/>
              </w:rPr>
              <w:t>3</w:t>
            </w:r>
          </w:p>
        </w:tc>
        <w:tc>
          <w:tcPr>
            <w:tcW w:w="284" w:type="dxa"/>
            <w:tcBorders>
              <w:bottom w:val="nil"/>
            </w:tcBorders>
          </w:tcPr>
          <w:p>
            <w:pPr>
              <w:pStyle w:val="yTable"/>
              <w:spacing w:before="0" w:line="120" w:lineRule="atLeast"/>
              <w:jc w:val="right"/>
              <w:rPr>
                <w:sz w:val="13"/>
              </w:rPr>
            </w:pPr>
            <w:r>
              <w:rPr>
                <w:sz w:val="13"/>
              </w:rPr>
              <w:t>2</w:t>
            </w:r>
          </w:p>
        </w:tc>
        <w:tc>
          <w:tcPr>
            <w:tcW w:w="283" w:type="dxa"/>
            <w:tcBorders>
              <w:bottom w:val="nil"/>
            </w:tcBorders>
          </w:tcPr>
          <w:p>
            <w:pPr>
              <w:pStyle w:val="yTable"/>
              <w:spacing w:before="0" w:line="120" w:lineRule="atLeast"/>
              <w:jc w:val="right"/>
              <w:rPr>
                <w:sz w:val="13"/>
              </w:rPr>
            </w:pPr>
            <w:r>
              <w:rPr>
                <w:sz w:val="13"/>
              </w:rPr>
              <w:t>74</w:t>
            </w:r>
          </w:p>
        </w:tc>
        <w:tc>
          <w:tcPr>
            <w:tcW w:w="284" w:type="dxa"/>
            <w:tcBorders>
              <w:bottom w:val="nil"/>
            </w:tcBorders>
          </w:tcPr>
          <w:p>
            <w:pPr>
              <w:pStyle w:val="yTable"/>
              <w:spacing w:before="0" w:line="120" w:lineRule="atLeast"/>
              <w:jc w:val="right"/>
              <w:rPr>
                <w:sz w:val="13"/>
              </w:rPr>
            </w:pPr>
            <w:r>
              <w:rPr>
                <w:sz w:val="13"/>
              </w:rPr>
              <w:noBreakHyphen/>
            </w:r>
          </w:p>
        </w:tc>
        <w:tc>
          <w:tcPr>
            <w:tcW w:w="283" w:type="dxa"/>
            <w:tcBorders>
              <w:bottom w:val="nil"/>
            </w:tcBorders>
          </w:tcPr>
          <w:p>
            <w:pPr>
              <w:pStyle w:val="yTable"/>
              <w:spacing w:before="0" w:line="120" w:lineRule="atLeast"/>
              <w:jc w:val="right"/>
              <w:rPr>
                <w:sz w:val="13"/>
              </w:rPr>
            </w:pPr>
            <w:r>
              <w:rPr>
                <w:sz w:val="13"/>
              </w:rPr>
              <w:noBreakHyphen/>
            </w:r>
          </w:p>
        </w:tc>
        <w:tc>
          <w:tcPr>
            <w:tcW w:w="30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Borders>
              <w:bottom w:val="nil"/>
            </w:tcBorders>
          </w:tcPr>
          <w:p>
            <w:pPr>
              <w:pStyle w:val="yTable"/>
              <w:spacing w:before="0" w:line="120" w:lineRule="atLeast"/>
              <w:rPr>
                <w:sz w:val="13"/>
              </w:rPr>
            </w:pPr>
          </w:p>
        </w:tc>
        <w:tc>
          <w:tcPr>
            <w:tcW w:w="708" w:type="dxa"/>
            <w:tcBorders>
              <w:bottom w:val="nil"/>
            </w:tcBorders>
          </w:tcPr>
          <w:p>
            <w:pPr>
              <w:pStyle w:val="yTable"/>
              <w:spacing w:before="0" w:line="120" w:lineRule="atLeast"/>
              <w:jc w:val="center"/>
              <w:rPr>
                <w:sz w:val="13"/>
              </w:rPr>
            </w:pPr>
            <w:r>
              <w:rPr>
                <w:sz w:val="13"/>
              </w:rPr>
              <w:t>4</w:t>
            </w:r>
          </w:p>
        </w:tc>
        <w:tc>
          <w:tcPr>
            <w:tcW w:w="284" w:type="dxa"/>
            <w:tcBorders>
              <w:bottom w:val="nil"/>
            </w:tcBorders>
          </w:tcPr>
          <w:p>
            <w:pPr>
              <w:pStyle w:val="yTable"/>
              <w:spacing w:before="0" w:line="120" w:lineRule="atLeast"/>
              <w:jc w:val="right"/>
              <w:rPr>
                <w:sz w:val="13"/>
              </w:rPr>
            </w:pPr>
            <w:r>
              <w:rPr>
                <w:sz w:val="13"/>
              </w:rPr>
              <w:t>38</w:t>
            </w:r>
          </w:p>
        </w:tc>
        <w:tc>
          <w:tcPr>
            <w:tcW w:w="283" w:type="dxa"/>
            <w:tcBorders>
              <w:bottom w:val="nil"/>
            </w:tcBorders>
          </w:tcPr>
          <w:p>
            <w:pPr>
              <w:pStyle w:val="yTable"/>
              <w:spacing w:before="0" w:line="120" w:lineRule="atLeast"/>
              <w:jc w:val="right"/>
              <w:rPr>
                <w:sz w:val="13"/>
              </w:rPr>
            </w:pPr>
            <w:r>
              <w:rPr>
                <w:sz w:val="13"/>
              </w:rPr>
              <w:t>741</w:t>
            </w:r>
          </w:p>
        </w:tc>
        <w:tc>
          <w:tcPr>
            <w:tcW w:w="284" w:type="dxa"/>
            <w:tcBorders>
              <w:bottom w:val="nil"/>
            </w:tcBorders>
          </w:tcPr>
          <w:p>
            <w:pPr>
              <w:pStyle w:val="yTable"/>
              <w:spacing w:before="0" w:line="120" w:lineRule="atLeast"/>
              <w:jc w:val="right"/>
              <w:rPr>
                <w:sz w:val="13"/>
              </w:rPr>
            </w:pPr>
            <w:r>
              <w:rPr>
                <w:sz w:val="13"/>
              </w:rPr>
              <w:t>3</w:t>
            </w:r>
          </w:p>
        </w:tc>
        <w:tc>
          <w:tcPr>
            <w:tcW w:w="283" w:type="dxa"/>
            <w:tcBorders>
              <w:bottom w:val="nil"/>
            </w:tcBorders>
          </w:tcPr>
          <w:p>
            <w:pPr>
              <w:pStyle w:val="yTable"/>
              <w:spacing w:before="0" w:line="120" w:lineRule="atLeast"/>
              <w:jc w:val="right"/>
              <w:rPr>
                <w:sz w:val="13"/>
              </w:rPr>
            </w:pPr>
            <w:r>
              <w:rPr>
                <w:sz w:val="13"/>
              </w:rPr>
              <w:t>6</w:t>
            </w:r>
          </w:p>
        </w:tc>
        <w:tc>
          <w:tcPr>
            <w:tcW w:w="309" w:type="dxa"/>
            <w:tcBorders>
              <w:bottom w:val="nil"/>
            </w:tcBorders>
          </w:tcPr>
          <w:p>
            <w:pPr>
              <w:pStyle w:val="yTable"/>
              <w:spacing w:before="0" w:line="120" w:lineRule="atLeast"/>
              <w:jc w:val="right"/>
              <w:rPr>
                <w:sz w:val="13"/>
              </w:rPr>
            </w:pPr>
            <w:r>
              <w:rPr>
                <w:sz w:val="13"/>
              </w:rPr>
              <w:t>10</w:t>
            </w:r>
          </w:p>
        </w:tc>
        <w:tc>
          <w:tcPr>
            <w:tcW w:w="358" w:type="dxa"/>
            <w:tcBorders>
              <w:bottom w:val="nil"/>
            </w:tcBorders>
          </w:tcPr>
          <w:p>
            <w:pPr>
              <w:pStyle w:val="yTable"/>
              <w:spacing w:before="0" w:line="120" w:lineRule="atLeast"/>
              <w:jc w:val="right"/>
              <w:rPr>
                <w:sz w:val="13"/>
              </w:rPr>
            </w:pPr>
            <w:r>
              <w:rPr>
                <w:sz w:val="13"/>
              </w:rPr>
              <w:t>15</w:t>
            </w:r>
          </w:p>
        </w:tc>
        <w:tc>
          <w:tcPr>
            <w:tcW w:w="359" w:type="dxa"/>
            <w:tcBorders>
              <w:bottom w:val="nil"/>
            </w:tcBorders>
          </w:tcPr>
          <w:p>
            <w:pPr>
              <w:pStyle w:val="yTable"/>
              <w:spacing w:before="0" w:line="120" w:lineRule="atLeast"/>
              <w:jc w:val="right"/>
              <w:rPr>
                <w:sz w:val="13"/>
              </w:rPr>
            </w:pPr>
            <w:r>
              <w:rPr>
                <w:sz w:val="13"/>
              </w:rPr>
              <w:t>21</w:t>
            </w:r>
          </w:p>
        </w:tc>
        <w:tc>
          <w:tcPr>
            <w:tcW w:w="358" w:type="dxa"/>
            <w:tcBorders>
              <w:bottom w:val="nil"/>
            </w:tcBorders>
          </w:tcPr>
          <w:p>
            <w:pPr>
              <w:pStyle w:val="yTable"/>
              <w:spacing w:before="0" w:line="120" w:lineRule="atLeast"/>
              <w:jc w:val="right"/>
              <w:rPr>
                <w:sz w:val="13"/>
              </w:rPr>
            </w:pPr>
            <w:r>
              <w:rPr>
                <w:sz w:val="13"/>
              </w:rPr>
              <w:t>28</w:t>
            </w:r>
          </w:p>
        </w:tc>
        <w:tc>
          <w:tcPr>
            <w:tcW w:w="359" w:type="dxa"/>
            <w:tcBorders>
              <w:bottom w:val="nil"/>
            </w:tcBorders>
          </w:tcPr>
          <w:p>
            <w:pPr>
              <w:pStyle w:val="yTable"/>
              <w:spacing w:before="0" w:line="120" w:lineRule="atLeast"/>
              <w:jc w:val="right"/>
              <w:rPr>
                <w:sz w:val="13"/>
              </w:rPr>
            </w:pPr>
            <w:r>
              <w:rPr>
                <w:sz w:val="13"/>
              </w:rPr>
              <w:t>36</w:t>
            </w:r>
          </w:p>
        </w:tc>
        <w:tc>
          <w:tcPr>
            <w:tcW w:w="358" w:type="dxa"/>
            <w:tcBorders>
              <w:bottom w:val="nil"/>
            </w:tcBorders>
          </w:tcPr>
          <w:p>
            <w:pPr>
              <w:pStyle w:val="yTable"/>
              <w:spacing w:before="0" w:line="120" w:lineRule="atLeast"/>
              <w:jc w:val="right"/>
              <w:rPr>
                <w:sz w:val="13"/>
              </w:rPr>
            </w:pPr>
            <w:r>
              <w:rPr>
                <w:sz w:val="13"/>
              </w:rPr>
              <w:t>45</w:t>
            </w:r>
          </w:p>
        </w:tc>
        <w:tc>
          <w:tcPr>
            <w:tcW w:w="359" w:type="dxa"/>
            <w:tcBorders>
              <w:bottom w:val="nil"/>
            </w:tcBorders>
          </w:tcPr>
          <w:p>
            <w:pPr>
              <w:pStyle w:val="yTable"/>
              <w:spacing w:before="0" w:line="120" w:lineRule="atLeast"/>
              <w:jc w:val="right"/>
              <w:rPr>
                <w:sz w:val="13"/>
              </w:rPr>
            </w:pPr>
            <w:r>
              <w:rPr>
                <w:sz w:val="13"/>
              </w:rPr>
              <w:t>55</w:t>
            </w:r>
          </w:p>
        </w:tc>
        <w:tc>
          <w:tcPr>
            <w:tcW w:w="358" w:type="dxa"/>
            <w:tcBorders>
              <w:bottom w:val="nil"/>
            </w:tcBorders>
          </w:tcPr>
          <w:p>
            <w:pPr>
              <w:pStyle w:val="yTable"/>
              <w:spacing w:before="0" w:line="120" w:lineRule="atLeast"/>
              <w:jc w:val="right"/>
              <w:rPr>
                <w:sz w:val="13"/>
              </w:rPr>
            </w:pPr>
            <w:r>
              <w:rPr>
                <w:sz w:val="13"/>
              </w:rPr>
              <w:t>66</w:t>
            </w:r>
          </w:p>
        </w:tc>
        <w:tc>
          <w:tcPr>
            <w:tcW w:w="359" w:type="dxa"/>
            <w:tcBorders>
              <w:bottom w:val="nil"/>
            </w:tcBorders>
          </w:tcPr>
          <w:p>
            <w:pPr>
              <w:pStyle w:val="yTable"/>
              <w:spacing w:before="0" w:line="120" w:lineRule="atLeast"/>
              <w:jc w:val="right"/>
              <w:rPr>
                <w:sz w:val="13"/>
              </w:rPr>
            </w:pPr>
            <w:r>
              <w:rPr>
                <w:sz w:val="13"/>
              </w:rPr>
              <w:t>78</w:t>
            </w:r>
          </w:p>
        </w:tc>
        <w:tc>
          <w:tcPr>
            <w:tcW w:w="358" w:type="dxa"/>
            <w:tcBorders>
              <w:bottom w:val="nil"/>
            </w:tcBorders>
          </w:tcPr>
          <w:p>
            <w:pPr>
              <w:pStyle w:val="yTable"/>
              <w:spacing w:before="0" w:line="120" w:lineRule="atLeast"/>
              <w:jc w:val="right"/>
              <w:rPr>
                <w:sz w:val="13"/>
              </w:rPr>
            </w:pPr>
            <w:r>
              <w:rPr>
                <w:sz w:val="13"/>
              </w:rPr>
              <w:t>91</w:t>
            </w:r>
          </w:p>
        </w:tc>
        <w:tc>
          <w:tcPr>
            <w:tcW w:w="359" w:type="dxa"/>
            <w:tcBorders>
              <w:bottom w:val="nil"/>
            </w:tcBorders>
          </w:tcPr>
          <w:p>
            <w:pPr>
              <w:pStyle w:val="yTable"/>
              <w:spacing w:before="0" w:line="120" w:lineRule="atLeast"/>
              <w:jc w:val="right"/>
              <w:rPr>
                <w:sz w:val="13"/>
              </w:rPr>
            </w:pPr>
            <w:r>
              <w:rPr>
                <w:sz w:val="13"/>
              </w:rPr>
              <w:t>105</w:t>
            </w:r>
          </w:p>
        </w:tc>
        <w:tc>
          <w:tcPr>
            <w:tcW w:w="359" w:type="dxa"/>
            <w:tcBorders>
              <w:bottom w:val="nil"/>
            </w:tcBorders>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Borders>
              <w:top w:val="nil"/>
            </w:tcBorders>
          </w:tcPr>
          <w:p>
            <w:pPr>
              <w:pStyle w:val="yTable"/>
              <w:keepNext/>
              <w:spacing w:line="120" w:lineRule="atLeast"/>
              <w:rPr>
                <w:sz w:val="13"/>
              </w:rPr>
            </w:pPr>
            <w:r>
              <w:rPr>
                <w:sz w:val="13"/>
              </w:rPr>
              <w:t>Three and two</w:t>
            </w:r>
          </w:p>
          <w:p>
            <w:pPr>
              <w:pStyle w:val="yTable"/>
              <w:keepNext/>
              <w:spacing w:before="0" w:line="120" w:lineRule="atLeast"/>
              <w:rPr>
                <w:sz w:val="13"/>
              </w:rPr>
            </w:pPr>
            <w:r>
              <w:rPr>
                <w:sz w:val="13"/>
              </w:rPr>
              <w:t>supplementaries</w:t>
            </w:r>
          </w:p>
        </w:tc>
        <w:tc>
          <w:tcPr>
            <w:tcW w:w="708" w:type="dxa"/>
            <w:tcBorders>
              <w:top w:val="nil"/>
            </w:tcBorders>
          </w:tcPr>
          <w:p>
            <w:pPr>
              <w:pStyle w:val="yTable"/>
              <w:keepNext/>
              <w:spacing w:line="120" w:lineRule="atLeast"/>
              <w:jc w:val="center"/>
              <w:rPr>
                <w:sz w:val="13"/>
              </w:rPr>
            </w:pPr>
          </w:p>
        </w:tc>
        <w:tc>
          <w:tcPr>
            <w:tcW w:w="284" w:type="dxa"/>
            <w:tcBorders>
              <w:top w:val="nil"/>
            </w:tcBorders>
          </w:tcPr>
          <w:p>
            <w:pPr>
              <w:pStyle w:val="yTable"/>
              <w:keepNext/>
              <w:spacing w:line="120" w:lineRule="atLeast"/>
              <w:jc w:val="right"/>
              <w:rPr>
                <w:sz w:val="13"/>
              </w:rPr>
            </w:pPr>
          </w:p>
        </w:tc>
        <w:tc>
          <w:tcPr>
            <w:tcW w:w="283" w:type="dxa"/>
            <w:tcBorders>
              <w:top w:val="nil"/>
            </w:tcBorders>
          </w:tcPr>
          <w:p>
            <w:pPr>
              <w:pStyle w:val="yTable"/>
              <w:keepNext/>
              <w:spacing w:line="120" w:lineRule="atLeast"/>
              <w:jc w:val="right"/>
              <w:rPr>
                <w:sz w:val="13"/>
              </w:rPr>
            </w:pPr>
          </w:p>
        </w:tc>
        <w:tc>
          <w:tcPr>
            <w:tcW w:w="284" w:type="dxa"/>
            <w:tcBorders>
              <w:top w:val="nil"/>
            </w:tcBorders>
          </w:tcPr>
          <w:p>
            <w:pPr>
              <w:pStyle w:val="yTable"/>
              <w:keepNext/>
              <w:spacing w:line="120" w:lineRule="atLeast"/>
              <w:jc w:val="right"/>
              <w:rPr>
                <w:sz w:val="13"/>
              </w:rPr>
            </w:pPr>
          </w:p>
        </w:tc>
        <w:tc>
          <w:tcPr>
            <w:tcW w:w="283" w:type="dxa"/>
            <w:tcBorders>
              <w:top w:val="nil"/>
            </w:tcBorders>
          </w:tcPr>
          <w:p>
            <w:pPr>
              <w:pStyle w:val="yTable"/>
              <w:keepNext/>
              <w:spacing w:line="120" w:lineRule="atLeast"/>
              <w:jc w:val="right"/>
              <w:rPr>
                <w:sz w:val="13"/>
              </w:rPr>
            </w:pPr>
          </w:p>
        </w:tc>
        <w:tc>
          <w:tcPr>
            <w:tcW w:w="30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9</w:t>
            </w:r>
          </w:p>
        </w:tc>
        <w:tc>
          <w:tcPr>
            <w:tcW w:w="309" w:type="dxa"/>
          </w:tcPr>
          <w:p>
            <w:pPr>
              <w:pStyle w:val="yTable"/>
              <w:spacing w:before="0" w:line="120" w:lineRule="atLeast"/>
              <w:jc w:val="right"/>
              <w:rPr>
                <w:sz w:val="13"/>
              </w:rPr>
            </w:pPr>
            <w:r>
              <w:rPr>
                <w:sz w:val="13"/>
              </w:rPr>
              <w:t>16</w:t>
            </w:r>
          </w:p>
        </w:tc>
        <w:tc>
          <w:tcPr>
            <w:tcW w:w="358" w:type="dxa"/>
          </w:tcPr>
          <w:p>
            <w:pPr>
              <w:pStyle w:val="yTable"/>
              <w:spacing w:before="0" w:line="120" w:lineRule="atLeast"/>
              <w:jc w:val="right"/>
              <w:rPr>
                <w:sz w:val="13"/>
              </w:rPr>
            </w:pPr>
            <w:r>
              <w:rPr>
                <w:sz w:val="13"/>
              </w:rPr>
              <w:t>25</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49</w:t>
            </w:r>
          </w:p>
        </w:tc>
        <w:tc>
          <w:tcPr>
            <w:tcW w:w="359" w:type="dxa"/>
          </w:tcPr>
          <w:p>
            <w:pPr>
              <w:pStyle w:val="yTable"/>
              <w:spacing w:before="0" w:line="120" w:lineRule="atLeast"/>
              <w:jc w:val="right"/>
              <w:rPr>
                <w:sz w:val="13"/>
              </w:rPr>
            </w:pPr>
            <w:r>
              <w:rPr>
                <w:sz w:val="13"/>
              </w:rPr>
              <w:t>64</w:t>
            </w:r>
          </w:p>
        </w:tc>
        <w:tc>
          <w:tcPr>
            <w:tcW w:w="358" w:type="dxa"/>
          </w:tcPr>
          <w:p>
            <w:pPr>
              <w:pStyle w:val="yTable"/>
              <w:spacing w:before="0" w:line="120" w:lineRule="atLeast"/>
              <w:jc w:val="right"/>
              <w:rPr>
                <w:sz w:val="13"/>
              </w:rPr>
            </w:pPr>
            <w:r>
              <w:rPr>
                <w:sz w:val="13"/>
              </w:rPr>
              <w:t>81</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121</w:t>
            </w:r>
          </w:p>
        </w:tc>
        <w:tc>
          <w:tcPr>
            <w:tcW w:w="359" w:type="dxa"/>
          </w:tcPr>
          <w:p>
            <w:pPr>
              <w:pStyle w:val="yTable"/>
              <w:spacing w:before="0" w:line="120" w:lineRule="atLeast"/>
              <w:jc w:val="right"/>
              <w:rPr>
                <w:sz w:val="13"/>
              </w:rPr>
            </w:pPr>
            <w:r>
              <w:rPr>
                <w:sz w:val="13"/>
              </w:rPr>
              <w:t>144</w:t>
            </w:r>
          </w:p>
        </w:tc>
        <w:tc>
          <w:tcPr>
            <w:tcW w:w="358" w:type="dxa"/>
          </w:tcPr>
          <w:p>
            <w:pPr>
              <w:pStyle w:val="yTable"/>
              <w:spacing w:before="0" w:line="120" w:lineRule="atLeast"/>
              <w:jc w:val="right"/>
              <w:rPr>
                <w:sz w:val="13"/>
              </w:rPr>
            </w:pPr>
            <w:r>
              <w:rPr>
                <w:sz w:val="13"/>
              </w:rPr>
              <w:t>169</w:t>
            </w:r>
          </w:p>
        </w:tc>
        <w:tc>
          <w:tcPr>
            <w:tcW w:w="359" w:type="dxa"/>
          </w:tcPr>
          <w:p>
            <w:pPr>
              <w:pStyle w:val="yTable"/>
              <w:spacing w:before="0" w:line="120" w:lineRule="atLeast"/>
              <w:jc w:val="right"/>
              <w:rPr>
                <w:sz w:val="13"/>
              </w:rPr>
            </w:pPr>
            <w:r>
              <w:rPr>
                <w:sz w:val="13"/>
              </w:rPr>
              <w:t>196</w:t>
            </w:r>
          </w:p>
        </w:tc>
        <w:tc>
          <w:tcPr>
            <w:tcW w:w="359" w:type="dxa"/>
          </w:tcPr>
          <w:p>
            <w:pPr>
              <w:pStyle w:val="yTable"/>
              <w:spacing w:before="0" w:line="120" w:lineRule="atLeast"/>
              <w:jc w:val="right"/>
              <w:rPr>
                <w:sz w:val="13"/>
              </w:rPr>
            </w:pPr>
            <w:r>
              <w:rPr>
                <w:sz w:val="13"/>
              </w:rPr>
              <w:t>225</w:t>
            </w:r>
          </w:p>
        </w:tc>
      </w:tr>
      <w:tr>
        <w:tblPrEx>
          <w:tblCellMar>
            <w:left w:w="0" w:type="dxa"/>
            <w:right w:w="0" w:type="dxa"/>
          </w:tblCellMar>
        </w:tblPrEx>
        <w:tc>
          <w:tcPr>
            <w:tcW w:w="993" w:type="dxa"/>
          </w:tcPr>
          <w:p>
            <w:pPr>
              <w:pStyle w:val="yTable"/>
              <w:spacing w:line="120" w:lineRule="atLeast"/>
              <w:rPr>
                <w:sz w:val="13"/>
              </w:rPr>
            </w:pPr>
            <w:r>
              <w:rPr>
                <w:sz w:val="13"/>
              </w:rPr>
              <w:t>Three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114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t>703</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line="120" w:lineRule="atLeast"/>
              <w:rPr>
                <w:sz w:val="13"/>
              </w:rPr>
            </w:pPr>
            <w:r>
              <w:rPr>
                <w:sz w:val="13"/>
              </w:rPr>
              <w:t>Three</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114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73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148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148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bl>
    <w:p>
      <w:pPr>
        <w:pStyle w:val="Graphics"/>
        <w:jc w:val="center"/>
      </w:pPr>
    </w:p>
    <w:p>
      <w:pPr>
        <w:pStyle w:val="yScheduleHeading"/>
      </w:pPr>
      <w:bookmarkStart w:id="507" w:name="_Toc200510485"/>
      <w:bookmarkStart w:id="508" w:name="_Toc210787582"/>
      <w:bookmarkStart w:id="509" w:name="_Toc222820842"/>
      <w:bookmarkStart w:id="510" w:name="_Toc222889201"/>
      <w:bookmarkStart w:id="511" w:name="_Toc224108826"/>
      <w:bookmarkStart w:id="512" w:name="_Toc256152955"/>
      <w:bookmarkStart w:id="513" w:name="_Toc277943326"/>
      <w:bookmarkStart w:id="514" w:name="_Toc113695922"/>
      <w:r>
        <w:rPr>
          <w:rStyle w:val="CharSchNo"/>
        </w:rPr>
        <w:t>Schedule 4</w:t>
      </w:r>
      <w:r>
        <w:t> — </w:t>
      </w:r>
      <w:bookmarkStart w:id="515" w:name="_Toc187816403"/>
      <w:bookmarkStart w:id="516" w:name="_Toc196013937"/>
      <w:bookmarkStart w:id="517" w:name="_Toc197406918"/>
      <w:r>
        <w:rPr>
          <w:rStyle w:val="CharSchText"/>
        </w:rPr>
        <w:t>Summary of parameters within which Monday or Wednesday lotto is conducted</w:t>
      </w:r>
      <w:bookmarkEnd w:id="507"/>
      <w:bookmarkEnd w:id="508"/>
      <w:bookmarkEnd w:id="509"/>
      <w:bookmarkEnd w:id="510"/>
      <w:bookmarkEnd w:id="511"/>
      <w:bookmarkEnd w:id="512"/>
      <w:bookmarkEnd w:id="513"/>
      <w:bookmarkEnd w:id="515"/>
      <w:bookmarkEnd w:id="516"/>
      <w:bookmarkEnd w:id="517"/>
    </w:p>
    <w:p>
      <w:pPr>
        <w:pStyle w:val="yFootnoteheading"/>
        <w:spacing w:after="120"/>
      </w:pPr>
      <w:r>
        <w:tab/>
        <w:t>[Heading inserted in Gazette 6 Jun 2008 p. 2320.]</w:t>
      </w:r>
    </w:p>
    <w:tbl>
      <w:tblPr>
        <w:tblW w:w="0" w:type="auto"/>
        <w:tblInd w:w="141" w:type="dxa"/>
        <w:tblLayout w:type="fixed"/>
        <w:tblCellMar>
          <w:left w:w="141" w:type="dxa"/>
          <w:right w:w="141" w:type="dxa"/>
        </w:tblCellMar>
        <w:tblLook w:val="0000" w:firstRow="0" w:lastRow="0" w:firstColumn="0" w:lastColumn="0" w:noHBand="0" w:noVBand="0"/>
      </w:tblPr>
      <w:tblGrid>
        <w:gridCol w:w="4820"/>
        <w:gridCol w:w="2126"/>
      </w:tblGrid>
      <w:tr>
        <w:trPr>
          <w:trHeight w:val="425"/>
        </w:trPr>
        <w:tc>
          <w:tcPr>
            <w:tcW w:w="4820" w:type="dxa"/>
          </w:tcPr>
          <w:p>
            <w:pPr>
              <w:pStyle w:val="yTable"/>
              <w:keepNext/>
              <w:spacing w:before="0" w:line="220" w:lineRule="exact"/>
            </w:pPr>
            <w:r>
              <w:t>Unit cost for a Monday or Wednesday lotto draw</w:t>
            </w:r>
          </w:p>
        </w:tc>
        <w:tc>
          <w:tcPr>
            <w:tcW w:w="2126" w:type="dxa"/>
          </w:tcPr>
          <w:p>
            <w:pPr>
              <w:pStyle w:val="yTable"/>
              <w:keepNext/>
              <w:spacing w:before="0" w:line="220" w:lineRule="exact"/>
            </w:pPr>
            <w:r>
              <w:t>$0.40 (+ a 9% agent’s component)</w:t>
            </w:r>
          </w:p>
        </w:tc>
      </w:tr>
      <w:tr>
        <w:tc>
          <w:tcPr>
            <w:tcW w:w="4820" w:type="dxa"/>
          </w:tcPr>
          <w:p>
            <w:pPr>
              <w:pStyle w:val="yTable"/>
              <w:keepNext/>
              <w:spacing w:before="0" w:line="220" w:lineRule="exact"/>
            </w:pPr>
            <w:r>
              <w:t>Prize fund — % of subscriptions</w:t>
            </w:r>
          </w:p>
        </w:tc>
        <w:tc>
          <w:tcPr>
            <w:tcW w:w="2126" w:type="dxa"/>
          </w:tcPr>
          <w:p>
            <w:pPr>
              <w:pStyle w:val="yTable"/>
              <w:keepNext/>
              <w:spacing w:before="0" w:line="220" w:lineRule="exact"/>
            </w:pPr>
            <w:r>
              <w:t>60.0%</w:t>
            </w:r>
          </w:p>
        </w:tc>
      </w:tr>
      <w:tr>
        <w:tc>
          <w:tcPr>
            <w:tcW w:w="4820" w:type="dxa"/>
          </w:tcPr>
          <w:p>
            <w:pPr>
              <w:pStyle w:val="yTable"/>
              <w:spacing w:before="0" w:line="220" w:lineRule="exact"/>
            </w:pPr>
            <w:r>
              <w:t>Prize pool — % of subscriptions</w:t>
            </w:r>
          </w:p>
        </w:tc>
        <w:tc>
          <w:tcPr>
            <w:tcW w:w="2126" w:type="dxa"/>
          </w:tcPr>
          <w:p>
            <w:pPr>
              <w:pStyle w:val="yTable"/>
              <w:spacing w:before="0" w:line="220" w:lineRule="exact"/>
            </w:pPr>
            <w:r>
              <w:t>no less than 55.0%</w:t>
            </w:r>
          </w:p>
        </w:tc>
      </w:tr>
      <w:tr>
        <w:tc>
          <w:tcPr>
            <w:tcW w:w="4820" w:type="dxa"/>
          </w:tcPr>
          <w:p>
            <w:pPr>
              <w:pStyle w:val="yTable"/>
              <w:spacing w:before="0" w:line="220" w:lineRule="exact"/>
            </w:pPr>
            <w:r>
              <w:t>Prize reserve fund — % of subscriptions</w:t>
            </w:r>
          </w:p>
        </w:tc>
        <w:tc>
          <w:tcPr>
            <w:tcW w:w="2126" w:type="dxa"/>
          </w:tcPr>
          <w:p>
            <w:pPr>
              <w:pStyle w:val="yTable"/>
              <w:spacing w:before="0" w:line="220" w:lineRule="exact"/>
            </w:pPr>
            <w:r>
              <w:t>balance of prize fund after prize pool</w:t>
            </w:r>
            <w:r>
              <w:br/>
              <w:t>(up to 5.0%)</w:t>
            </w:r>
          </w:p>
        </w:tc>
      </w:tr>
      <w:tr>
        <w:tc>
          <w:tcPr>
            <w:tcW w:w="4820" w:type="dxa"/>
          </w:tcPr>
          <w:p>
            <w:pPr>
              <w:pStyle w:val="yTable"/>
              <w:spacing w:before="0" w:line="220" w:lineRule="exact"/>
            </w:pPr>
            <w:r>
              <w:t>Number of divisions</w:t>
            </w:r>
          </w:p>
        </w:tc>
        <w:tc>
          <w:tcPr>
            <w:tcW w:w="2126" w:type="dxa"/>
          </w:tcPr>
          <w:p>
            <w:pPr>
              <w:pStyle w:val="yTable"/>
              <w:spacing w:before="0" w:line="220" w:lineRule="exact"/>
            </w:pPr>
            <w:r>
              <w:t>5</w:t>
            </w:r>
          </w:p>
        </w:tc>
      </w:tr>
      <w:tr>
        <w:tc>
          <w:tcPr>
            <w:tcW w:w="4820" w:type="dxa"/>
          </w:tcPr>
          <w:p>
            <w:pPr>
              <w:pStyle w:val="yTable"/>
              <w:spacing w:before="0" w:line="220" w:lineRule="exact"/>
            </w:pPr>
            <w:r>
              <w:t>Winning numbers drawn</w:t>
            </w:r>
          </w:p>
        </w:tc>
        <w:tc>
          <w:tcPr>
            <w:tcW w:w="2126" w:type="dxa"/>
          </w:tcPr>
          <w:p>
            <w:pPr>
              <w:pStyle w:val="yTable"/>
              <w:spacing w:before="0" w:line="220" w:lineRule="exact"/>
            </w:pPr>
            <w:r>
              <w:t>6</w:t>
            </w:r>
          </w:p>
        </w:tc>
      </w:tr>
      <w:tr>
        <w:tc>
          <w:tcPr>
            <w:tcW w:w="4820" w:type="dxa"/>
          </w:tcPr>
          <w:p>
            <w:pPr>
              <w:pStyle w:val="yTable"/>
              <w:spacing w:before="0" w:line="220" w:lineRule="exact"/>
            </w:pPr>
            <w:r>
              <w:t>Supplementary numbers drawn</w:t>
            </w:r>
          </w:p>
        </w:tc>
        <w:tc>
          <w:tcPr>
            <w:tcW w:w="2126" w:type="dxa"/>
          </w:tcPr>
          <w:p>
            <w:pPr>
              <w:pStyle w:val="yTable"/>
              <w:spacing w:before="0" w:line="220" w:lineRule="exact"/>
            </w:pPr>
            <w:r>
              <w:t>2</w:t>
            </w:r>
          </w:p>
        </w:tc>
      </w:tr>
      <w:tr>
        <w:tc>
          <w:tcPr>
            <w:tcW w:w="4820" w:type="dxa"/>
          </w:tcPr>
          <w:p>
            <w:pPr>
              <w:pStyle w:val="yTable"/>
              <w:spacing w:before="0" w:line="220" w:lineRule="exact"/>
            </w:pPr>
            <w:r>
              <w:t>Forecast range </w:t>
            </w:r>
          </w:p>
        </w:tc>
        <w:tc>
          <w:tcPr>
            <w:tcW w:w="2126" w:type="dxa"/>
          </w:tcPr>
          <w:p>
            <w:pPr>
              <w:pStyle w:val="yTable"/>
              <w:spacing w:before="0" w:line="220" w:lineRule="exact"/>
            </w:pPr>
            <w:r>
              <w:t>1 to 45 inclusive</w:t>
            </w:r>
          </w:p>
        </w:tc>
      </w:tr>
      <w:tr>
        <w:tc>
          <w:tcPr>
            <w:tcW w:w="4820" w:type="dxa"/>
          </w:tcPr>
          <w:p>
            <w:pPr>
              <w:pStyle w:val="yTable"/>
              <w:spacing w:before="0" w:line="220" w:lineRule="exact"/>
            </w:pPr>
            <w:r>
              <w:t>Odds of winning —</w:t>
            </w:r>
          </w:p>
          <w:p>
            <w:pPr>
              <w:pStyle w:val="yTable"/>
              <w:spacing w:before="0" w:line="220" w:lineRule="exact"/>
            </w:pPr>
            <w:r>
              <w:t>division 1</w:t>
            </w:r>
          </w:p>
          <w:p>
            <w:pPr>
              <w:pStyle w:val="yTable"/>
              <w:spacing w:before="0" w:line="220" w:lineRule="exact"/>
            </w:pPr>
            <w:r>
              <w:t>division 2</w:t>
            </w:r>
          </w:p>
          <w:p>
            <w:pPr>
              <w:pStyle w:val="yTable"/>
              <w:spacing w:before="0" w:line="220" w:lineRule="exact"/>
            </w:pPr>
            <w:r>
              <w:t>division 3</w:t>
            </w:r>
          </w:p>
          <w:p>
            <w:pPr>
              <w:pStyle w:val="yTable"/>
              <w:spacing w:before="0" w:line="220" w:lineRule="exact"/>
            </w:pPr>
            <w:r>
              <w:t>division 4</w:t>
            </w:r>
          </w:p>
          <w:p>
            <w:pPr>
              <w:pStyle w:val="yTable"/>
              <w:spacing w:before="0" w:line="220" w:lineRule="exact"/>
            </w:pPr>
            <w:r>
              <w:t>division 5</w:t>
            </w:r>
          </w:p>
        </w:tc>
        <w:tc>
          <w:tcPr>
            <w:tcW w:w="2126" w:type="dxa"/>
          </w:tcPr>
          <w:p>
            <w:pPr>
              <w:pStyle w:val="yTable"/>
              <w:spacing w:before="0" w:line="220" w:lineRule="exact"/>
            </w:pPr>
          </w:p>
          <w:p>
            <w:pPr>
              <w:pStyle w:val="yTable"/>
              <w:spacing w:before="0" w:line="220" w:lineRule="exact"/>
            </w:pPr>
            <w:r>
              <w:t>1 in 8 145 060</w:t>
            </w:r>
          </w:p>
          <w:p>
            <w:pPr>
              <w:pStyle w:val="yTable"/>
              <w:spacing w:before="0" w:line="220" w:lineRule="exact"/>
            </w:pPr>
            <w:r>
              <w:t>1 in 678 755</w:t>
            </w:r>
          </w:p>
          <w:p>
            <w:pPr>
              <w:pStyle w:val="yTable"/>
              <w:spacing w:before="0" w:line="220" w:lineRule="exact"/>
            </w:pPr>
            <w:r>
              <w:t>1 in 36 690</w:t>
            </w:r>
          </w:p>
          <w:p>
            <w:pPr>
              <w:pStyle w:val="yTable"/>
              <w:spacing w:before="0" w:line="220" w:lineRule="exact"/>
            </w:pPr>
            <w:r>
              <w:t>1 in 733</w:t>
            </w:r>
          </w:p>
          <w:p>
            <w:pPr>
              <w:pStyle w:val="yTable"/>
              <w:spacing w:before="0" w:line="220" w:lineRule="exact"/>
            </w:pPr>
            <w:r>
              <w:t>1 in 298</w:t>
            </w:r>
          </w:p>
        </w:tc>
      </w:tr>
      <w:tr>
        <w:tc>
          <w:tcPr>
            <w:tcW w:w="4820" w:type="dxa"/>
          </w:tcPr>
          <w:p>
            <w:pPr>
              <w:pStyle w:val="yTable"/>
              <w:spacing w:before="0" w:line="220" w:lineRule="exact"/>
            </w:pPr>
            <w:r>
              <w:t>Systems range</w:t>
            </w:r>
          </w:p>
        </w:tc>
        <w:tc>
          <w:tcPr>
            <w:tcW w:w="2126" w:type="dxa"/>
          </w:tcPr>
          <w:p>
            <w:pPr>
              <w:pStyle w:val="yTable"/>
              <w:spacing w:before="0" w:line="220" w:lineRule="exact"/>
            </w:pPr>
            <w:r>
              <w:t>4</w:t>
            </w:r>
            <w:r>
              <w:noBreakHyphen/>
              <w:t>5/7</w:t>
            </w:r>
            <w:r>
              <w:noBreakHyphen/>
              <w:t>20 inclusive</w:t>
            </w:r>
          </w:p>
        </w:tc>
      </w:tr>
      <w:tr>
        <w:tc>
          <w:tcPr>
            <w:tcW w:w="4820" w:type="dxa"/>
          </w:tcPr>
          <w:p>
            <w:pPr>
              <w:pStyle w:val="yTable"/>
              <w:spacing w:before="0" w:line="220" w:lineRule="exact"/>
            </w:pPr>
            <w:r>
              <w:t>Multiweek options (</w:t>
            </w:r>
            <w:r>
              <w:rPr>
                <w:i/>
                <w:iCs/>
              </w:rPr>
              <w:t>if available</w:t>
            </w:r>
            <w:r>
              <w:t>)</w:t>
            </w:r>
          </w:p>
        </w:tc>
        <w:tc>
          <w:tcPr>
            <w:tcW w:w="2126" w:type="dxa"/>
          </w:tcPr>
          <w:p>
            <w:pPr>
              <w:pStyle w:val="yTable"/>
              <w:spacing w:before="0" w:line="220" w:lineRule="exact"/>
            </w:pPr>
            <w:r>
              <w:t>2, 5 or 10 weeks</w:t>
            </w:r>
          </w:p>
        </w:tc>
      </w:tr>
      <w:tr>
        <w:tc>
          <w:tcPr>
            <w:tcW w:w="4820" w:type="dxa"/>
          </w:tcPr>
          <w:p>
            <w:pPr>
              <w:pStyle w:val="yTable"/>
              <w:spacing w:before="0" w:line="220" w:lineRule="exact"/>
            </w:pPr>
            <w:r>
              <w:t>Advance sales (maximum) (</w:t>
            </w:r>
            <w:r>
              <w:rPr>
                <w:i/>
                <w:iCs/>
              </w:rPr>
              <w:t>if available</w:t>
            </w:r>
            <w:r>
              <w:t>)</w:t>
            </w:r>
          </w:p>
        </w:tc>
        <w:tc>
          <w:tcPr>
            <w:tcW w:w="2126" w:type="dxa"/>
          </w:tcPr>
          <w:p>
            <w:pPr>
              <w:pStyle w:val="yTable"/>
              <w:spacing w:before="0" w:line="220" w:lineRule="exact"/>
            </w:pPr>
            <w:r>
              <w:t>10 weeks</w:t>
            </w:r>
          </w:p>
        </w:tc>
      </w:tr>
      <w:tr>
        <w:tc>
          <w:tcPr>
            <w:tcW w:w="4820" w:type="dxa"/>
          </w:tcPr>
          <w:p>
            <w:pPr>
              <w:pStyle w:val="yTable"/>
              <w:spacing w:before="0" w:line="220" w:lineRule="exact"/>
            </w:pPr>
            <w:r>
              <w:t>Games per playslip (minimum)</w:t>
            </w:r>
          </w:p>
        </w:tc>
        <w:tc>
          <w:tcPr>
            <w:tcW w:w="2126" w:type="dxa"/>
          </w:tcPr>
          <w:p>
            <w:pPr>
              <w:pStyle w:val="yTable"/>
              <w:spacing w:before="0" w:line="220" w:lineRule="exact"/>
            </w:pPr>
            <w:r>
              <w:t>4</w:t>
            </w:r>
          </w:p>
        </w:tc>
      </w:tr>
      <w:tr>
        <w:tc>
          <w:tcPr>
            <w:tcW w:w="4820" w:type="dxa"/>
          </w:tcPr>
          <w:p>
            <w:pPr>
              <w:pStyle w:val="yTable"/>
              <w:spacing w:before="0" w:line="220" w:lineRule="exact"/>
            </w:pPr>
            <w:r>
              <w:t xml:space="preserve">Systems entries per playslip (maximum) </w:t>
            </w:r>
          </w:p>
        </w:tc>
        <w:tc>
          <w:tcPr>
            <w:tcW w:w="2126" w:type="dxa"/>
          </w:tcPr>
          <w:p>
            <w:pPr>
              <w:pStyle w:val="yTable"/>
              <w:spacing w:before="0" w:line="220" w:lineRule="exact"/>
            </w:pPr>
            <w:r>
              <w:t>18</w:t>
            </w:r>
          </w:p>
          <w:p>
            <w:pPr>
              <w:pStyle w:val="yTable"/>
              <w:spacing w:before="0" w:line="220" w:lineRule="exact"/>
            </w:pPr>
            <w:r>
              <w:t>(subject to maximum aggregate entry cost)</w:t>
            </w:r>
          </w:p>
        </w:tc>
      </w:tr>
      <w:tr>
        <w:tc>
          <w:tcPr>
            <w:tcW w:w="4820" w:type="dxa"/>
          </w:tcPr>
          <w:p>
            <w:pPr>
              <w:pStyle w:val="yTable"/>
              <w:spacing w:before="0" w:line="220" w:lineRule="exact"/>
            </w:pPr>
            <w:r>
              <w:t>Games per playslip (maximum)</w:t>
            </w:r>
          </w:p>
        </w:tc>
        <w:tc>
          <w:tcPr>
            <w:tcW w:w="2126" w:type="dxa"/>
          </w:tcPr>
          <w:p>
            <w:pPr>
              <w:pStyle w:val="yTable"/>
              <w:spacing w:before="0" w:line="220" w:lineRule="exact"/>
            </w:pPr>
            <w:r>
              <w:t>18</w:t>
            </w:r>
          </w:p>
        </w:tc>
      </w:tr>
      <w:tr>
        <w:tc>
          <w:tcPr>
            <w:tcW w:w="4820" w:type="dxa"/>
          </w:tcPr>
          <w:p>
            <w:pPr>
              <w:pStyle w:val="yTable"/>
              <w:spacing w:before="0" w:line="220" w:lineRule="exact"/>
            </w:pPr>
            <w:r>
              <w:t>Games per oral request (default)</w:t>
            </w:r>
          </w:p>
        </w:tc>
        <w:tc>
          <w:tcPr>
            <w:tcW w:w="2126" w:type="dxa"/>
          </w:tcPr>
          <w:p>
            <w:pPr>
              <w:pStyle w:val="yTable"/>
              <w:spacing w:before="0" w:line="220" w:lineRule="exact"/>
            </w:pPr>
            <w:r>
              <w:t>12, 18, 25, 30 or 50</w:t>
            </w:r>
          </w:p>
        </w:tc>
      </w:tr>
      <w:tr>
        <w:tc>
          <w:tcPr>
            <w:tcW w:w="4820" w:type="dxa"/>
          </w:tcPr>
          <w:p>
            <w:pPr>
              <w:pStyle w:val="yTable"/>
              <w:spacing w:before="0" w:line="220" w:lineRule="exact"/>
            </w:pPr>
            <w:r>
              <w:t>Games per oral request (</w:t>
            </w:r>
            <w:r>
              <w:rPr>
                <w:i/>
                <w:iCs/>
              </w:rPr>
              <w:t>if available</w:t>
            </w:r>
            <w:r>
              <w:t>)</w:t>
            </w:r>
          </w:p>
        </w:tc>
        <w:tc>
          <w:tcPr>
            <w:tcW w:w="2126" w:type="dxa"/>
          </w:tcPr>
          <w:p>
            <w:pPr>
              <w:pStyle w:val="yTable"/>
              <w:spacing w:before="0" w:line="220" w:lineRule="exact"/>
            </w:pPr>
            <w:r>
              <w:t>4 to 50</w:t>
            </w:r>
          </w:p>
        </w:tc>
      </w:tr>
      <w:tr>
        <w:tc>
          <w:tcPr>
            <w:tcW w:w="4820" w:type="dxa"/>
          </w:tcPr>
          <w:p>
            <w:pPr>
              <w:pStyle w:val="yTable"/>
              <w:spacing w:before="0" w:line="220" w:lineRule="exact"/>
            </w:pPr>
            <w:r>
              <w:t>Syndicate entries may be purchased (</w:t>
            </w:r>
            <w:r>
              <w:rPr>
                <w:i/>
                <w:iCs/>
              </w:rPr>
              <w:t>if available</w:t>
            </w:r>
            <w:r>
              <w:t>)</w:t>
            </w:r>
          </w:p>
        </w:tc>
        <w:tc>
          <w:tcPr>
            <w:tcW w:w="2126" w:type="dxa"/>
          </w:tcPr>
          <w:p>
            <w:pPr>
              <w:pStyle w:val="yTable"/>
              <w:spacing w:before="0" w:line="220" w:lineRule="exact"/>
            </w:pPr>
            <w:r>
              <w:t>(see Part 2A)</w:t>
            </w:r>
          </w:p>
        </w:tc>
      </w:tr>
      <w:tr>
        <w:tc>
          <w:tcPr>
            <w:tcW w:w="4820" w:type="dxa"/>
          </w:tcPr>
          <w:p>
            <w:pPr>
              <w:pStyle w:val="yTable"/>
              <w:spacing w:before="0" w:line="220" w:lineRule="exact"/>
            </w:pPr>
            <w:r>
              <w:t>Systems entries per oral request</w:t>
            </w:r>
          </w:p>
        </w:tc>
        <w:tc>
          <w:tcPr>
            <w:tcW w:w="2126" w:type="dxa"/>
          </w:tcPr>
          <w:p>
            <w:pPr>
              <w:pStyle w:val="yTable"/>
              <w:spacing w:before="0" w:line="220" w:lineRule="exact"/>
            </w:pPr>
            <w:r>
              <w:t>1</w:t>
            </w:r>
          </w:p>
        </w:tc>
      </w:tr>
      <w:tr>
        <w:tc>
          <w:tcPr>
            <w:tcW w:w="4820" w:type="dxa"/>
          </w:tcPr>
          <w:p>
            <w:pPr>
              <w:pStyle w:val="yTable"/>
              <w:spacing w:before="0" w:line="220" w:lineRule="exact"/>
            </w:pPr>
            <w:r>
              <w:t>Prize payout period</w:t>
            </w:r>
          </w:p>
        </w:tc>
        <w:tc>
          <w:tcPr>
            <w:tcW w:w="2126" w:type="dxa"/>
          </w:tcPr>
          <w:p>
            <w:pPr>
              <w:pStyle w:val="yTable"/>
              <w:spacing w:before="0" w:line="220" w:lineRule="exact"/>
            </w:pPr>
            <w:r>
              <w:t>12 months</w:t>
            </w:r>
          </w:p>
        </w:tc>
      </w:tr>
      <w:tr>
        <w:tc>
          <w:tcPr>
            <w:tcW w:w="4820" w:type="dxa"/>
          </w:tcPr>
          <w:p>
            <w:pPr>
              <w:pStyle w:val="yTable"/>
              <w:spacing w:before="0" w:line="220" w:lineRule="exact"/>
            </w:pPr>
            <w:r>
              <w:t>Maximum aggregate entry cost</w:t>
            </w:r>
          </w:p>
        </w:tc>
        <w:tc>
          <w:tcPr>
            <w:tcW w:w="2126" w:type="dxa"/>
          </w:tcPr>
          <w:p>
            <w:pPr>
              <w:pStyle w:val="yTable"/>
              <w:spacing w:before="0" w:line="220" w:lineRule="exact"/>
            </w:pPr>
            <w:r>
              <w:t>$100 000</w:t>
            </w:r>
          </w:p>
        </w:tc>
      </w:tr>
    </w:tbl>
    <w:p>
      <w:pPr>
        <w:pStyle w:val="yFootnotesection"/>
      </w:pPr>
      <w:r>
        <w:tab/>
        <w:t>[Schedule 4 inserted in Gazette 6 Jun 2008 p. 2320-1; amended in Gazette 3 Oct 2008 p. 4497.]</w:t>
      </w:r>
    </w:p>
    <w:p>
      <w:pPr>
        <w:pStyle w:val="CentredBaseLine"/>
        <w:jc w:val="center"/>
        <w:rPr>
          <w:del w:id="518" w:author="Master Repository Process" w:date="2021-08-29T02:23:00Z"/>
        </w:rPr>
      </w:pPr>
      <w:del w:id="519" w:author="Master Repository Process" w:date="2021-08-29T02:23: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520" w:author="Master Repository Process" w:date="2021-08-29T02:23:00Z"/>
        </w:rPr>
      </w:pPr>
      <w:ins w:id="521" w:author="Master Repository Process" w:date="2021-08-29T02:23:00Z">
        <w:r>
          <w:rPr>
            <w:noProof/>
            <w:lang w:eastAsia="en-AU"/>
          </w:rPr>
          <w:drawing>
            <wp:inline distT="0" distB="0" distL="0" distR="0">
              <wp:extent cx="930275" cy="174625"/>
              <wp:effectExtent l="0" t="0" r="317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522" w:name="_Toc133385347"/>
      <w:bookmarkStart w:id="523" w:name="_Toc147288435"/>
      <w:bookmarkStart w:id="524" w:name="_Toc170549152"/>
      <w:bookmarkStart w:id="525" w:name="_Toc170620905"/>
      <w:bookmarkStart w:id="526" w:name="_Toc170621055"/>
      <w:bookmarkStart w:id="527" w:name="_Toc200510486"/>
      <w:bookmarkStart w:id="528" w:name="_Toc210787583"/>
      <w:bookmarkStart w:id="529" w:name="_Toc222820843"/>
      <w:bookmarkStart w:id="530" w:name="_Toc222889202"/>
      <w:bookmarkStart w:id="531" w:name="_Toc224108827"/>
      <w:bookmarkStart w:id="532" w:name="_Toc256152956"/>
      <w:bookmarkStart w:id="533" w:name="_Toc277943327"/>
      <w:r>
        <w:t>Notes</w:t>
      </w:r>
      <w:bookmarkEnd w:id="514"/>
      <w:bookmarkEnd w:id="522"/>
      <w:bookmarkEnd w:id="523"/>
      <w:bookmarkEnd w:id="524"/>
      <w:bookmarkEnd w:id="525"/>
      <w:bookmarkEnd w:id="526"/>
      <w:bookmarkEnd w:id="527"/>
      <w:bookmarkEnd w:id="528"/>
      <w:bookmarkEnd w:id="529"/>
      <w:bookmarkEnd w:id="530"/>
      <w:bookmarkEnd w:id="531"/>
      <w:bookmarkEnd w:id="532"/>
      <w:bookmarkEnd w:id="533"/>
    </w:p>
    <w:p>
      <w:pPr>
        <w:pStyle w:val="nSubsection"/>
        <w:rPr>
          <w:snapToGrid w:val="0"/>
        </w:rPr>
      </w:pPr>
      <w:bookmarkStart w:id="534" w:name="_Toc70311430"/>
      <w:bookmarkStart w:id="535" w:name="_Toc113695923"/>
      <w:r>
        <w:rPr>
          <w:snapToGrid w:val="0"/>
          <w:vertAlign w:val="superscript"/>
        </w:rPr>
        <w:t>1</w:t>
      </w:r>
      <w:r>
        <w:rPr>
          <w:snapToGrid w:val="0"/>
        </w:rPr>
        <w:tab/>
        <w:t xml:space="preserve">This is a compilation of the </w:t>
      </w:r>
      <w:r>
        <w:rPr>
          <w:i/>
          <w:noProof/>
          <w:snapToGrid w:val="0"/>
        </w:rPr>
        <w:t>Lotteries Commission (Monday and Wednesday Lotto) Rules 2006</w:t>
      </w:r>
      <w:r>
        <w:rPr>
          <w:snapToGrid w:val="0"/>
        </w:rPr>
        <w:t xml:space="preserve"> and includes the amendments made by the other written laws referred to in the following table.  The table also contains information about any reprint.</w:t>
      </w:r>
    </w:p>
    <w:p>
      <w:pPr>
        <w:pStyle w:val="nHeading3"/>
      </w:pPr>
      <w:bookmarkStart w:id="536" w:name="_Toc277943328"/>
      <w:bookmarkStart w:id="537" w:name="_Toc256152957"/>
      <w:bookmarkEnd w:id="534"/>
      <w:bookmarkEnd w:id="535"/>
      <w:r>
        <w:t>Compilation table</w:t>
      </w:r>
      <w:bookmarkEnd w:id="536"/>
      <w:bookmarkEnd w:id="53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Lotteries Commission (Monday and Wednesday Lotto) Rules 2006</w:t>
            </w:r>
          </w:p>
        </w:tc>
        <w:tc>
          <w:tcPr>
            <w:tcW w:w="1276" w:type="dxa"/>
            <w:tcBorders>
              <w:top w:val="single" w:sz="8" w:space="0" w:color="auto"/>
            </w:tcBorders>
          </w:tcPr>
          <w:p>
            <w:pPr>
              <w:pStyle w:val="nTable"/>
              <w:spacing w:after="40"/>
              <w:rPr>
                <w:sz w:val="19"/>
              </w:rPr>
            </w:pPr>
            <w:r>
              <w:rPr>
                <w:sz w:val="19"/>
              </w:rPr>
              <w:t>21 Apr 2006 p. 1611</w:t>
            </w:r>
            <w:r>
              <w:rPr>
                <w:sz w:val="19"/>
              </w:rPr>
              <w:noBreakHyphen/>
              <w:t>45</w:t>
            </w:r>
          </w:p>
        </w:tc>
        <w:tc>
          <w:tcPr>
            <w:tcW w:w="2693" w:type="dxa"/>
            <w:tcBorders>
              <w:top w:val="single" w:sz="8" w:space="0" w:color="auto"/>
            </w:tcBorders>
          </w:tcPr>
          <w:p>
            <w:pPr>
              <w:pStyle w:val="nTable"/>
              <w:spacing w:after="40"/>
              <w:rPr>
                <w:sz w:val="19"/>
              </w:rPr>
            </w:pPr>
            <w:r>
              <w:rPr>
                <w:sz w:val="19"/>
              </w:rPr>
              <w:t>27 Apr 2006 (see r. 2)</w:t>
            </w:r>
          </w:p>
        </w:tc>
      </w:tr>
      <w:tr>
        <w:tc>
          <w:tcPr>
            <w:tcW w:w="3118" w:type="dxa"/>
          </w:tcPr>
          <w:p>
            <w:pPr>
              <w:pStyle w:val="nTable"/>
              <w:spacing w:after="40"/>
              <w:rPr>
                <w:i/>
                <w:noProof/>
                <w:snapToGrid w:val="0"/>
                <w:sz w:val="19"/>
              </w:rPr>
            </w:pPr>
            <w:r>
              <w:rPr>
                <w:i/>
                <w:noProof/>
                <w:snapToGrid w:val="0"/>
                <w:sz w:val="19"/>
              </w:rPr>
              <w:t>Lotteries Commission (Monday and Wednesday Lotto) Amendment Rules (No. 2) 2006</w:t>
            </w:r>
          </w:p>
        </w:tc>
        <w:tc>
          <w:tcPr>
            <w:tcW w:w="1276" w:type="dxa"/>
          </w:tcPr>
          <w:p>
            <w:pPr>
              <w:pStyle w:val="nTable"/>
              <w:spacing w:after="40"/>
              <w:rPr>
                <w:sz w:val="19"/>
              </w:rPr>
            </w:pPr>
            <w:r>
              <w:rPr>
                <w:sz w:val="19"/>
              </w:rPr>
              <w:t>29 Sep 2006 p. 4273-4</w:t>
            </w:r>
          </w:p>
        </w:tc>
        <w:tc>
          <w:tcPr>
            <w:tcW w:w="2693" w:type="dxa"/>
          </w:tcPr>
          <w:p>
            <w:pPr>
              <w:pStyle w:val="nTable"/>
              <w:spacing w:after="40"/>
              <w:rPr>
                <w:sz w:val="19"/>
              </w:rPr>
            </w:pPr>
            <w:r>
              <w:rPr>
                <w:sz w:val="19"/>
              </w:rPr>
              <w:t>29 Sep 2006</w:t>
            </w:r>
          </w:p>
        </w:tc>
      </w:tr>
      <w:tr>
        <w:tc>
          <w:tcPr>
            <w:tcW w:w="3118" w:type="dxa"/>
          </w:tcPr>
          <w:p>
            <w:pPr>
              <w:pStyle w:val="nTable"/>
              <w:spacing w:after="40"/>
              <w:rPr>
                <w:i/>
                <w:noProof/>
                <w:snapToGrid w:val="0"/>
                <w:sz w:val="19"/>
              </w:rPr>
            </w:pPr>
            <w:r>
              <w:rPr>
                <w:i/>
                <w:noProof/>
                <w:snapToGrid w:val="0"/>
                <w:sz w:val="19"/>
              </w:rPr>
              <w:t>Lotteries Commission (Monday and Wednesday Lotto) Rules 2007</w:t>
            </w:r>
          </w:p>
        </w:tc>
        <w:tc>
          <w:tcPr>
            <w:tcW w:w="1276" w:type="dxa"/>
          </w:tcPr>
          <w:p>
            <w:pPr>
              <w:pStyle w:val="nTable"/>
              <w:spacing w:after="40"/>
              <w:rPr>
                <w:sz w:val="19"/>
              </w:rPr>
            </w:pPr>
            <w:r>
              <w:rPr>
                <w:sz w:val="19"/>
              </w:rPr>
              <w:t>26 Jun 2007 p. 3056</w:t>
            </w:r>
            <w:r>
              <w:rPr>
                <w:sz w:val="19"/>
              </w:rPr>
              <w:noBreakHyphen/>
              <w:t>7</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tc>
          <w:tcPr>
            <w:tcW w:w="3118" w:type="dxa"/>
          </w:tcPr>
          <w:p>
            <w:pPr>
              <w:pStyle w:val="nTable"/>
              <w:spacing w:after="40"/>
              <w:rPr>
                <w:i/>
                <w:noProof/>
                <w:snapToGrid w:val="0"/>
                <w:sz w:val="19"/>
              </w:rPr>
            </w:pPr>
            <w:r>
              <w:rPr>
                <w:i/>
                <w:noProof/>
                <w:snapToGrid w:val="0"/>
                <w:sz w:val="19"/>
              </w:rPr>
              <w:t>Lotteries Commission (Monday and Wednesday Lotto) Amendment Rules 2008</w:t>
            </w:r>
          </w:p>
        </w:tc>
        <w:tc>
          <w:tcPr>
            <w:tcW w:w="1276" w:type="dxa"/>
          </w:tcPr>
          <w:p>
            <w:pPr>
              <w:pStyle w:val="nTable"/>
              <w:spacing w:after="40"/>
              <w:rPr>
                <w:sz w:val="19"/>
              </w:rPr>
            </w:pPr>
            <w:r>
              <w:rPr>
                <w:sz w:val="19"/>
              </w:rPr>
              <w:t>6 Jun 2008 p. 2299-321</w:t>
            </w:r>
          </w:p>
        </w:tc>
        <w:tc>
          <w:tcPr>
            <w:tcW w:w="2693" w:type="dxa"/>
          </w:tcPr>
          <w:p>
            <w:pPr>
              <w:pStyle w:val="nTable"/>
              <w:spacing w:after="40"/>
              <w:rPr>
                <w:snapToGrid w:val="0"/>
                <w:sz w:val="19"/>
                <w:lang w:val="en-US"/>
              </w:rPr>
            </w:pPr>
            <w:r>
              <w:rPr>
                <w:sz w:val="19"/>
              </w:rPr>
              <w:t>r. 1 and 2: 6 Jun 2008 (see r. 2(a));</w:t>
            </w:r>
            <w:r>
              <w:rPr>
                <w:sz w:val="19"/>
              </w:rPr>
              <w:br/>
              <w:t>Rules other than r. 1 and 2: 8 Jun 2008 (see r. 2(b))</w:t>
            </w:r>
          </w:p>
        </w:tc>
      </w:tr>
      <w:tr>
        <w:tc>
          <w:tcPr>
            <w:tcW w:w="3118" w:type="dxa"/>
          </w:tcPr>
          <w:p>
            <w:pPr>
              <w:pStyle w:val="nTable"/>
              <w:spacing w:after="40"/>
              <w:rPr>
                <w:i/>
                <w:noProof/>
                <w:snapToGrid w:val="0"/>
                <w:sz w:val="19"/>
              </w:rPr>
            </w:pPr>
            <w:r>
              <w:rPr>
                <w:i/>
                <w:noProof/>
                <w:snapToGrid w:val="0"/>
                <w:sz w:val="19"/>
              </w:rPr>
              <w:t>Lotteries Commission (Monday and Wednesday Lotto) Amendment Rules (No. 2) 2008</w:t>
            </w:r>
          </w:p>
        </w:tc>
        <w:tc>
          <w:tcPr>
            <w:tcW w:w="1276" w:type="dxa"/>
          </w:tcPr>
          <w:p>
            <w:pPr>
              <w:pStyle w:val="nTable"/>
              <w:spacing w:after="40"/>
              <w:rPr>
                <w:sz w:val="19"/>
              </w:rPr>
            </w:pPr>
            <w:r>
              <w:rPr>
                <w:sz w:val="19"/>
              </w:rPr>
              <w:t>3 Oct 2008 p. 4494-7</w:t>
            </w:r>
          </w:p>
        </w:tc>
        <w:tc>
          <w:tcPr>
            <w:tcW w:w="2693" w:type="dxa"/>
          </w:tcPr>
          <w:p>
            <w:pPr>
              <w:pStyle w:val="nTable"/>
              <w:spacing w:after="40"/>
              <w:rPr>
                <w:sz w:val="19"/>
              </w:rPr>
            </w:pPr>
            <w:r>
              <w:rPr>
                <w:sz w:val="19"/>
              </w:rPr>
              <w:t>r. 1 and 2: 3 Oct 2008 (see r. 2(a));</w:t>
            </w:r>
            <w:r>
              <w:rPr>
                <w:sz w:val="19"/>
              </w:rPr>
              <w:br/>
              <w:t>Rules other than r. 1 and 2:</w:t>
            </w:r>
            <w:r>
              <w:rPr>
                <w:sz w:val="19"/>
              </w:rPr>
              <w:br/>
              <w:t>for Monday lotto – 7 Oct 2008 (see r. 2(b)(i));</w:t>
            </w:r>
            <w:r>
              <w:rPr>
                <w:sz w:val="19"/>
              </w:rPr>
              <w:br/>
              <w:t>for Wednesday lotto – 9 Oct 2008 (see r. 2(b)(ii))</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Lotteries Commission (Monday and Wednesday Lotto) Rules 2006</w:t>
            </w:r>
            <w:r>
              <w:rPr>
                <w:b/>
                <w:bCs/>
                <w:sz w:val="19"/>
              </w:rPr>
              <w:t xml:space="preserve"> as at 20 Mar 2009</w:t>
            </w:r>
            <w:r>
              <w:rPr>
                <w:sz w:val="19"/>
              </w:rPr>
              <w:t xml:space="preserve"> (includes amendments listed above)</w:t>
            </w:r>
          </w:p>
        </w:tc>
      </w:tr>
      <w:tr>
        <w:tc>
          <w:tcPr>
            <w:tcW w:w="3118" w:type="dxa"/>
          </w:tcPr>
          <w:p>
            <w:pPr>
              <w:pStyle w:val="nTable"/>
              <w:spacing w:after="40"/>
              <w:rPr>
                <w:iCs/>
                <w:noProof/>
                <w:snapToGrid w:val="0"/>
                <w:sz w:val="19"/>
              </w:rPr>
            </w:pPr>
            <w:r>
              <w:rPr>
                <w:i/>
                <w:noProof/>
                <w:snapToGrid w:val="0"/>
                <w:sz w:val="19"/>
              </w:rPr>
              <w:t>Lotteries Commission Amendment Rules 2009</w:t>
            </w:r>
            <w:r>
              <w:rPr>
                <w:iCs/>
                <w:noProof/>
                <w:snapToGrid w:val="0"/>
                <w:sz w:val="19"/>
              </w:rPr>
              <w:t xml:space="preserve"> Pt. 3</w:t>
            </w:r>
          </w:p>
        </w:tc>
        <w:tc>
          <w:tcPr>
            <w:tcW w:w="1276" w:type="dxa"/>
          </w:tcPr>
          <w:p>
            <w:pPr>
              <w:pStyle w:val="nTable"/>
              <w:spacing w:after="40"/>
              <w:rPr>
                <w:sz w:val="19"/>
              </w:rPr>
            </w:pPr>
            <w:r>
              <w:rPr>
                <w:sz w:val="19"/>
              </w:rPr>
              <w:t>15 May 2009 p. 1632-5</w:t>
            </w:r>
          </w:p>
        </w:tc>
        <w:tc>
          <w:tcPr>
            <w:tcW w:w="2693" w:type="dxa"/>
          </w:tcPr>
          <w:p>
            <w:pPr>
              <w:pStyle w:val="nTable"/>
              <w:spacing w:after="40"/>
              <w:rPr>
                <w:sz w:val="19"/>
              </w:rPr>
            </w:pPr>
            <w:r>
              <w:rPr>
                <w:sz w:val="19"/>
              </w:rPr>
              <w:t>17 May 2009 (see r. 2(b))</w:t>
            </w:r>
          </w:p>
        </w:tc>
      </w:tr>
      <w:tr>
        <w:tc>
          <w:tcPr>
            <w:tcW w:w="3118" w:type="dxa"/>
          </w:tcPr>
          <w:p>
            <w:pPr>
              <w:pStyle w:val="nTable"/>
              <w:spacing w:after="40"/>
              <w:rPr>
                <w:i/>
                <w:noProof/>
                <w:snapToGrid w:val="0"/>
                <w:sz w:val="19"/>
              </w:rPr>
            </w:pPr>
            <w:r>
              <w:rPr>
                <w:i/>
                <w:noProof/>
                <w:snapToGrid w:val="0"/>
                <w:sz w:val="19"/>
              </w:rPr>
              <w:t>Lotteries Commission (Monday and Wednesday Lotto) Amendment Rules 2010</w:t>
            </w:r>
          </w:p>
        </w:tc>
        <w:tc>
          <w:tcPr>
            <w:tcW w:w="1276" w:type="dxa"/>
          </w:tcPr>
          <w:p>
            <w:pPr>
              <w:pStyle w:val="nTable"/>
              <w:spacing w:after="40"/>
              <w:rPr>
                <w:sz w:val="19"/>
              </w:rPr>
            </w:pPr>
            <w:r>
              <w:rPr>
                <w:sz w:val="19"/>
              </w:rPr>
              <w:t>12 Mar 2010 p. 941</w:t>
            </w:r>
            <w:r>
              <w:rPr>
                <w:sz w:val="19"/>
              </w:rPr>
              <w:noBreakHyphen/>
              <w:t>3</w:t>
            </w:r>
          </w:p>
        </w:tc>
        <w:tc>
          <w:tcPr>
            <w:tcW w:w="2693" w:type="dxa"/>
          </w:tcPr>
          <w:p>
            <w:pPr>
              <w:pStyle w:val="nTable"/>
              <w:spacing w:after="40"/>
              <w:rPr>
                <w:sz w:val="19"/>
              </w:rPr>
            </w:pPr>
            <w:r>
              <w:rPr>
                <w:snapToGrid w:val="0"/>
                <w:spacing w:val="-2"/>
                <w:sz w:val="19"/>
                <w:lang w:val="en-US"/>
              </w:rPr>
              <w:t>r. 1 and 2: 12 Mar 2010 (see r. 2(a));</w:t>
            </w:r>
            <w:r>
              <w:rPr>
                <w:snapToGrid w:val="0"/>
                <w:spacing w:val="-2"/>
                <w:sz w:val="19"/>
                <w:lang w:val="en-US"/>
              </w:rPr>
              <w:br/>
              <w:t>Rules other than r. 1 and 2: 14 Mar 2010 (see r. 2(b))</w:t>
            </w:r>
          </w:p>
        </w:tc>
      </w:tr>
      <w:tr>
        <w:trPr>
          <w:ins w:id="538" w:author="Master Repository Process" w:date="2021-08-29T02:23:00Z"/>
        </w:trPr>
        <w:tc>
          <w:tcPr>
            <w:tcW w:w="3118" w:type="dxa"/>
            <w:tcBorders>
              <w:bottom w:val="single" w:sz="4" w:space="0" w:color="auto"/>
            </w:tcBorders>
          </w:tcPr>
          <w:p>
            <w:pPr>
              <w:pStyle w:val="nTable"/>
              <w:spacing w:after="40"/>
              <w:rPr>
                <w:ins w:id="539" w:author="Master Repository Process" w:date="2021-08-29T02:23:00Z"/>
                <w:i/>
                <w:noProof/>
                <w:snapToGrid w:val="0"/>
                <w:sz w:val="19"/>
              </w:rPr>
            </w:pPr>
            <w:ins w:id="540" w:author="Master Repository Process" w:date="2021-08-29T02:23:00Z">
              <w:r>
                <w:rPr>
                  <w:i/>
                  <w:noProof/>
                  <w:snapToGrid w:val="0"/>
                  <w:sz w:val="19"/>
                </w:rPr>
                <w:t>Lotteries Commission (Monday and Wednesday Lotto) Amendment Rules (No. 2) 2010</w:t>
              </w:r>
            </w:ins>
          </w:p>
        </w:tc>
        <w:tc>
          <w:tcPr>
            <w:tcW w:w="1276" w:type="dxa"/>
            <w:tcBorders>
              <w:bottom w:val="single" w:sz="4" w:space="0" w:color="auto"/>
            </w:tcBorders>
          </w:tcPr>
          <w:p>
            <w:pPr>
              <w:pStyle w:val="nTable"/>
              <w:spacing w:after="40"/>
              <w:rPr>
                <w:ins w:id="541" w:author="Master Repository Process" w:date="2021-08-29T02:23:00Z"/>
                <w:sz w:val="19"/>
              </w:rPr>
            </w:pPr>
            <w:ins w:id="542" w:author="Master Repository Process" w:date="2021-08-29T02:23:00Z">
              <w:r>
                <w:rPr>
                  <w:sz w:val="19"/>
                </w:rPr>
                <w:t>19 Nov 2010 p. 5720</w:t>
              </w:r>
              <w:r>
                <w:rPr>
                  <w:sz w:val="19"/>
                </w:rPr>
                <w:noBreakHyphen/>
                <w:t>3</w:t>
              </w:r>
            </w:ins>
          </w:p>
        </w:tc>
        <w:tc>
          <w:tcPr>
            <w:tcW w:w="2693" w:type="dxa"/>
            <w:tcBorders>
              <w:bottom w:val="single" w:sz="4" w:space="0" w:color="auto"/>
            </w:tcBorders>
          </w:tcPr>
          <w:p>
            <w:pPr>
              <w:pStyle w:val="nTable"/>
              <w:spacing w:after="40"/>
              <w:rPr>
                <w:ins w:id="543" w:author="Master Repository Process" w:date="2021-08-29T02:23:00Z"/>
                <w:snapToGrid w:val="0"/>
                <w:spacing w:val="-2"/>
                <w:sz w:val="19"/>
                <w:lang w:val="en-US"/>
              </w:rPr>
            </w:pPr>
            <w:ins w:id="544" w:author="Master Repository Process" w:date="2021-08-29T02:23:00Z">
              <w:r>
                <w:rPr>
                  <w:snapToGrid w:val="0"/>
                  <w:spacing w:val="-2"/>
                  <w:sz w:val="19"/>
                  <w:lang w:val="en-US"/>
                </w:rPr>
                <w:t>r. 1 and 2: 19 Nov 2010 (see r. 2(a));</w:t>
              </w:r>
              <w:r>
                <w:rPr>
                  <w:snapToGrid w:val="0"/>
                  <w:spacing w:val="-2"/>
                  <w:sz w:val="19"/>
                  <w:lang w:val="en-US"/>
                </w:rPr>
                <w:br/>
                <w:t>Rules other than r. 1 and 2: 20 Nov 2010 (see r. 2(b))</w:t>
              </w:r>
            </w:ins>
          </w:p>
        </w:tc>
      </w:tr>
    </w:tbl>
    <w:p>
      <w:pPr>
        <w:sectPr>
          <w:headerReference w:type="even" r:id="rId24"/>
          <w:headerReference w:type="default" r:id="rId25"/>
          <w:headerReference w:type="first" r:id="rId26"/>
          <w:endnotePr>
            <w:numFmt w:val="decimal"/>
          </w:endnotePr>
          <w:pgSz w:w="11906" w:h="16838" w:code="9"/>
          <w:pgMar w:top="2376" w:right="2404" w:bottom="3544" w:left="2404" w:header="720" w:footer="3380" w:gutter="0"/>
          <w:cols w:space="720"/>
          <w:noEndnote/>
          <w:docGrid w:linePitch="326"/>
        </w:sectPr>
      </w:pPr>
    </w:p>
    <w:p/>
    <w:sectPr>
      <w:headerReference w:type="even" r:id="rId2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(Monday and Wednesday Lotto) Rules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772B11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2EC2ED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328ABF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B024E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294263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165C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FD228F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D6C19E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CCCD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0A897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BEB260B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44A84C68"/>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0342"/>
    <w:docVar w:name="WAFER_20151208100342" w:val="RemoveTrackChanges"/>
    <w:docVar w:name="WAFER_20151208100342_GUID" w:val="b65475a7-45ec-4fa3-995d-41ed7279da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FCEB4E3-1234-4792-B161-E28CCAF52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roctable">
    <w:name w:val="Proctable"/>
    <w:basedOn w:val="Normal"/>
    <w:pPr>
      <w:jc w:val="center"/>
    </w:pPr>
    <w:rPr>
      <w:sz w:val="22"/>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a">
    <w:name w:val="*"/>
    <w:rPr>
      <w:lang w:eastAsia="en-US"/>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9332</Words>
  <Characters>39944</Characters>
  <Application>Microsoft Office Word</Application>
  <DocSecurity>0</DocSecurity>
  <Lines>2496</Lines>
  <Paragraphs>1825</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Drafting Template (Regs)</vt:lpstr>
      <vt:lpstr>Western Australia</vt:lpstr>
      <vt:lpstr>Lotteries Commission (Monday and Wednesday Lotto) Rules 2006</vt:lpstr>
      <vt:lpstr>    Part 1 — Preliminary</vt:lpstr>
      <vt:lpstr>    Part 2 — Requirements for entry</vt:lpstr>
      <vt:lpstr>    Part 2A — Syndicate entries</vt:lpstr>
      <vt:lpstr>    Part 3 — General duties of Commission</vt:lpstr>
      <vt:lpstr>    Part 4 — Conducting a lotto draw</vt:lpstr>
      <vt:lpstr>    Part 5 — Miscellaneous</vt:lpstr>
      <vt:lpstr>    Schedule 1 — Calculating the total cost of entry — Monday lotto or Wednesday lot</vt:lpstr>
      <vt:lpstr>    Schedule 2 — System entries and game equivalents</vt:lpstr>
      <vt:lpstr>    Schedule 3</vt:lpstr>
      <vt:lpstr>    System entry prize schedule</vt:lpstr>
      <vt:lpstr>    Schedule 4 — Summary of parameters within which Monday or Wednesday lotto is con</vt:lpstr>
      <vt:lpstr>    Notes</vt:lpstr>
      <vt:lpstr>    Defined Terms</vt:lpstr>
    </vt:vector>
  </TitlesOfParts>
  <Manager/>
  <Company/>
  <LinksUpToDate>false</LinksUpToDate>
  <CharactersWithSpaces>47451</CharactersWithSpaces>
  <SharedDoc>false</SharedDoc>
  <HLinks>
    <vt:vector size="12" baseType="variant">
      <vt:variant>
        <vt:i4>5439608</vt:i4>
      </vt:variant>
      <vt:variant>
        <vt:i4>52294</vt:i4>
      </vt:variant>
      <vt:variant>
        <vt:i4>1025</vt:i4>
      </vt:variant>
      <vt:variant>
        <vt:i4>1</vt:i4>
      </vt:variant>
      <vt:variant>
        <vt:lpwstr>A:\dline.gif</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(Monday and Wednesday Lotto) Rules 2006 01-c0-01 - 01-d0-02</dc:title>
  <dc:subject/>
  <dc:creator/>
  <cp:keywords/>
  <dc:description/>
  <cp:lastModifiedBy>Master Repository Process</cp:lastModifiedBy>
  <cp:revision>2</cp:revision>
  <cp:lastPrinted>2009-03-09T03:29:00Z</cp:lastPrinted>
  <dcterms:created xsi:type="dcterms:W3CDTF">2021-08-28T18:23:00Z</dcterms:created>
  <dcterms:modified xsi:type="dcterms:W3CDTF">2021-08-28T18:23:00Z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1611-45</vt:lpwstr>
  </property>
  <property fmtid="{D5CDD505-2E9C-101B-9397-08002B2CF9AE}" pid="3" name="CommencementDate">
    <vt:lpwstr>20101120</vt:lpwstr>
  </property>
  <property fmtid="{D5CDD505-2E9C-101B-9397-08002B2CF9AE}" pid="4" name="DocumentType">
    <vt:lpwstr>Reg</vt:lpwstr>
  </property>
  <property fmtid="{D5CDD505-2E9C-101B-9397-08002B2CF9AE}" pid="5" name="OwlsUID">
    <vt:i4>38476</vt:i4>
  </property>
  <property fmtid="{D5CDD505-2E9C-101B-9397-08002B2CF9AE}" pid="6" name="ReprintNo">
    <vt:lpwstr>1</vt:lpwstr>
  </property>
  <property fmtid="{D5CDD505-2E9C-101B-9397-08002B2CF9AE}" pid="7" name="FromSuffix">
    <vt:lpwstr>01-c0-01</vt:lpwstr>
  </property>
  <property fmtid="{D5CDD505-2E9C-101B-9397-08002B2CF9AE}" pid="8" name="FromAsAtDate">
    <vt:lpwstr>14 Mar 2010</vt:lpwstr>
  </property>
  <property fmtid="{D5CDD505-2E9C-101B-9397-08002B2CF9AE}" pid="9" name="ToSuffix">
    <vt:lpwstr>01-d0-02</vt:lpwstr>
  </property>
  <property fmtid="{D5CDD505-2E9C-101B-9397-08002B2CF9AE}" pid="10" name="ToAsAtDate">
    <vt:lpwstr>20 Nov 2010</vt:lpwstr>
  </property>
</Properties>
</file>