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Corporation Act 1995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Nov 2010</w:t>
      </w:r>
      <w:r>
        <w:fldChar w:fldCharType="end"/>
      </w:r>
      <w:r>
        <w:t xml:space="preserve">, </w:t>
      </w:r>
      <w:r>
        <w:fldChar w:fldCharType="begin"/>
      </w:r>
      <w:r>
        <w:instrText xml:space="preserve"> DocProperty FromSuffix </w:instrText>
      </w:r>
      <w:r>
        <w:fldChar w:fldCharType="separate"/>
      </w:r>
      <w:r>
        <w:t>03-f0-02</w:t>
      </w:r>
      <w:r>
        <w:fldChar w:fldCharType="end"/>
      </w:r>
      <w:r>
        <w:t>] and [</w:t>
      </w:r>
      <w:r>
        <w:fldChar w:fldCharType="begin"/>
      </w:r>
      <w:r>
        <w:instrText xml:space="preserve"> DocProperty ToAsAtDate</w:instrText>
      </w:r>
      <w:r>
        <w:fldChar w:fldCharType="separate"/>
      </w:r>
      <w:r>
        <w:t>01 Dec 2010</w:t>
      </w:r>
      <w:r>
        <w:fldChar w:fldCharType="end"/>
      </w:r>
      <w:r>
        <w:t xml:space="preserve">, </w:t>
      </w:r>
      <w:r>
        <w:fldChar w:fldCharType="begin"/>
      </w:r>
      <w:r>
        <w:instrText xml:space="preserve"> DocProperty ToSuffix</w:instrText>
      </w:r>
      <w:r>
        <w:fldChar w:fldCharType="separate"/>
      </w:r>
      <w:r>
        <w:t>03-g0-02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
        <w:spacing w:after="1500"/>
      </w:pPr>
      <w:r>
        <w:t xml:space="preserve">Water Corporation Act 1995 </w:t>
      </w:r>
    </w:p>
    <w:p>
      <w:pPr>
        <w:pStyle w:val="LongTitle"/>
        <w:rPr>
          <w:snapToGrid w:val="0"/>
        </w:rPr>
      </w:pPr>
      <w:r>
        <w:rPr>
          <w:snapToGrid w:val="0"/>
        </w:rPr>
        <w:t>A</w:t>
      </w:r>
      <w:bookmarkStart w:id="0" w:name="_GoBack"/>
      <w:bookmarkEnd w:id="0"/>
      <w:r>
        <w:rPr>
          <w:snapToGrid w:val="0"/>
        </w:rPr>
        <w:t xml:space="preserve">n Act to establish a corporation with the function of providing water services, and with functions necessary for and related to that purpose, and for connected purposes. </w:t>
      </w:r>
    </w:p>
    <w:p>
      <w:pPr>
        <w:pStyle w:val="Heading2"/>
      </w:pPr>
      <w:bookmarkStart w:id="1" w:name="_Toc189882969"/>
      <w:bookmarkStart w:id="2" w:name="_Toc200259665"/>
      <w:bookmarkStart w:id="3" w:name="_Toc200259871"/>
      <w:bookmarkStart w:id="4" w:name="_Toc200260077"/>
      <w:bookmarkStart w:id="5" w:name="_Toc200421937"/>
      <w:bookmarkStart w:id="6" w:name="_Toc201975853"/>
      <w:bookmarkStart w:id="7" w:name="_Toc201981989"/>
      <w:bookmarkStart w:id="8" w:name="_Toc202080753"/>
      <w:bookmarkStart w:id="9" w:name="_Toc202168262"/>
      <w:bookmarkStart w:id="10" w:name="_Toc203453827"/>
      <w:bookmarkStart w:id="11" w:name="_Toc268269753"/>
      <w:bookmarkStart w:id="12" w:name="_Toc274143416"/>
      <w:bookmarkStart w:id="13" w:name="_Toc278969566"/>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r>
        <w:rPr>
          <w:rStyle w:val="CharPartText"/>
        </w:rPr>
        <w:t xml:space="preserve"> </w:t>
      </w:r>
    </w:p>
    <w:p>
      <w:pPr>
        <w:pStyle w:val="Heading5"/>
        <w:rPr>
          <w:snapToGrid w:val="0"/>
        </w:rPr>
      </w:pPr>
      <w:bookmarkStart w:id="14" w:name="_Toc278969567"/>
      <w:bookmarkStart w:id="15" w:name="_Toc274143417"/>
      <w:r>
        <w:rPr>
          <w:rStyle w:val="CharSectno"/>
        </w:rPr>
        <w:t>1</w:t>
      </w:r>
      <w:r>
        <w:rPr>
          <w:snapToGrid w:val="0"/>
        </w:rPr>
        <w:t>.</w:t>
      </w:r>
      <w:r>
        <w:rPr>
          <w:snapToGrid w:val="0"/>
        </w:rPr>
        <w:tab/>
        <w:t>Short title</w:t>
      </w:r>
      <w:bookmarkEnd w:id="14"/>
      <w:bookmarkEnd w:id="1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 Act 1995 </w:t>
      </w:r>
      <w:r>
        <w:rPr>
          <w:snapToGrid w:val="0"/>
          <w:vertAlign w:val="superscript"/>
        </w:rPr>
        <w:t>1</w:t>
      </w:r>
      <w:r>
        <w:rPr>
          <w:snapToGrid w:val="0"/>
        </w:rPr>
        <w:t>.</w:t>
      </w:r>
    </w:p>
    <w:p>
      <w:pPr>
        <w:pStyle w:val="Heading5"/>
        <w:rPr>
          <w:snapToGrid w:val="0"/>
        </w:rPr>
      </w:pPr>
      <w:bookmarkStart w:id="16" w:name="_Toc278969568"/>
      <w:bookmarkStart w:id="17" w:name="_Toc274143418"/>
      <w:r>
        <w:rPr>
          <w:rStyle w:val="CharSectno"/>
        </w:rPr>
        <w:t>2</w:t>
      </w:r>
      <w:r>
        <w:rPr>
          <w:snapToGrid w:val="0"/>
        </w:rPr>
        <w:t>.</w:t>
      </w:r>
      <w:r>
        <w:rPr>
          <w:snapToGrid w:val="0"/>
        </w:rPr>
        <w:tab/>
        <w:t>Commencement</w:t>
      </w:r>
      <w:bookmarkEnd w:id="16"/>
      <w:bookmarkEnd w:id="17"/>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18" w:name="_Toc278969569"/>
      <w:bookmarkStart w:id="19" w:name="_Toc274143419"/>
      <w:r>
        <w:rPr>
          <w:rStyle w:val="CharSectno"/>
        </w:rPr>
        <w:t>3</w:t>
      </w:r>
      <w:r>
        <w:rPr>
          <w:snapToGrid w:val="0"/>
        </w:rPr>
        <w:t>.</w:t>
      </w:r>
      <w:r>
        <w:rPr>
          <w:snapToGrid w:val="0"/>
        </w:rPr>
        <w:tab/>
        <w:t>Terms used in this Act</w:t>
      </w:r>
      <w:bookmarkEnd w:id="18"/>
      <w:bookmarkEnd w:id="19"/>
      <w:r>
        <w:rPr>
          <w:snapToGrid w:val="0"/>
        </w:rPr>
        <w:t xml:space="preserve"> </w:t>
      </w:r>
    </w:p>
    <w:p>
      <w:pPr>
        <w:pStyle w:val="Subsection"/>
        <w:rPr>
          <w:snapToGrid w:val="0"/>
        </w:rPr>
      </w:pPr>
      <w:r>
        <w:tab/>
        <w:t>(1)</w:t>
      </w:r>
      <w:r>
        <w:tab/>
        <w:t xml:space="preserve">In this Act, </w:t>
      </w:r>
      <w:r>
        <w:rPr>
          <w:snapToGrid w:val="0"/>
        </w:rPr>
        <w:t>unless the contrary intention appears — </w:t>
      </w:r>
    </w:p>
    <w:p>
      <w:pPr>
        <w:pStyle w:val="Defstart"/>
      </w:pPr>
      <w:r>
        <w:rPr>
          <w:b/>
        </w:rPr>
        <w:tab/>
      </w:r>
      <w:r>
        <w:rPr>
          <w:rStyle w:val="CharDefText"/>
        </w:rPr>
        <w:t>board</w:t>
      </w:r>
      <w:r>
        <w:t xml:space="preserve"> means the board of directors provided for by section 7;</w:t>
      </w:r>
    </w:p>
    <w:p>
      <w:pPr>
        <w:pStyle w:val="Defstart"/>
      </w:pPr>
      <w:r>
        <w:rPr>
          <w:b/>
        </w:rPr>
        <w:tab/>
      </w:r>
      <w:r>
        <w:rPr>
          <w:rStyle w:val="CharDefText"/>
        </w:rPr>
        <w:t>chief executive officer</w:t>
      </w:r>
      <w:r>
        <w:t xml:space="preserve"> means the officer appointed under section 13 and, except in section 13, includes an acting chief executive officer under subsection (5) of that section;</w:t>
      </w:r>
    </w:p>
    <w:p>
      <w:pPr>
        <w:pStyle w:val="Defstart"/>
        <w:rPr>
          <w:del w:id="20" w:author="svcMRProcess" w:date="2018-09-09T23:54:00Z"/>
        </w:rPr>
      </w:pPr>
      <w:del w:id="21" w:author="svcMRProcess" w:date="2018-09-09T23:54:00Z">
        <w:r>
          <w:rPr>
            <w:b/>
          </w:rPr>
          <w:tab/>
        </w:r>
        <w:r>
          <w:rPr>
            <w:rStyle w:val="CharDefText"/>
          </w:rPr>
          <w:delText>Commissioner for Public Sector Standards</w:delText>
        </w:r>
        <w:r>
          <w:delText xml:space="preserve"> means the person for the time being holding the office created by section 16(1) of the </w:delText>
        </w:r>
        <w:r>
          <w:rPr>
            <w:i/>
          </w:rPr>
          <w:delText>Public Sector Management Act 1994</w:delText>
        </w:r>
        <w:r>
          <w:delText>;</w:delText>
        </w:r>
      </w:del>
    </w:p>
    <w:p>
      <w:pPr>
        <w:pStyle w:val="Defstart"/>
      </w:pPr>
      <w:r>
        <w:rPr>
          <w:b/>
        </w:rPr>
        <w:tab/>
      </w:r>
      <w:r>
        <w:rPr>
          <w:rStyle w:val="CharDefText"/>
        </w:rPr>
        <w:t>corporation</w:t>
      </w:r>
      <w:r>
        <w:t xml:space="preserve"> means the body established by section 4;</w:t>
      </w:r>
    </w:p>
    <w:p>
      <w:pPr>
        <w:pStyle w:val="Defstart"/>
      </w:pPr>
      <w:r>
        <w:tab/>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r>
      <w:r>
        <w:rPr>
          <w:rStyle w:val="CharDefText"/>
        </w:rPr>
        <w:t>director</w:t>
      </w:r>
      <w:r>
        <w:t xml:space="preserve"> means a member of the board;</w:t>
      </w:r>
    </w:p>
    <w:p>
      <w:pPr>
        <w:pStyle w:val="Defstart"/>
      </w:pPr>
      <w:r>
        <w:rPr>
          <w:b/>
        </w:rPr>
        <w:tab/>
      </w:r>
      <w:r>
        <w:rPr>
          <w:rStyle w:val="CharDefText"/>
        </w:rPr>
        <w:t>executive officer</w:t>
      </w:r>
      <w:r>
        <w:t xml:space="preserve"> means a member of the staff of the corporation designated under section 18 as an executive officer;</w:t>
      </w:r>
    </w:p>
    <w:p>
      <w:pPr>
        <w:pStyle w:val="Defstart"/>
      </w:pPr>
      <w:r>
        <w:rPr>
          <w:b/>
        </w:rPr>
        <w:tab/>
      </w:r>
      <w:r>
        <w:rPr>
          <w:rStyle w:val="CharDefText"/>
        </w:rPr>
        <w:t>function</w:t>
      </w:r>
      <w:r>
        <w:t>, except in sections 27(1), (2) and (4) and 29, includes powers, duties and authorities;</w:t>
      </w:r>
    </w:p>
    <w:p>
      <w:pPr>
        <w:pStyle w:val="Defstart"/>
      </w:pPr>
      <w:r>
        <w:rPr>
          <w:b/>
        </w:rPr>
        <w:tab/>
      </w:r>
      <w:r>
        <w:rPr>
          <w:rStyle w:val="CharDefText"/>
        </w:rPr>
        <w:t xml:space="preserve">member of staff </w:t>
      </w:r>
      <w:r>
        <w:t xml:space="preserve"> means a person engaged under section 15;</w:t>
      </w:r>
    </w:p>
    <w:p>
      <w:pPr>
        <w:pStyle w:val="Defstart"/>
      </w:pPr>
      <w:r>
        <w:rPr>
          <w:b/>
        </w:rPr>
        <w:tab/>
      </w:r>
      <w:r>
        <w:rPr>
          <w:rStyle w:val="CharDefText"/>
        </w:rPr>
        <w:t>non</w:t>
      </w:r>
      <w:r>
        <w:rPr>
          <w:rStyle w:val="CharDefText"/>
        </w:rPr>
        <w:noBreakHyphen/>
        <w:t>executive director</w:t>
      </w:r>
      <w:r>
        <w:t xml:space="preserve"> means a director appointed under section 7(1)(b);</w:t>
      </w:r>
    </w:p>
    <w:p>
      <w:pPr>
        <w:pStyle w:val="Defstart"/>
        <w:keepNext/>
      </w:pPr>
      <w:r>
        <w:rPr>
          <w:b/>
        </w:rPr>
        <w:lastRenderedPageBreak/>
        <w:tab/>
      </w:r>
      <w:r>
        <w:rPr>
          <w:rStyle w:val="CharDefText"/>
        </w:rPr>
        <w:t>subsidiary</w:t>
      </w:r>
      <w:r>
        <w:t xml:space="preserve"> means — </w:t>
      </w:r>
    </w:p>
    <w:p>
      <w:pPr>
        <w:pStyle w:val="Defpara"/>
      </w:pPr>
      <w:r>
        <w:tab/>
        <w:t>(a)</w:t>
      </w:r>
      <w:r>
        <w:tab/>
        <w:t>a body determined to be a subsidiary of the corporation under subsection (2); or</w:t>
      </w:r>
    </w:p>
    <w:p>
      <w:pPr>
        <w:pStyle w:val="Defpara"/>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rPr>
          <w:snapToGrid w:val="0"/>
        </w:rPr>
      </w:pPr>
      <w:r>
        <w:rPr>
          <w:snapToGrid w:val="0"/>
        </w:rPr>
        <w:tab/>
        <w:t>(i)</w:t>
      </w:r>
      <w:r>
        <w:rPr>
          <w:snapToGrid w:val="0"/>
        </w:rPr>
        <w:tab/>
        <w:t>control the composition of the governing body of the unit trust, joint venture or partnership;</w:t>
      </w:r>
    </w:p>
    <w:p>
      <w:pPr>
        <w:pStyle w:val="Defsubpara"/>
        <w:rPr>
          <w:snapToGrid w:val="0"/>
        </w:rPr>
      </w:pPr>
      <w:r>
        <w:rPr>
          <w:snapToGrid w:val="0"/>
        </w:rPr>
        <w:tab/>
        <w:t>(ii)</w:t>
      </w:r>
      <w:r>
        <w:rPr>
          <w:snapToGrid w:val="0"/>
        </w:rPr>
        <w:tab/>
        <w:t>cast, or control the casting of, more than one</w:t>
      </w:r>
      <w:r>
        <w:rPr>
          <w:snapToGrid w:val="0"/>
        </w:rPr>
        <w:noBreakHyphen/>
        <w:t>half of the maximum number of votes that might be cast at a general meeting of the unit trust, joint venture or partnership; or</w:t>
      </w:r>
    </w:p>
    <w:p>
      <w:pPr>
        <w:pStyle w:val="Defsubpara"/>
        <w:rPr>
          <w:snapToGrid w:val="0"/>
        </w:rPr>
      </w:pPr>
      <w:r>
        <w:rPr>
          <w:snapToGrid w:val="0"/>
        </w:rPr>
        <w:tab/>
        <w:t>(iii)</w:t>
      </w:r>
      <w:r>
        <w:rPr>
          <w:snapToGrid w:val="0"/>
        </w:rPr>
        <w:tab/>
        <w:t>control the business affairs of the unit trust, joint venture or partnership;</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water service</w:t>
      </w:r>
      <w:r>
        <w:t xml:space="preserve"> means a water supply, sewerage, irrigation or drainage service.</w:t>
      </w:r>
    </w:p>
    <w:p>
      <w:pPr>
        <w:pStyle w:val="Subsection"/>
      </w:pPr>
      <w:r>
        <w:tab/>
        <w:t>(2)</w:t>
      </w:r>
      <w:r>
        <w:tab/>
        <w:t>Part 1.2 Division 6 of the Corporations Act applies for the purpose of determining whether a body is a subsidiary of the corporation.</w:t>
      </w:r>
    </w:p>
    <w:p>
      <w:pPr>
        <w:pStyle w:val="Footnotesection"/>
      </w:pPr>
      <w:r>
        <w:tab/>
        <w:t>[Section 3 amended by No. 10 of 2001 s. 205; No. 74 of 2003 s. 127(2); No. 8 of 2009 s. 132(2) and (3</w:t>
      </w:r>
      <w:ins w:id="22" w:author="svcMRProcess" w:date="2018-09-09T23:54:00Z">
        <w:r>
          <w:t>); No. 39 of 2010 s. 87(2</w:t>
        </w:r>
      </w:ins>
      <w:r>
        <w:t>).]</w:t>
      </w:r>
    </w:p>
    <w:p>
      <w:pPr>
        <w:pStyle w:val="Heading2"/>
      </w:pPr>
      <w:bookmarkStart w:id="23" w:name="_Toc189882973"/>
      <w:bookmarkStart w:id="24" w:name="_Toc200259669"/>
      <w:bookmarkStart w:id="25" w:name="_Toc200259875"/>
      <w:bookmarkStart w:id="26" w:name="_Toc200260081"/>
      <w:bookmarkStart w:id="27" w:name="_Toc200421941"/>
      <w:bookmarkStart w:id="28" w:name="_Toc201975857"/>
      <w:bookmarkStart w:id="29" w:name="_Toc201981993"/>
      <w:bookmarkStart w:id="30" w:name="_Toc202080757"/>
      <w:bookmarkStart w:id="31" w:name="_Toc202168266"/>
      <w:bookmarkStart w:id="32" w:name="_Toc203453831"/>
      <w:bookmarkStart w:id="33" w:name="_Toc268269757"/>
      <w:bookmarkStart w:id="34" w:name="_Toc274143420"/>
      <w:bookmarkStart w:id="35" w:name="_Toc278969570"/>
      <w:r>
        <w:rPr>
          <w:rStyle w:val="CharPartNo"/>
        </w:rPr>
        <w:t>Part 2</w:t>
      </w:r>
      <w:r>
        <w:t> — </w:t>
      </w:r>
      <w:r>
        <w:rPr>
          <w:rStyle w:val="CharPartText"/>
        </w:rPr>
        <w:t>Water Corporation</w:t>
      </w:r>
      <w:bookmarkEnd w:id="23"/>
      <w:bookmarkEnd w:id="24"/>
      <w:bookmarkEnd w:id="25"/>
      <w:bookmarkEnd w:id="26"/>
      <w:bookmarkEnd w:id="27"/>
      <w:bookmarkEnd w:id="28"/>
      <w:bookmarkEnd w:id="29"/>
      <w:bookmarkEnd w:id="30"/>
      <w:bookmarkEnd w:id="31"/>
      <w:bookmarkEnd w:id="32"/>
      <w:bookmarkEnd w:id="33"/>
      <w:bookmarkEnd w:id="34"/>
      <w:bookmarkEnd w:id="35"/>
      <w:r>
        <w:rPr>
          <w:rStyle w:val="CharPartText"/>
        </w:rPr>
        <w:t xml:space="preserve"> </w:t>
      </w:r>
    </w:p>
    <w:p>
      <w:pPr>
        <w:pStyle w:val="Heading3"/>
        <w:rPr>
          <w:snapToGrid w:val="0"/>
        </w:rPr>
      </w:pPr>
      <w:bookmarkStart w:id="36" w:name="_Toc189882974"/>
      <w:bookmarkStart w:id="37" w:name="_Toc200259670"/>
      <w:bookmarkStart w:id="38" w:name="_Toc200259876"/>
      <w:bookmarkStart w:id="39" w:name="_Toc200260082"/>
      <w:bookmarkStart w:id="40" w:name="_Toc200421942"/>
      <w:bookmarkStart w:id="41" w:name="_Toc201975858"/>
      <w:bookmarkStart w:id="42" w:name="_Toc201981994"/>
      <w:bookmarkStart w:id="43" w:name="_Toc202080758"/>
      <w:bookmarkStart w:id="44" w:name="_Toc202168267"/>
      <w:bookmarkStart w:id="45" w:name="_Toc203453832"/>
      <w:bookmarkStart w:id="46" w:name="_Toc268269758"/>
      <w:bookmarkStart w:id="47" w:name="_Toc274143421"/>
      <w:bookmarkStart w:id="48" w:name="_Toc278969571"/>
      <w:r>
        <w:rPr>
          <w:rStyle w:val="CharDivNo"/>
        </w:rPr>
        <w:t>Division 1</w:t>
      </w:r>
      <w:r>
        <w:rPr>
          <w:snapToGrid w:val="0"/>
        </w:rPr>
        <w:t> — </w:t>
      </w:r>
      <w:r>
        <w:rPr>
          <w:rStyle w:val="CharDivText"/>
        </w:rPr>
        <w:t>Establishment of Water Corporation</w:t>
      </w:r>
      <w:bookmarkEnd w:id="36"/>
      <w:bookmarkEnd w:id="37"/>
      <w:bookmarkEnd w:id="38"/>
      <w:bookmarkEnd w:id="39"/>
      <w:bookmarkEnd w:id="40"/>
      <w:bookmarkEnd w:id="41"/>
      <w:bookmarkEnd w:id="42"/>
      <w:bookmarkEnd w:id="43"/>
      <w:bookmarkEnd w:id="44"/>
      <w:bookmarkEnd w:id="45"/>
      <w:bookmarkEnd w:id="46"/>
      <w:bookmarkEnd w:id="47"/>
      <w:bookmarkEnd w:id="48"/>
      <w:r>
        <w:rPr>
          <w:snapToGrid w:val="0"/>
        </w:rPr>
        <w:t xml:space="preserve"> </w:t>
      </w:r>
    </w:p>
    <w:p>
      <w:pPr>
        <w:pStyle w:val="Heading5"/>
        <w:rPr>
          <w:snapToGrid w:val="0"/>
        </w:rPr>
      </w:pPr>
      <w:bookmarkStart w:id="49" w:name="_Toc278969572"/>
      <w:bookmarkStart w:id="50" w:name="_Toc274143422"/>
      <w:r>
        <w:rPr>
          <w:rStyle w:val="CharSectno"/>
        </w:rPr>
        <w:t>4</w:t>
      </w:r>
      <w:r>
        <w:rPr>
          <w:snapToGrid w:val="0"/>
        </w:rPr>
        <w:t>.</w:t>
      </w:r>
      <w:r>
        <w:rPr>
          <w:snapToGrid w:val="0"/>
        </w:rPr>
        <w:tab/>
        <w:t>Corporation established</w:t>
      </w:r>
      <w:bookmarkEnd w:id="49"/>
      <w:bookmarkEnd w:id="50"/>
      <w:r>
        <w:rPr>
          <w:snapToGrid w:val="0"/>
        </w:rPr>
        <w:t xml:space="preserve"> </w:t>
      </w:r>
    </w:p>
    <w:p>
      <w:pPr>
        <w:pStyle w:val="Subsection"/>
        <w:rPr>
          <w:snapToGrid w:val="0"/>
        </w:rPr>
      </w:pPr>
      <w:r>
        <w:rPr>
          <w:snapToGrid w:val="0"/>
        </w:rPr>
        <w:tab/>
        <w:t>(1)</w:t>
      </w:r>
      <w:r>
        <w:rPr>
          <w:snapToGrid w:val="0"/>
        </w:rPr>
        <w:tab/>
        <w:t>There is established a body called the Water Corporation.</w:t>
      </w:r>
    </w:p>
    <w:p>
      <w:pPr>
        <w:pStyle w:val="Subsection"/>
        <w:rPr>
          <w:snapToGrid w:val="0"/>
        </w:rPr>
      </w:pPr>
      <w:r>
        <w:rPr>
          <w:snapToGrid w:val="0"/>
        </w:rPr>
        <w:tab/>
        <w:t>(2)</w:t>
      </w:r>
      <w:r>
        <w:rPr>
          <w:snapToGrid w:val="0"/>
        </w:rPr>
        <w:tab/>
        <w:t>The corporation is a body corporate with perpetual succession.</w:t>
      </w:r>
    </w:p>
    <w:p>
      <w:pPr>
        <w:pStyle w:val="Subsection"/>
        <w:rPr>
          <w:snapToGrid w:val="0"/>
        </w:rPr>
      </w:pPr>
      <w:r>
        <w:rPr>
          <w:snapToGrid w:val="0"/>
        </w:rPr>
        <w:tab/>
        <w:t>(3)</w:t>
      </w:r>
      <w:r>
        <w:rPr>
          <w:snapToGrid w:val="0"/>
        </w:rPr>
        <w:tab/>
        <w:t>Proceedings may be taken by or against the corporation in its corporate name.</w:t>
      </w:r>
    </w:p>
    <w:p>
      <w:pPr>
        <w:pStyle w:val="Subsection"/>
        <w:rPr>
          <w:snapToGrid w:val="0"/>
        </w:rPr>
      </w:pPr>
      <w:r>
        <w:rPr>
          <w:snapToGrid w:val="0"/>
        </w:rPr>
        <w:tab/>
        <w:t>(4)</w:t>
      </w:r>
      <w:r>
        <w:rPr>
          <w:snapToGrid w:val="0"/>
        </w:rPr>
        <w:tab/>
        <w:t>The corporation may use, and operate under, one or more trading names approved by the Minister being — </w:t>
      </w:r>
    </w:p>
    <w:p>
      <w:pPr>
        <w:pStyle w:val="Indenta"/>
        <w:rPr>
          <w:snapToGrid w:val="0"/>
        </w:rPr>
      </w:pPr>
      <w:r>
        <w:rPr>
          <w:snapToGrid w:val="0"/>
        </w:rPr>
        <w:tab/>
        <w:t>(a)</w:t>
      </w:r>
      <w:r>
        <w:rPr>
          <w:snapToGrid w:val="0"/>
        </w:rPr>
        <w:tab/>
        <w:t>an abbreviation or adaptation of its corporate name; or</w:t>
      </w:r>
    </w:p>
    <w:p>
      <w:pPr>
        <w:pStyle w:val="Indenta"/>
        <w:rPr>
          <w:snapToGrid w:val="0"/>
        </w:rPr>
      </w:pPr>
      <w:r>
        <w:rPr>
          <w:snapToGrid w:val="0"/>
        </w:rPr>
        <w:tab/>
        <w:t>(b)</w:t>
      </w:r>
      <w:r>
        <w:rPr>
          <w:snapToGrid w:val="0"/>
        </w:rPr>
        <w:tab/>
        <w:t>a name other than its corporate name.</w:t>
      </w:r>
    </w:p>
    <w:p>
      <w:pPr>
        <w:pStyle w:val="Heading5"/>
        <w:rPr>
          <w:snapToGrid w:val="0"/>
        </w:rPr>
      </w:pPr>
      <w:bookmarkStart w:id="51" w:name="_Toc278969573"/>
      <w:bookmarkStart w:id="52" w:name="_Toc274143423"/>
      <w:r>
        <w:rPr>
          <w:rStyle w:val="CharSectno"/>
        </w:rPr>
        <w:t>5</w:t>
      </w:r>
      <w:r>
        <w:rPr>
          <w:snapToGrid w:val="0"/>
        </w:rPr>
        <w:t>.</w:t>
      </w:r>
      <w:r>
        <w:rPr>
          <w:snapToGrid w:val="0"/>
        </w:rPr>
        <w:tab/>
        <w:t>Corporation not agent of Crown</w:t>
      </w:r>
      <w:bookmarkEnd w:id="51"/>
      <w:bookmarkEnd w:id="52"/>
      <w:r>
        <w:rPr>
          <w:snapToGrid w:val="0"/>
        </w:rPr>
        <w:t xml:space="preserve"> </w:t>
      </w:r>
    </w:p>
    <w:p>
      <w:pPr>
        <w:pStyle w:val="Subsection"/>
        <w:rPr>
          <w:snapToGrid w:val="0"/>
        </w:rPr>
      </w:pPr>
      <w:r>
        <w:rPr>
          <w:snapToGrid w:val="0"/>
        </w:rPr>
        <w:tab/>
      </w:r>
      <w:r>
        <w:rPr>
          <w:snapToGrid w:val="0"/>
        </w:rPr>
        <w:tab/>
        <w:t>The corporation is not an agent of the Crown and does not have the status, immunities and privileges of the Crown.</w:t>
      </w:r>
    </w:p>
    <w:p>
      <w:pPr>
        <w:pStyle w:val="Heading5"/>
        <w:rPr>
          <w:snapToGrid w:val="0"/>
        </w:rPr>
      </w:pPr>
      <w:bookmarkStart w:id="53" w:name="_Toc278969574"/>
      <w:bookmarkStart w:id="54" w:name="_Toc274143424"/>
      <w:r>
        <w:rPr>
          <w:rStyle w:val="CharSectno"/>
        </w:rPr>
        <w:t>6</w:t>
      </w:r>
      <w:r>
        <w:rPr>
          <w:snapToGrid w:val="0"/>
        </w:rPr>
        <w:t>.</w:t>
      </w:r>
      <w:r>
        <w:rPr>
          <w:snapToGrid w:val="0"/>
        </w:rPr>
        <w:tab/>
        <w:t>Corporation and officers not part of Public Service</w:t>
      </w:r>
      <w:bookmarkEnd w:id="53"/>
      <w:bookmarkEnd w:id="54"/>
      <w:r>
        <w:rPr>
          <w:snapToGrid w:val="0"/>
        </w:rPr>
        <w:t xml:space="preserve"> </w:t>
      </w:r>
    </w:p>
    <w:p>
      <w:pPr>
        <w:pStyle w:val="Subsection"/>
        <w:rPr>
          <w:snapToGrid w:val="0"/>
        </w:rPr>
      </w:pPr>
      <w:r>
        <w:rPr>
          <w:snapToGrid w:val="0"/>
        </w:rPr>
        <w:tab/>
        <w:t>(1)</w:t>
      </w:r>
      <w:r>
        <w:rPr>
          <w:snapToGrid w:val="0"/>
        </w:rPr>
        <w:tab/>
        <w:t>The corporation is not, and is not to become, part of the Public Service.</w:t>
      </w:r>
    </w:p>
    <w:p>
      <w:pPr>
        <w:pStyle w:val="Subsection"/>
        <w:rPr>
          <w:snapToGrid w:val="0"/>
        </w:rPr>
      </w:pPr>
      <w:r>
        <w:rPr>
          <w:snapToGrid w:val="0"/>
        </w:rPr>
        <w:tab/>
        <w:t>(2)</w:t>
      </w:r>
      <w:r>
        <w:rPr>
          <w:snapToGrid w:val="0"/>
        </w:rPr>
        <w:tab/>
        <w:t xml:space="preserve">Neither the chief executive officer nor any member of staff is to be included in the Senior Executive Service provided for by the </w:t>
      </w:r>
      <w:r>
        <w:rPr>
          <w:i/>
          <w:snapToGrid w:val="0"/>
        </w:rPr>
        <w:t>Public Sector Management Act 1994</w:t>
      </w:r>
      <w:r>
        <w:rPr>
          <w:snapToGrid w:val="0"/>
        </w:rPr>
        <w:t>.</w:t>
      </w:r>
    </w:p>
    <w:p>
      <w:pPr>
        <w:pStyle w:val="Heading3"/>
        <w:rPr>
          <w:snapToGrid w:val="0"/>
        </w:rPr>
      </w:pPr>
      <w:bookmarkStart w:id="55" w:name="_Toc189882978"/>
      <w:bookmarkStart w:id="56" w:name="_Toc200259674"/>
      <w:bookmarkStart w:id="57" w:name="_Toc200259880"/>
      <w:bookmarkStart w:id="58" w:name="_Toc200260086"/>
      <w:bookmarkStart w:id="59" w:name="_Toc200421946"/>
      <w:bookmarkStart w:id="60" w:name="_Toc201975862"/>
      <w:bookmarkStart w:id="61" w:name="_Toc201981998"/>
      <w:bookmarkStart w:id="62" w:name="_Toc202080762"/>
      <w:bookmarkStart w:id="63" w:name="_Toc202168271"/>
      <w:bookmarkStart w:id="64" w:name="_Toc203453836"/>
      <w:bookmarkStart w:id="65" w:name="_Toc268269762"/>
      <w:bookmarkStart w:id="66" w:name="_Toc274143425"/>
      <w:bookmarkStart w:id="67" w:name="_Toc278969575"/>
      <w:r>
        <w:rPr>
          <w:rStyle w:val="CharDivNo"/>
        </w:rPr>
        <w:t>Division 2</w:t>
      </w:r>
      <w:r>
        <w:rPr>
          <w:snapToGrid w:val="0"/>
        </w:rPr>
        <w:t> — </w:t>
      </w:r>
      <w:r>
        <w:rPr>
          <w:rStyle w:val="CharDivText"/>
        </w:rPr>
        <w:t>Board of directors</w:t>
      </w:r>
      <w:bookmarkEnd w:id="55"/>
      <w:bookmarkEnd w:id="56"/>
      <w:bookmarkEnd w:id="57"/>
      <w:bookmarkEnd w:id="58"/>
      <w:bookmarkEnd w:id="59"/>
      <w:bookmarkEnd w:id="60"/>
      <w:bookmarkEnd w:id="61"/>
      <w:bookmarkEnd w:id="62"/>
      <w:bookmarkEnd w:id="63"/>
      <w:bookmarkEnd w:id="64"/>
      <w:bookmarkEnd w:id="65"/>
      <w:bookmarkEnd w:id="66"/>
      <w:bookmarkEnd w:id="67"/>
      <w:r>
        <w:rPr>
          <w:rStyle w:val="CharDivText"/>
        </w:rPr>
        <w:t xml:space="preserve"> </w:t>
      </w:r>
    </w:p>
    <w:p>
      <w:pPr>
        <w:pStyle w:val="Heading5"/>
        <w:rPr>
          <w:snapToGrid w:val="0"/>
        </w:rPr>
      </w:pPr>
      <w:bookmarkStart w:id="68" w:name="_Toc278969576"/>
      <w:bookmarkStart w:id="69" w:name="_Toc274143426"/>
      <w:r>
        <w:rPr>
          <w:rStyle w:val="CharSectno"/>
        </w:rPr>
        <w:t>7</w:t>
      </w:r>
      <w:r>
        <w:rPr>
          <w:snapToGrid w:val="0"/>
        </w:rPr>
        <w:t>.</w:t>
      </w:r>
      <w:r>
        <w:rPr>
          <w:snapToGrid w:val="0"/>
        </w:rPr>
        <w:tab/>
        <w:t>Board of directors</w:t>
      </w:r>
      <w:bookmarkEnd w:id="68"/>
      <w:bookmarkEnd w:id="69"/>
      <w:r>
        <w:rPr>
          <w:snapToGrid w:val="0"/>
        </w:rPr>
        <w:t xml:space="preserve"> </w:t>
      </w:r>
    </w:p>
    <w:p>
      <w:pPr>
        <w:pStyle w:val="Subsection"/>
        <w:rPr>
          <w:snapToGrid w:val="0"/>
        </w:rPr>
      </w:pPr>
      <w:r>
        <w:rPr>
          <w:snapToGrid w:val="0"/>
        </w:rPr>
        <w:tab/>
        <w:t>(1)</w:t>
      </w:r>
      <w:r>
        <w:rPr>
          <w:snapToGrid w:val="0"/>
        </w:rPr>
        <w:tab/>
        <w:t>The corporation is to have a board of directors comprising — </w:t>
      </w:r>
    </w:p>
    <w:p>
      <w:pPr>
        <w:pStyle w:val="Indenta"/>
        <w:rPr>
          <w:snapToGrid w:val="0"/>
        </w:rPr>
      </w:pPr>
      <w:r>
        <w:rPr>
          <w:snapToGrid w:val="0"/>
        </w:rPr>
        <w:tab/>
        <w:t>(a)</w:t>
      </w:r>
      <w:r>
        <w:rPr>
          <w:snapToGrid w:val="0"/>
        </w:rPr>
        <w:tab/>
        <w:t>the chief executive officer for the time being; and</w:t>
      </w:r>
    </w:p>
    <w:p>
      <w:pPr>
        <w:pStyle w:val="Indenta"/>
        <w:rPr>
          <w:snapToGrid w:val="0"/>
        </w:rPr>
      </w:pPr>
      <w:r>
        <w:rPr>
          <w:snapToGrid w:val="0"/>
        </w:rPr>
        <w:tab/>
        <w:t>(b)</w:t>
      </w:r>
      <w:r>
        <w:rPr>
          <w:snapToGrid w:val="0"/>
        </w:rPr>
        <w:tab/>
        <w:t>not less than 5 nor more than 6 other persons appointed as non</w:t>
      </w:r>
      <w:r>
        <w:rPr>
          <w:snapToGrid w:val="0"/>
        </w:rPr>
        <w:noBreakHyphen/>
        <w:t>executive directors by the Governor on the nomination of the Minister.</w:t>
      </w:r>
    </w:p>
    <w:p>
      <w:pPr>
        <w:pStyle w:val="Subsection"/>
        <w:rPr>
          <w:snapToGrid w:val="0"/>
        </w:rPr>
      </w:pPr>
      <w:r>
        <w:rPr>
          <w:snapToGrid w:val="0"/>
        </w:rPr>
        <w:tab/>
        <w:t>(2)</w:t>
      </w:r>
      <w:r>
        <w:rPr>
          <w:snapToGrid w:val="0"/>
        </w:rPr>
        <w:tab/>
        <w:t>In making nominations for appointment to the board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pPr>
      <w:r>
        <w:tab/>
        <w:t>(ab)</w:t>
      </w:r>
      <w:r>
        <w:tab/>
        <w:t xml:space="preserve">each nomination is made only after consultation with the Minister administering the </w:t>
      </w:r>
      <w:r>
        <w:rPr>
          <w:i/>
          <w:iCs/>
        </w:rPr>
        <w:t>Water Agencies (Powers) Act 1984</w:t>
      </w:r>
      <w:r>
        <w:t>; and</w:t>
      </w:r>
    </w:p>
    <w:p>
      <w:pPr>
        <w:pStyle w:val="Indenta"/>
        <w:rPr>
          <w:snapToGrid w:val="0"/>
        </w:rPr>
      </w:pPr>
      <w:r>
        <w:rPr>
          <w:snapToGrid w:val="0"/>
        </w:rPr>
        <w:tab/>
        <w:t>(b)</w:t>
      </w:r>
      <w:r>
        <w:rPr>
          <w:snapToGrid w:val="0"/>
        </w:rPr>
        <w:tab/>
        <w:t>no member of staff other than the chief executive officer is a director.</w:t>
      </w:r>
    </w:p>
    <w:p>
      <w:pPr>
        <w:pStyle w:val="Subsection"/>
        <w:rPr>
          <w:snapToGrid w:val="0"/>
        </w:rPr>
      </w:pPr>
      <w:r>
        <w:rPr>
          <w:snapToGrid w:val="0"/>
        </w:rPr>
        <w:tab/>
        <w:t>(3)</w:t>
      </w:r>
      <w:r>
        <w:rPr>
          <w:snapToGrid w:val="0"/>
        </w:rPr>
        <w:tab/>
        <w:t>Where a vacancy occurs in an office of non</w:t>
      </w:r>
      <w:r>
        <w:rPr>
          <w:snapToGrid w:val="0"/>
        </w:rPr>
        <w:noBreakHyphen/>
        <w:t>executive director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to the initial appointments to the board; or</w:t>
      </w:r>
    </w:p>
    <w:p>
      <w:pPr>
        <w:pStyle w:val="Indenta"/>
        <w:rPr>
          <w:snapToGrid w:val="0"/>
        </w:rPr>
      </w:pPr>
      <w:r>
        <w:rPr>
          <w:snapToGrid w:val="0"/>
        </w:rPr>
        <w:tab/>
        <w:t>(b)</w:t>
      </w:r>
      <w:r>
        <w:rPr>
          <w:snapToGrid w:val="0"/>
        </w:rPr>
        <w:tab/>
        <w:t>where the nominee was recommended by the board under subsection (3).</w:t>
      </w:r>
    </w:p>
    <w:p>
      <w:pPr>
        <w:pStyle w:val="Footnotesection"/>
      </w:pPr>
      <w:r>
        <w:tab/>
        <w:t>[Section 7 amended by No. 38 of 2007 s. 137.]</w:t>
      </w:r>
    </w:p>
    <w:p>
      <w:pPr>
        <w:pStyle w:val="Heading5"/>
        <w:spacing w:before="180"/>
        <w:rPr>
          <w:snapToGrid w:val="0"/>
        </w:rPr>
      </w:pPr>
      <w:bookmarkStart w:id="70" w:name="_Toc278969577"/>
      <w:bookmarkStart w:id="71" w:name="_Toc274143427"/>
      <w:r>
        <w:rPr>
          <w:rStyle w:val="CharSectno"/>
        </w:rPr>
        <w:t>8</w:t>
      </w:r>
      <w:r>
        <w:rPr>
          <w:snapToGrid w:val="0"/>
        </w:rPr>
        <w:t>.</w:t>
      </w:r>
      <w:r>
        <w:rPr>
          <w:snapToGrid w:val="0"/>
        </w:rPr>
        <w:tab/>
        <w:t>Functions of board</w:t>
      </w:r>
      <w:bookmarkEnd w:id="70"/>
      <w:bookmarkEnd w:id="71"/>
      <w:r>
        <w:rPr>
          <w:snapToGrid w:val="0"/>
        </w:rPr>
        <w:t xml:space="preserve"> </w:t>
      </w:r>
    </w:p>
    <w:p>
      <w:pPr>
        <w:pStyle w:val="Subsection"/>
        <w:rPr>
          <w:snapToGrid w:val="0"/>
        </w:rPr>
      </w:pPr>
      <w:r>
        <w:rPr>
          <w:snapToGrid w:val="0"/>
        </w:rPr>
        <w:tab/>
      </w:r>
      <w:r>
        <w:rPr>
          <w:snapToGrid w:val="0"/>
        </w:rPr>
        <w:tab/>
        <w:t>The board is the governing body of the corporation with authority, subject to this Act, in the name of the corporation, to perform the functions, determine the policies and control the affairs of the corporation.</w:t>
      </w:r>
    </w:p>
    <w:p>
      <w:pPr>
        <w:pStyle w:val="Heading5"/>
        <w:spacing w:before="180"/>
        <w:rPr>
          <w:snapToGrid w:val="0"/>
        </w:rPr>
      </w:pPr>
      <w:bookmarkStart w:id="72" w:name="_Toc278969578"/>
      <w:bookmarkStart w:id="73" w:name="_Toc274143428"/>
      <w:r>
        <w:rPr>
          <w:rStyle w:val="CharSectno"/>
        </w:rPr>
        <w:t>9</w:t>
      </w:r>
      <w:r>
        <w:rPr>
          <w:snapToGrid w:val="0"/>
        </w:rPr>
        <w:t>.</w:t>
      </w:r>
      <w:r>
        <w:rPr>
          <w:snapToGrid w:val="0"/>
        </w:rPr>
        <w:tab/>
        <w:t>Board’s constitution and proceedings (Sch. 1)</w:t>
      </w:r>
      <w:bookmarkEnd w:id="72"/>
      <w:bookmarkEnd w:id="73"/>
      <w:r>
        <w:rPr>
          <w:snapToGrid w:val="0"/>
        </w:rPr>
        <w:t xml:space="preserve"> </w:t>
      </w:r>
    </w:p>
    <w:p>
      <w:pPr>
        <w:pStyle w:val="Subsection"/>
        <w:rPr>
          <w:snapToGrid w:val="0"/>
        </w:rPr>
      </w:pPr>
      <w:r>
        <w:rPr>
          <w:snapToGrid w:val="0"/>
        </w:rPr>
        <w:tab/>
      </w:r>
      <w:r>
        <w:rPr>
          <w:snapToGrid w:val="0"/>
        </w:rPr>
        <w:tab/>
        <w:t>Schedule 1 has effect with respect to the directors and the board.</w:t>
      </w:r>
    </w:p>
    <w:p>
      <w:pPr>
        <w:pStyle w:val="Heading5"/>
        <w:keepNext w:val="0"/>
        <w:keepLines w:val="0"/>
        <w:spacing w:before="180"/>
        <w:rPr>
          <w:snapToGrid w:val="0"/>
        </w:rPr>
      </w:pPr>
      <w:bookmarkStart w:id="74" w:name="_Toc278969579"/>
      <w:bookmarkStart w:id="75" w:name="_Toc274143429"/>
      <w:r>
        <w:rPr>
          <w:rStyle w:val="CharSectno"/>
        </w:rPr>
        <w:t>10</w:t>
      </w:r>
      <w:r>
        <w:rPr>
          <w:snapToGrid w:val="0"/>
        </w:rPr>
        <w:t>.</w:t>
      </w:r>
      <w:r>
        <w:rPr>
          <w:snapToGrid w:val="0"/>
        </w:rPr>
        <w:tab/>
        <w:t>Remuneration of non-executive directors</w:t>
      </w:r>
      <w:bookmarkEnd w:id="74"/>
      <w:bookmarkEnd w:id="75"/>
      <w:r>
        <w:rPr>
          <w:snapToGrid w:val="0"/>
        </w:rPr>
        <w:t xml:space="preserve"> </w:t>
      </w:r>
    </w:p>
    <w:p>
      <w:pPr>
        <w:pStyle w:val="Subsection"/>
        <w:rPr>
          <w:snapToGrid w:val="0"/>
        </w:rPr>
      </w:pPr>
      <w:r>
        <w:rPr>
          <w:snapToGrid w:val="0"/>
        </w:rPr>
        <w:tab/>
        <w:t>(1)</w:t>
      </w:r>
      <w:r>
        <w:rPr>
          <w:snapToGrid w:val="0"/>
        </w:rPr>
        <w:tab/>
        <w:t>A non</w:t>
      </w:r>
      <w:r>
        <w:rPr>
          <w:snapToGrid w:val="0"/>
        </w:rPr>
        <w:noBreakHyphen/>
        <w:t>executive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Remuneration is not to be paid to a non</w:t>
      </w:r>
      <w:r>
        <w:rPr>
          <w:snapToGrid w:val="0"/>
        </w:rPr>
        <w:noBreakHyphen/>
        <w:t>executive director who holds a full</w:t>
      </w:r>
      <w:r>
        <w:rPr>
          <w:snapToGrid w:val="0"/>
        </w:rPr>
        <w:noBreakHyphen/>
        <w:t>time office or position that is remunerated out of moneys appropriated by Parliament.</w:t>
      </w:r>
    </w:p>
    <w:p>
      <w:pPr>
        <w:pStyle w:val="Heading5"/>
        <w:rPr>
          <w:snapToGrid w:val="0"/>
        </w:rPr>
      </w:pPr>
      <w:bookmarkStart w:id="76" w:name="_Toc278969580"/>
      <w:bookmarkStart w:id="77" w:name="_Toc274143430"/>
      <w:r>
        <w:rPr>
          <w:rStyle w:val="CharSectno"/>
        </w:rPr>
        <w:t>11</w:t>
      </w:r>
      <w:r>
        <w:rPr>
          <w:snapToGrid w:val="0"/>
        </w:rPr>
        <w:t>.</w:t>
      </w:r>
      <w:r>
        <w:rPr>
          <w:snapToGrid w:val="0"/>
        </w:rPr>
        <w:tab/>
        <w:t>Conflict of duties</w:t>
      </w:r>
      <w:bookmarkEnd w:id="76"/>
      <w:bookmarkEnd w:id="77"/>
      <w:r>
        <w:rPr>
          <w:snapToGrid w:val="0"/>
        </w:rPr>
        <w:t xml:space="preserve"> </w:t>
      </w:r>
    </w:p>
    <w:p>
      <w:pPr>
        <w:pStyle w:val="Subsection"/>
        <w:rPr>
          <w:snapToGrid w:val="0"/>
        </w:rPr>
      </w:pPr>
      <w:r>
        <w:rPr>
          <w:snapToGrid w:val="0"/>
        </w:rPr>
        <w:tab/>
        <w:t>(1)</w:t>
      </w:r>
      <w:r>
        <w:rPr>
          <w:snapToGrid w:val="0"/>
        </w:rPr>
        <w:tab/>
        <w:t>If a public service officer is a director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rPr>
          <w:snapToGrid w:val="0"/>
        </w:rPr>
      </w:pPr>
      <w:r>
        <w:rPr>
          <w:snapToGrid w:val="0"/>
        </w:rPr>
        <w:tab/>
        <w:t>(2)</w:t>
      </w:r>
      <w:r>
        <w:rPr>
          <w:snapToGrid w:val="0"/>
        </w:rPr>
        <w:tab/>
        <w:t>In this section — </w:t>
      </w:r>
    </w:p>
    <w:p>
      <w:pPr>
        <w:pStyle w:val="Defstart"/>
      </w:pPr>
      <w:r>
        <w:rPr>
          <w:b/>
        </w:rPr>
        <w:tab/>
      </w:r>
      <w:r>
        <w:rPr>
          <w:rStyle w:val="CharDefText"/>
        </w:rPr>
        <w:t>public service officer</w:t>
      </w:r>
      <w:r>
        <w:t xml:space="preserve"> means a person who is employed in the Public Service under Part 3 of the </w:t>
      </w:r>
      <w:r>
        <w:rPr>
          <w:i/>
        </w:rPr>
        <w:t>Public Sector Management Act 1994</w:t>
      </w:r>
      <w:r>
        <w:t>.</w:t>
      </w:r>
    </w:p>
    <w:p>
      <w:pPr>
        <w:pStyle w:val="Heading5"/>
        <w:rPr>
          <w:snapToGrid w:val="0"/>
        </w:rPr>
      </w:pPr>
      <w:bookmarkStart w:id="78" w:name="_Toc278969581"/>
      <w:bookmarkStart w:id="79" w:name="_Toc274143431"/>
      <w:r>
        <w:rPr>
          <w:rStyle w:val="CharSectno"/>
        </w:rPr>
        <w:t>12</w:t>
      </w:r>
      <w:r>
        <w:rPr>
          <w:snapToGrid w:val="0"/>
        </w:rPr>
        <w:t>.</w:t>
      </w:r>
      <w:r>
        <w:rPr>
          <w:snapToGrid w:val="0"/>
        </w:rPr>
        <w:tab/>
        <w:t>Committees</w:t>
      </w:r>
      <w:bookmarkEnd w:id="78"/>
      <w:bookmarkEnd w:id="79"/>
      <w:r>
        <w:rPr>
          <w:snapToGrid w:val="0"/>
        </w:rPr>
        <w:t xml:space="preserve"> </w:t>
      </w:r>
    </w:p>
    <w:p>
      <w:pPr>
        <w:pStyle w:val="Subsection"/>
        <w:rPr>
          <w:snapToGrid w:val="0"/>
        </w:rPr>
      </w:pPr>
      <w:r>
        <w:rPr>
          <w:snapToGrid w:val="0"/>
        </w:rPr>
        <w:tab/>
        <w:t>(1)</w:t>
      </w:r>
      <w:r>
        <w:rPr>
          <w:snapToGrid w:val="0"/>
        </w:rPr>
        <w:tab/>
        <w:t>The board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A committee may, with the approval of the board, invite any person, including a member of staff,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Heading3"/>
        <w:rPr>
          <w:snapToGrid w:val="0"/>
        </w:rPr>
      </w:pPr>
      <w:bookmarkStart w:id="80" w:name="_Toc189882985"/>
      <w:bookmarkStart w:id="81" w:name="_Toc200259681"/>
      <w:bookmarkStart w:id="82" w:name="_Toc200259887"/>
      <w:bookmarkStart w:id="83" w:name="_Toc200260093"/>
      <w:bookmarkStart w:id="84" w:name="_Toc200421953"/>
      <w:bookmarkStart w:id="85" w:name="_Toc201975869"/>
      <w:bookmarkStart w:id="86" w:name="_Toc201982005"/>
      <w:bookmarkStart w:id="87" w:name="_Toc202080769"/>
      <w:bookmarkStart w:id="88" w:name="_Toc202168278"/>
      <w:bookmarkStart w:id="89" w:name="_Toc203453843"/>
      <w:bookmarkStart w:id="90" w:name="_Toc268269769"/>
      <w:bookmarkStart w:id="91" w:name="_Toc274143432"/>
      <w:bookmarkStart w:id="92" w:name="_Toc278969582"/>
      <w:r>
        <w:rPr>
          <w:rStyle w:val="CharDivNo"/>
        </w:rPr>
        <w:t>Division 3</w:t>
      </w:r>
      <w:r>
        <w:rPr>
          <w:snapToGrid w:val="0"/>
        </w:rPr>
        <w:t> — </w:t>
      </w:r>
      <w:r>
        <w:rPr>
          <w:rStyle w:val="CharDivText"/>
        </w:rPr>
        <w:t>Staff</w:t>
      </w:r>
      <w:bookmarkEnd w:id="80"/>
      <w:bookmarkEnd w:id="81"/>
      <w:bookmarkEnd w:id="82"/>
      <w:bookmarkEnd w:id="83"/>
      <w:bookmarkEnd w:id="84"/>
      <w:bookmarkEnd w:id="85"/>
      <w:bookmarkEnd w:id="86"/>
      <w:bookmarkEnd w:id="87"/>
      <w:bookmarkEnd w:id="88"/>
      <w:bookmarkEnd w:id="89"/>
      <w:bookmarkEnd w:id="90"/>
      <w:bookmarkEnd w:id="91"/>
      <w:bookmarkEnd w:id="92"/>
      <w:r>
        <w:rPr>
          <w:rStyle w:val="CharDivText"/>
        </w:rPr>
        <w:t xml:space="preserve"> </w:t>
      </w:r>
    </w:p>
    <w:p>
      <w:pPr>
        <w:pStyle w:val="Heading5"/>
        <w:spacing w:before="180"/>
        <w:rPr>
          <w:snapToGrid w:val="0"/>
        </w:rPr>
      </w:pPr>
      <w:bookmarkStart w:id="93" w:name="_Toc278969583"/>
      <w:bookmarkStart w:id="94" w:name="_Toc274143433"/>
      <w:r>
        <w:rPr>
          <w:rStyle w:val="CharSectno"/>
        </w:rPr>
        <w:t>13</w:t>
      </w:r>
      <w:r>
        <w:rPr>
          <w:snapToGrid w:val="0"/>
        </w:rPr>
        <w:t>.</w:t>
      </w:r>
      <w:r>
        <w:rPr>
          <w:snapToGrid w:val="0"/>
        </w:rPr>
        <w:tab/>
        <w:t>Chief executive officer</w:t>
      </w:r>
      <w:bookmarkEnd w:id="93"/>
      <w:bookmarkEnd w:id="94"/>
      <w:r>
        <w:rPr>
          <w:snapToGrid w:val="0"/>
        </w:rPr>
        <w:t xml:space="preserve"> </w:t>
      </w:r>
    </w:p>
    <w:p>
      <w:pPr>
        <w:pStyle w:val="Subsection"/>
        <w:spacing w:before="120"/>
        <w:rPr>
          <w:snapToGrid w:val="0"/>
        </w:rPr>
      </w:pPr>
      <w:r>
        <w:rPr>
          <w:snapToGrid w:val="0"/>
        </w:rPr>
        <w:tab/>
        <w:t>(1)</w:t>
      </w:r>
      <w:r>
        <w:rPr>
          <w:snapToGrid w:val="0"/>
        </w:rPr>
        <w:tab/>
        <w:t>There is to be a chief executive officer of the corporation.</w:t>
      </w:r>
    </w:p>
    <w:p>
      <w:pPr>
        <w:pStyle w:val="Subsection"/>
        <w:spacing w:before="120"/>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to appoint and remove the chief executive officer; and</w:t>
      </w:r>
    </w:p>
    <w:p>
      <w:pPr>
        <w:pStyle w:val="Indenta"/>
        <w:rPr>
          <w:snapToGrid w:val="0"/>
        </w:rPr>
      </w:pPr>
      <w:r>
        <w:rPr>
          <w:snapToGrid w:val="0"/>
        </w:rPr>
        <w:tab/>
        <w:t>(b)</w:t>
      </w:r>
      <w:r>
        <w:rPr>
          <w:snapToGrid w:val="0"/>
        </w:rPr>
        <w:tab/>
        <w:t>to fix and alter his or her terms and conditions of service,</w:t>
      </w:r>
    </w:p>
    <w:p>
      <w:pPr>
        <w:pStyle w:val="Subsection"/>
        <w:spacing w:before="120"/>
        <w:rPr>
          <w:snapToGrid w:val="0"/>
        </w:rPr>
      </w:pPr>
      <w:r>
        <w:rPr>
          <w:snapToGrid w:val="0"/>
        </w:rPr>
        <w:tab/>
      </w:r>
      <w:r>
        <w:rPr>
          <w:snapToGrid w:val="0"/>
        </w:rPr>
        <w:tab/>
        <w:t>are vested in the board.</w:t>
      </w:r>
    </w:p>
    <w:p>
      <w:pPr>
        <w:pStyle w:val="Subsection"/>
        <w:spacing w:before="120"/>
        <w:rPr>
          <w:snapToGrid w:val="0"/>
        </w:rPr>
      </w:pPr>
      <w:r>
        <w:rPr>
          <w:snapToGrid w:val="0"/>
        </w:rPr>
        <w:tab/>
        <w:t>(3)</w:t>
      </w:r>
      <w:r>
        <w:rPr>
          <w:snapToGrid w:val="0"/>
        </w:rPr>
        <w:tab/>
        <w:t>The board is to obtain the concurrence of the Minister before it exercises any of the powers conferred by subsection (2).</w:t>
      </w:r>
    </w:p>
    <w:p>
      <w:pPr>
        <w:pStyle w:val="Subsection"/>
        <w:spacing w:before="120"/>
        <w:rPr>
          <w:snapToGrid w:val="0"/>
        </w:rPr>
      </w:pPr>
      <w:r>
        <w:rPr>
          <w:snapToGrid w:val="0"/>
        </w:rPr>
        <w:tab/>
        <w:t>(4)</w:t>
      </w:r>
      <w:r>
        <w:rPr>
          <w:snapToGrid w:val="0"/>
        </w:rPr>
        <w:tab/>
        <w:t>Subject to any provision of his or her terms and conditions of service, the chief executive officer may resign his or her office by giving notice in writing to the board.</w:t>
      </w:r>
    </w:p>
    <w:p>
      <w:pPr>
        <w:pStyle w:val="Subsection"/>
        <w:spacing w:before="120"/>
        <w:rPr>
          <w:snapToGrid w:val="0"/>
        </w:rPr>
      </w:pPr>
      <w:r>
        <w:rPr>
          <w:snapToGrid w:val="0"/>
        </w:rPr>
        <w:tab/>
        <w:t>(5)</w:t>
      </w:r>
      <w:r>
        <w:rPr>
          <w:snapToGrid w:val="0"/>
        </w:rPr>
        <w:tab/>
        <w:t>The board may appoint a person to act in place of the chief executive officer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Despite subsection (2), the Minister is to appoint the initial chief executive officer.</w:t>
      </w:r>
    </w:p>
    <w:p>
      <w:pPr>
        <w:pStyle w:val="Footnotesection"/>
      </w:pPr>
      <w:r>
        <w:tab/>
        <w:t>[Section 13 amended by No. 10 of 1998 s. 73(1).]</w:t>
      </w:r>
    </w:p>
    <w:p>
      <w:pPr>
        <w:pStyle w:val="Heading5"/>
        <w:spacing w:before="180"/>
        <w:rPr>
          <w:snapToGrid w:val="0"/>
        </w:rPr>
      </w:pPr>
      <w:bookmarkStart w:id="95" w:name="_Toc278969584"/>
      <w:bookmarkStart w:id="96" w:name="_Toc274143434"/>
      <w:r>
        <w:rPr>
          <w:rStyle w:val="CharSectno"/>
        </w:rPr>
        <w:t>14</w:t>
      </w:r>
      <w:r>
        <w:rPr>
          <w:snapToGrid w:val="0"/>
        </w:rPr>
        <w:t>.</w:t>
      </w:r>
      <w:r>
        <w:rPr>
          <w:snapToGrid w:val="0"/>
        </w:rPr>
        <w:tab/>
        <w:t>Role of chief executive officer</w:t>
      </w:r>
      <w:bookmarkEnd w:id="95"/>
      <w:bookmarkEnd w:id="96"/>
      <w:r>
        <w:rPr>
          <w:snapToGrid w:val="0"/>
        </w:rPr>
        <w:t xml:space="preserve"> </w:t>
      </w:r>
    </w:p>
    <w:p>
      <w:pPr>
        <w:pStyle w:val="Subsection"/>
        <w:rPr>
          <w:snapToGrid w:val="0"/>
        </w:rPr>
      </w:pPr>
      <w:r>
        <w:rPr>
          <w:snapToGrid w:val="0"/>
        </w:rPr>
        <w:tab/>
      </w:r>
      <w:r>
        <w:rPr>
          <w:snapToGrid w:val="0"/>
        </w:rPr>
        <w:tab/>
        <w:t>Subject to the control of the board, the chief executive officer is responsible for, and has the necessary powers to administer, the day to day operations of the corporation.</w:t>
      </w:r>
    </w:p>
    <w:p>
      <w:pPr>
        <w:pStyle w:val="Heading5"/>
        <w:keepNext w:val="0"/>
        <w:keepLines w:val="0"/>
        <w:spacing w:before="180"/>
        <w:rPr>
          <w:snapToGrid w:val="0"/>
        </w:rPr>
      </w:pPr>
      <w:bookmarkStart w:id="97" w:name="_Toc278969585"/>
      <w:bookmarkStart w:id="98" w:name="_Toc274143435"/>
      <w:r>
        <w:rPr>
          <w:rStyle w:val="CharSectno"/>
        </w:rPr>
        <w:t>15</w:t>
      </w:r>
      <w:r>
        <w:rPr>
          <w:snapToGrid w:val="0"/>
        </w:rPr>
        <w:t>.</w:t>
      </w:r>
      <w:r>
        <w:rPr>
          <w:snapToGrid w:val="0"/>
        </w:rPr>
        <w:tab/>
        <w:t>Staff</w:t>
      </w:r>
      <w:bookmarkEnd w:id="97"/>
      <w:bookmarkEnd w:id="98"/>
      <w:r>
        <w:rPr>
          <w:snapToGrid w:val="0"/>
        </w:rPr>
        <w:t xml:space="preserve"> </w:t>
      </w:r>
    </w:p>
    <w:p>
      <w:pPr>
        <w:pStyle w:val="Subsection"/>
        <w:spacing w:before="120"/>
        <w:rPr>
          <w:snapToGrid w:val="0"/>
        </w:rPr>
      </w:pPr>
      <w:r>
        <w:rPr>
          <w:snapToGrid w:val="0"/>
        </w:rPr>
        <w:tab/>
        <w:t>(1)</w:t>
      </w:r>
      <w:r>
        <w:rPr>
          <w:snapToGrid w:val="0"/>
        </w:rPr>
        <w:tab/>
        <w:t>The power to engage and manage the staff of the corporation is vested in the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The remuneration of members of staff 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27; amended in Gazette 15 Aug 2003 p. 3692.]</w:t>
      </w:r>
    </w:p>
    <w:p>
      <w:pPr>
        <w:pStyle w:val="Heading5"/>
        <w:rPr>
          <w:snapToGrid w:val="0"/>
        </w:rPr>
      </w:pPr>
      <w:bookmarkStart w:id="99" w:name="_Toc278969586"/>
      <w:bookmarkStart w:id="100" w:name="_Toc274143436"/>
      <w:r>
        <w:rPr>
          <w:rStyle w:val="CharSectno"/>
        </w:rPr>
        <w:t>16</w:t>
      </w:r>
      <w:r>
        <w:rPr>
          <w:snapToGrid w:val="0"/>
        </w:rPr>
        <w:t>.</w:t>
      </w:r>
      <w:r>
        <w:rPr>
          <w:snapToGrid w:val="0"/>
        </w:rPr>
        <w:tab/>
        <w:t>Minimum standards for staff management</w:t>
      </w:r>
      <w:bookmarkEnd w:id="99"/>
      <w:bookmarkEnd w:id="100"/>
      <w:r>
        <w:rPr>
          <w:snapToGrid w:val="0"/>
        </w:rPr>
        <w:t xml:space="preserve"> </w:t>
      </w:r>
    </w:p>
    <w:p>
      <w:pPr>
        <w:pStyle w:val="Subsection"/>
        <w:rPr>
          <w:snapToGrid w:val="0"/>
        </w:rPr>
      </w:pPr>
      <w:r>
        <w:rPr>
          <w:snapToGrid w:val="0"/>
        </w:rPr>
        <w:tab/>
        <w:t>(1)</w:t>
      </w:r>
      <w:r>
        <w:rPr>
          <w:snapToGrid w:val="0"/>
        </w:rPr>
        <w:tab/>
        <w:t>The board must, after consultation with the</w:t>
      </w:r>
      <w:r>
        <w:t xml:space="preserve"> </w:t>
      </w:r>
      <w:del w:id="101" w:author="svcMRProcess" w:date="2018-09-09T23:54:00Z">
        <w:r>
          <w:rPr>
            <w:snapToGrid w:val="0"/>
          </w:rPr>
          <w:delText xml:space="preserve">Commissioner for </w:delText>
        </w:r>
      </w:del>
      <w:r>
        <w:t xml:space="preserve">Public Sector </w:t>
      </w:r>
      <w:del w:id="102" w:author="svcMRProcess" w:date="2018-09-09T23:54:00Z">
        <w:r>
          <w:rPr>
            <w:snapToGrid w:val="0"/>
          </w:rPr>
          <w:delText>Standards</w:delText>
        </w:r>
      </w:del>
      <w:ins w:id="103" w:author="svcMRProcess" w:date="2018-09-09T23:54:00Z">
        <w:r>
          <w:t>Commissioner</w:t>
        </w:r>
      </w:ins>
      <w:r>
        <w:rPr>
          <w:snapToGrid w:val="0"/>
        </w:rPr>
        <w:t>,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r>
      <w:r>
        <w:rPr>
          <w:rStyle w:val="CharDefText"/>
        </w:rPr>
        <w:t>management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 xml:space="preserve">The </w:t>
      </w:r>
      <w:del w:id="104" w:author="svcMRProcess" w:date="2018-09-09T23:54:00Z">
        <w:r>
          <w:rPr>
            <w:snapToGrid w:val="0"/>
          </w:rPr>
          <w:delText xml:space="preserve">Commissioner for </w:delText>
        </w:r>
      </w:del>
      <w:r>
        <w:t xml:space="preserve">Public Sector </w:t>
      </w:r>
      <w:del w:id="105" w:author="svcMRProcess" w:date="2018-09-09T23:54:00Z">
        <w:r>
          <w:rPr>
            <w:snapToGrid w:val="0"/>
          </w:rPr>
          <w:delText>Standards</w:delText>
        </w:r>
      </w:del>
      <w:ins w:id="106" w:author="svcMRProcess" w:date="2018-09-09T23:54:00Z">
        <w:r>
          <w:t>Commissioner</w:t>
        </w:r>
      </w:ins>
      <w:r>
        <w:rPr>
          <w:snapToGrid w:val="0"/>
        </w:rPr>
        <w:t xml:space="preserve">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w:t>
      </w:r>
      <w:r>
        <w:t xml:space="preserve"> </w:t>
      </w:r>
      <w:del w:id="107" w:author="svcMRProcess" w:date="2018-09-09T23:54:00Z">
        <w:r>
          <w:rPr>
            <w:snapToGrid w:val="0"/>
          </w:rPr>
          <w:delText xml:space="preserve">Commissioner for </w:delText>
        </w:r>
      </w:del>
      <w:r>
        <w:t xml:space="preserve">Public Sector </w:t>
      </w:r>
      <w:del w:id="108" w:author="svcMRProcess" w:date="2018-09-09T23:54:00Z">
        <w:r>
          <w:rPr>
            <w:snapToGrid w:val="0"/>
          </w:rPr>
          <w:delText>Standards</w:delText>
        </w:r>
      </w:del>
      <w:ins w:id="109" w:author="svcMRProcess" w:date="2018-09-09T23:54:00Z">
        <w:r>
          <w:t>Commissioner</w:t>
        </w:r>
      </w:ins>
      <w:r>
        <w:rPr>
          <w:snapToGrid w:val="0"/>
        </w:rPr>
        <w:t>.</w:t>
      </w:r>
    </w:p>
    <w:p>
      <w:pPr>
        <w:pStyle w:val="Footnotesection"/>
        <w:rPr>
          <w:ins w:id="110" w:author="svcMRProcess" w:date="2018-09-09T23:54:00Z"/>
        </w:rPr>
      </w:pPr>
      <w:ins w:id="111" w:author="svcMRProcess" w:date="2018-09-09T23:54:00Z">
        <w:r>
          <w:tab/>
          <w:t>[Section 16 amended by No. 39 of 2010 s. 87(3).]</w:t>
        </w:r>
      </w:ins>
    </w:p>
    <w:p>
      <w:pPr>
        <w:pStyle w:val="Heading5"/>
        <w:rPr>
          <w:snapToGrid w:val="0"/>
        </w:rPr>
      </w:pPr>
      <w:bookmarkStart w:id="112" w:name="_Toc274143437"/>
      <w:bookmarkStart w:id="113" w:name="_Toc278969587"/>
      <w:r>
        <w:rPr>
          <w:rStyle w:val="CharSectno"/>
        </w:rPr>
        <w:t>17</w:t>
      </w:r>
      <w:r>
        <w:rPr>
          <w:snapToGrid w:val="0"/>
        </w:rPr>
        <w:t>.</w:t>
      </w:r>
      <w:r>
        <w:rPr>
          <w:snapToGrid w:val="0"/>
        </w:rPr>
        <w:tab/>
        <w:t xml:space="preserve">Reports to </w:t>
      </w:r>
      <w:del w:id="114" w:author="svcMRProcess" w:date="2018-09-09T23:54:00Z">
        <w:r>
          <w:rPr>
            <w:snapToGrid w:val="0"/>
          </w:rPr>
          <w:delText xml:space="preserve">Commissioner for </w:delText>
        </w:r>
      </w:del>
      <w:r>
        <w:rPr>
          <w:snapToGrid w:val="0"/>
        </w:rPr>
        <w:t xml:space="preserve">Public Sector </w:t>
      </w:r>
      <w:del w:id="115" w:author="svcMRProcess" w:date="2018-09-09T23:54:00Z">
        <w:r>
          <w:rPr>
            <w:snapToGrid w:val="0"/>
          </w:rPr>
          <w:delText>Standards</w:delText>
        </w:r>
        <w:bookmarkEnd w:id="112"/>
        <w:r>
          <w:rPr>
            <w:snapToGrid w:val="0"/>
          </w:rPr>
          <w:delText xml:space="preserve"> </w:delText>
        </w:r>
      </w:del>
      <w:ins w:id="116" w:author="svcMRProcess" w:date="2018-09-09T23:54:00Z">
        <w:r>
          <w:rPr>
            <w:snapToGrid w:val="0"/>
          </w:rPr>
          <w:t>Commissioner</w:t>
        </w:r>
      </w:ins>
      <w:bookmarkEnd w:id="113"/>
    </w:p>
    <w:p>
      <w:pPr>
        <w:pStyle w:val="Subsection"/>
        <w:rPr>
          <w:snapToGrid w:val="0"/>
        </w:rPr>
      </w:pPr>
      <w:r>
        <w:rPr>
          <w:snapToGrid w:val="0"/>
        </w:rPr>
        <w:tab/>
        <w:t>(1)</w:t>
      </w:r>
      <w:r>
        <w:rPr>
          <w:snapToGrid w:val="0"/>
        </w:rPr>
        <w:tab/>
        <w:t xml:space="preserve">The </w:t>
      </w:r>
      <w:del w:id="117" w:author="svcMRProcess" w:date="2018-09-09T23:54:00Z">
        <w:r>
          <w:rPr>
            <w:snapToGrid w:val="0"/>
          </w:rPr>
          <w:delText xml:space="preserve">Commissioner for </w:delText>
        </w:r>
      </w:del>
      <w:r>
        <w:t xml:space="preserve">Public Sector </w:t>
      </w:r>
      <w:del w:id="118" w:author="svcMRProcess" w:date="2018-09-09T23:54:00Z">
        <w:r>
          <w:rPr>
            <w:snapToGrid w:val="0"/>
          </w:rPr>
          <w:delText>Standards</w:delText>
        </w:r>
      </w:del>
      <w:ins w:id="119" w:author="svcMRProcess" w:date="2018-09-09T23:54:00Z">
        <w:r>
          <w:t>Commissioner</w:t>
        </w:r>
      </w:ins>
      <w:r>
        <w:rPr>
          <w:snapToGrid w:val="0"/>
        </w:rPr>
        <w:t xml:space="preserve"> may in writing require the board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del w:id="120" w:author="svcMRProcess" w:date="2018-09-09T23:54:00Z">
        <w:r>
          <w:rPr>
            <w:snapToGrid w:val="0"/>
          </w:rPr>
          <w:delText xml:space="preserve">Commissioner for </w:delText>
        </w:r>
      </w:del>
      <w:r>
        <w:t xml:space="preserve">Public Sector </w:t>
      </w:r>
      <w:del w:id="121" w:author="svcMRProcess" w:date="2018-09-09T23:54:00Z">
        <w:r>
          <w:rPr>
            <w:snapToGrid w:val="0"/>
          </w:rPr>
          <w:delText>Standards</w:delText>
        </w:r>
      </w:del>
      <w:ins w:id="122" w:author="svcMRProcess" w:date="2018-09-09T23:54:00Z">
        <w:r>
          <w:t>Commissioner</w:t>
        </w:r>
      </w:ins>
      <w:r>
        <w:rPr>
          <w:snapToGrid w:val="0"/>
        </w:rPr>
        <w:t xml:space="preserve"> may at any time report to the Minister on the content or observance of the minimum standards in force under section 16.</w:t>
      </w:r>
    </w:p>
    <w:p>
      <w:pPr>
        <w:pStyle w:val="Footnotesection"/>
        <w:rPr>
          <w:ins w:id="123" w:author="svcMRProcess" w:date="2018-09-09T23:54:00Z"/>
        </w:rPr>
      </w:pPr>
      <w:ins w:id="124" w:author="svcMRProcess" w:date="2018-09-09T23:54:00Z">
        <w:r>
          <w:tab/>
          <w:t>[Section 17 amended by No. 39 of 2010 s. 87(3).]</w:t>
        </w:r>
      </w:ins>
    </w:p>
    <w:p>
      <w:pPr>
        <w:pStyle w:val="Heading5"/>
        <w:rPr>
          <w:snapToGrid w:val="0"/>
        </w:rPr>
      </w:pPr>
      <w:bookmarkStart w:id="125" w:name="_Toc278969588"/>
      <w:bookmarkStart w:id="126" w:name="_Toc274143438"/>
      <w:r>
        <w:rPr>
          <w:rStyle w:val="CharSectno"/>
        </w:rPr>
        <w:t>18</w:t>
      </w:r>
      <w:r>
        <w:rPr>
          <w:snapToGrid w:val="0"/>
        </w:rPr>
        <w:t>.</w:t>
      </w:r>
      <w:r>
        <w:rPr>
          <w:snapToGrid w:val="0"/>
        </w:rPr>
        <w:tab/>
        <w:t>Designation of executive officers</w:t>
      </w:r>
      <w:bookmarkEnd w:id="125"/>
      <w:bookmarkEnd w:id="126"/>
      <w:r>
        <w:rPr>
          <w:snapToGrid w:val="0"/>
        </w:rPr>
        <w:t xml:space="preserve"> </w:t>
      </w:r>
    </w:p>
    <w:p>
      <w:pPr>
        <w:pStyle w:val="Subsection"/>
        <w:rPr>
          <w:snapToGrid w:val="0"/>
        </w:rPr>
      </w:pPr>
      <w:r>
        <w:rPr>
          <w:snapToGrid w:val="0"/>
        </w:rPr>
        <w:tab/>
      </w:r>
      <w:r>
        <w:rPr>
          <w:snapToGrid w:val="0"/>
        </w:rPr>
        <w:tab/>
        <w:t>For the purposes of section 22, the board 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Heading5"/>
        <w:rPr>
          <w:snapToGrid w:val="0"/>
        </w:rPr>
      </w:pPr>
      <w:bookmarkStart w:id="127" w:name="_Toc278969589"/>
      <w:bookmarkStart w:id="128" w:name="_Toc274143439"/>
      <w:r>
        <w:rPr>
          <w:rStyle w:val="CharSectno"/>
        </w:rPr>
        <w:t>19</w:t>
      </w:r>
      <w:r>
        <w:rPr>
          <w:snapToGrid w:val="0"/>
        </w:rPr>
        <w:t>.</w:t>
      </w:r>
      <w:r>
        <w:rPr>
          <w:snapToGrid w:val="0"/>
        </w:rPr>
        <w:tab/>
        <w:t>Superannuation</w:t>
      </w:r>
      <w:bookmarkEnd w:id="127"/>
      <w:bookmarkEnd w:id="128"/>
      <w:r>
        <w:rPr>
          <w:snapToGrid w:val="0"/>
        </w:rPr>
        <w:t xml:space="preserve"> </w:t>
      </w:r>
    </w:p>
    <w:p>
      <w:pPr>
        <w:pStyle w:val="Subsection"/>
        <w:rPr>
          <w:snapToGrid w:val="0"/>
        </w:rPr>
      </w:pPr>
      <w:r>
        <w:rPr>
          <w:snapToGrid w:val="0"/>
        </w:rPr>
        <w:tab/>
        <w:t>(1)</w:t>
      </w:r>
      <w:r>
        <w:rPr>
          <w:snapToGrid w:val="0"/>
        </w:rPr>
        <w:tab/>
        <w:t>The corporation may grant, or make provision for the grant of, retirement benefits to members of staff 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t>The corporation 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r>
      <w:r>
        <w:rPr>
          <w:rStyle w:val="CharDefText"/>
        </w:rPr>
        <w:t xml:space="preserve">members of staff </w:t>
      </w:r>
      <w:r>
        <w:t xml:space="preserve"> 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in relation to the corporation or any member of staff.</w:t>
      </w:r>
    </w:p>
    <w:p>
      <w:pPr>
        <w:pStyle w:val="Footnotesection"/>
      </w:pPr>
      <w:r>
        <w:tab/>
        <w:t>[Section 19 amended by No. 43 of 2000 s. 70.]</w:t>
      </w:r>
    </w:p>
    <w:p>
      <w:pPr>
        <w:pStyle w:val="Heading3"/>
        <w:rPr>
          <w:snapToGrid w:val="0"/>
        </w:rPr>
      </w:pPr>
      <w:bookmarkStart w:id="129" w:name="_Toc189882993"/>
      <w:bookmarkStart w:id="130" w:name="_Toc200259689"/>
      <w:bookmarkStart w:id="131" w:name="_Toc200259895"/>
      <w:bookmarkStart w:id="132" w:name="_Toc200260101"/>
      <w:bookmarkStart w:id="133" w:name="_Toc200421961"/>
      <w:bookmarkStart w:id="134" w:name="_Toc201975877"/>
      <w:bookmarkStart w:id="135" w:name="_Toc201982013"/>
      <w:bookmarkStart w:id="136" w:name="_Toc202080777"/>
      <w:bookmarkStart w:id="137" w:name="_Toc202168286"/>
      <w:bookmarkStart w:id="138" w:name="_Toc203453851"/>
      <w:bookmarkStart w:id="139" w:name="_Toc268269777"/>
      <w:bookmarkStart w:id="140" w:name="_Toc274143440"/>
      <w:bookmarkStart w:id="141" w:name="_Toc278969590"/>
      <w:r>
        <w:rPr>
          <w:rStyle w:val="CharDivNo"/>
        </w:rPr>
        <w:t>Division 4</w:t>
      </w:r>
      <w:r>
        <w:rPr>
          <w:snapToGrid w:val="0"/>
        </w:rPr>
        <w:t> — </w:t>
      </w:r>
      <w:r>
        <w:rPr>
          <w:rStyle w:val="CharDivText"/>
        </w:rPr>
        <w:t>Duties of, and relating to, directors and staff</w:t>
      </w:r>
      <w:bookmarkEnd w:id="129"/>
      <w:bookmarkEnd w:id="130"/>
      <w:bookmarkEnd w:id="131"/>
      <w:bookmarkEnd w:id="132"/>
      <w:bookmarkEnd w:id="133"/>
      <w:bookmarkEnd w:id="134"/>
      <w:bookmarkEnd w:id="135"/>
      <w:bookmarkEnd w:id="136"/>
      <w:bookmarkEnd w:id="137"/>
      <w:bookmarkEnd w:id="138"/>
      <w:bookmarkEnd w:id="139"/>
      <w:bookmarkEnd w:id="140"/>
      <w:bookmarkEnd w:id="141"/>
    </w:p>
    <w:p>
      <w:pPr>
        <w:pStyle w:val="Heading5"/>
        <w:rPr>
          <w:snapToGrid w:val="0"/>
        </w:rPr>
      </w:pPr>
      <w:bookmarkStart w:id="142" w:name="_Toc278969591"/>
      <w:bookmarkStart w:id="143" w:name="_Toc274143441"/>
      <w:r>
        <w:rPr>
          <w:rStyle w:val="CharSectno"/>
        </w:rPr>
        <w:t>20</w:t>
      </w:r>
      <w:r>
        <w:rPr>
          <w:snapToGrid w:val="0"/>
        </w:rPr>
        <w:t>.</w:t>
      </w:r>
      <w:r>
        <w:rPr>
          <w:snapToGrid w:val="0"/>
        </w:rPr>
        <w:tab/>
        <w:t>Directors, duties of, and relating to (Sch. 2)</w:t>
      </w:r>
      <w:bookmarkEnd w:id="142"/>
      <w:bookmarkEnd w:id="143"/>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 directors;</w:t>
      </w:r>
    </w:p>
    <w:p>
      <w:pPr>
        <w:pStyle w:val="Indenta"/>
        <w:rPr>
          <w:snapToGrid w:val="0"/>
        </w:rPr>
      </w:pPr>
      <w:r>
        <w:rPr>
          <w:snapToGrid w:val="0"/>
        </w:rPr>
        <w:tab/>
        <w:t>(b)</w:t>
      </w:r>
      <w:r>
        <w:rPr>
          <w:snapToGrid w:val="0"/>
        </w:rPr>
        <w:tab/>
        <w:t>the duties of the corporation in respect of directors and related persons; and</w:t>
      </w:r>
    </w:p>
    <w:p>
      <w:pPr>
        <w:pStyle w:val="Indenta"/>
        <w:rPr>
          <w:snapToGrid w:val="0"/>
        </w:rPr>
      </w:pPr>
      <w:r>
        <w:rPr>
          <w:snapToGrid w:val="0"/>
        </w:rPr>
        <w:tab/>
        <w:t>(c)</w:t>
      </w:r>
      <w:r>
        <w:rPr>
          <w:snapToGrid w:val="0"/>
        </w:rPr>
        <w:tab/>
        <w:t>the other matters provided for in that Schedule.</w:t>
      </w:r>
    </w:p>
    <w:p>
      <w:pPr>
        <w:pStyle w:val="Heading5"/>
        <w:rPr>
          <w:snapToGrid w:val="0"/>
        </w:rPr>
      </w:pPr>
      <w:bookmarkStart w:id="144" w:name="_Toc278969592"/>
      <w:bookmarkStart w:id="145" w:name="_Toc274143442"/>
      <w:r>
        <w:rPr>
          <w:rStyle w:val="CharSectno"/>
        </w:rPr>
        <w:t>21</w:t>
      </w:r>
      <w:r>
        <w:rPr>
          <w:snapToGrid w:val="0"/>
        </w:rPr>
        <w:t>.</w:t>
      </w:r>
      <w:r>
        <w:rPr>
          <w:snapToGrid w:val="0"/>
        </w:rPr>
        <w:tab/>
        <w:t>Chief executive officer, duties imposed</w:t>
      </w:r>
      <w:bookmarkEnd w:id="144"/>
      <w:bookmarkEnd w:id="145"/>
      <w:r>
        <w:rPr>
          <w:snapToGrid w:val="0"/>
        </w:rPr>
        <w:t xml:space="preserve"> </w:t>
      </w:r>
    </w:p>
    <w:p>
      <w:pPr>
        <w:pStyle w:val="Subsection"/>
        <w:rPr>
          <w:snapToGrid w:val="0"/>
        </w:rPr>
      </w:pPr>
      <w:r>
        <w:rPr>
          <w:snapToGrid w:val="0"/>
        </w:rPr>
        <w:tab/>
        <w:t>(1)</w:t>
      </w:r>
      <w:r>
        <w:rPr>
          <w:snapToGrid w:val="0"/>
        </w:rPr>
        <w:tab/>
        <w:t>Clauses 2 to 11, 15 and 16 of Schedule 2 apply to the chief executive officer in his or her capacity as such in addition to their application to him or her in the capacity of director.</w:t>
      </w:r>
    </w:p>
    <w:p>
      <w:pPr>
        <w:pStyle w:val="Subsection"/>
        <w:rPr>
          <w:snapToGrid w:val="0"/>
        </w:rPr>
      </w:pPr>
      <w:r>
        <w:rPr>
          <w:snapToGrid w:val="0"/>
        </w:rPr>
        <w:tab/>
        <w:t>(2)</w:t>
      </w:r>
      <w:r>
        <w:rPr>
          <w:snapToGrid w:val="0"/>
        </w:rPr>
        <w:tab/>
        <w:t>Clauses 4 and 7 to 11 of Schedule 2 apply to a former chief executive officer in his or her capacity as such in addition to their application to him or her in the capacity of former director.</w:t>
      </w:r>
    </w:p>
    <w:p>
      <w:pPr>
        <w:pStyle w:val="Subsection"/>
        <w:rPr>
          <w:snapToGrid w:val="0"/>
        </w:rPr>
      </w:pPr>
      <w:r>
        <w:rPr>
          <w:snapToGrid w:val="0"/>
        </w:rPr>
        <w:tab/>
        <w:t>(3)</w:t>
      </w:r>
      <w:r>
        <w:rPr>
          <w:snapToGrid w:val="0"/>
        </w:rPr>
        <w:tab/>
        <w:t>This section and section 20 do not operate so as to make a chief executive officer or a former chief executive officer liable to be punished twice for the same act or omission.</w:t>
      </w:r>
    </w:p>
    <w:p>
      <w:pPr>
        <w:pStyle w:val="Heading5"/>
        <w:rPr>
          <w:snapToGrid w:val="0"/>
        </w:rPr>
      </w:pPr>
      <w:bookmarkStart w:id="146" w:name="_Toc278969593"/>
      <w:bookmarkStart w:id="147" w:name="_Toc274143443"/>
      <w:r>
        <w:rPr>
          <w:rStyle w:val="CharSectno"/>
        </w:rPr>
        <w:t>22</w:t>
      </w:r>
      <w:r>
        <w:rPr>
          <w:snapToGrid w:val="0"/>
        </w:rPr>
        <w:t>.</w:t>
      </w:r>
      <w:r>
        <w:rPr>
          <w:snapToGrid w:val="0"/>
        </w:rPr>
        <w:tab/>
        <w:t>Executive officers, duties imposed</w:t>
      </w:r>
      <w:bookmarkEnd w:id="146"/>
      <w:bookmarkEnd w:id="147"/>
      <w:r>
        <w:rPr>
          <w:snapToGrid w:val="0"/>
        </w:rPr>
        <w:t xml:space="preserve"> </w:t>
      </w:r>
    </w:p>
    <w:p>
      <w:pPr>
        <w:pStyle w:val="Subsection"/>
        <w:rPr>
          <w:snapToGrid w:val="0"/>
        </w:rPr>
      </w:pPr>
      <w:r>
        <w:rPr>
          <w:snapToGrid w:val="0"/>
        </w:rPr>
        <w:tab/>
        <w:t>(1)</w:t>
      </w:r>
      <w:r>
        <w:rPr>
          <w:snapToGrid w:val="0"/>
        </w:rPr>
        <w:tab/>
        <w:t>Clauses 2 to 5, 7 to 11, 15 and 16 of Schedule 2 apply to an executive officer as if references to a director were replaced by references to an executive officer.</w:t>
      </w:r>
    </w:p>
    <w:p>
      <w:pPr>
        <w:pStyle w:val="Subsection"/>
        <w:rPr>
          <w:snapToGrid w:val="0"/>
        </w:rPr>
      </w:pPr>
      <w:r>
        <w:rPr>
          <w:snapToGrid w:val="0"/>
        </w:rPr>
        <w:tab/>
        <w:t>(2)</w:t>
      </w:r>
      <w:r>
        <w:rPr>
          <w:snapToGrid w:val="0"/>
        </w:rPr>
        <w:tab/>
        <w:t>Clauses 4 and 7 to 11 of Schedule 2 apply to a former executive officer as if references to a former director were replaced by references to a former executive officer.</w:t>
      </w:r>
    </w:p>
    <w:p>
      <w:pPr>
        <w:pStyle w:val="Heading5"/>
        <w:rPr>
          <w:snapToGrid w:val="0"/>
        </w:rPr>
      </w:pPr>
      <w:bookmarkStart w:id="148" w:name="_Toc278969594"/>
      <w:bookmarkStart w:id="149" w:name="_Toc274143444"/>
      <w:r>
        <w:rPr>
          <w:rStyle w:val="CharSectno"/>
        </w:rPr>
        <w:t>23</w:t>
      </w:r>
      <w:r>
        <w:rPr>
          <w:snapToGrid w:val="0"/>
        </w:rPr>
        <w:t>.</w:t>
      </w:r>
      <w:r>
        <w:rPr>
          <w:snapToGrid w:val="0"/>
        </w:rPr>
        <w:tab/>
        <w:t>Members of staff, duties imposed</w:t>
      </w:r>
      <w:bookmarkEnd w:id="148"/>
      <w:bookmarkEnd w:id="149"/>
      <w:r>
        <w:rPr>
          <w:snapToGrid w:val="0"/>
        </w:rPr>
        <w:t xml:space="preserve"> </w:t>
      </w:r>
    </w:p>
    <w:p>
      <w:pPr>
        <w:pStyle w:val="Subsection"/>
        <w:rPr>
          <w:snapToGrid w:val="0"/>
        </w:rPr>
      </w:pPr>
      <w:r>
        <w:rPr>
          <w:snapToGrid w:val="0"/>
        </w:rPr>
        <w:tab/>
        <w:t>(1)</w:t>
      </w:r>
      <w:r>
        <w:rPr>
          <w:snapToGrid w:val="0"/>
        </w:rPr>
        <w:tab/>
        <w:t>Clauses 4, 5 and 7 to 11 of Schedule 2 apply to any person engaged under section 15, other than an executive officer, as if references to a director were replaced by references to a person so engaged.</w:t>
      </w:r>
    </w:p>
    <w:p>
      <w:pPr>
        <w:pStyle w:val="Subsection"/>
        <w:rPr>
          <w:snapToGrid w:val="0"/>
        </w:rPr>
      </w:pPr>
      <w:r>
        <w:rPr>
          <w:snapToGrid w:val="0"/>
        </w:rPr>
        <w:tab/>
        <w:t>(2)</w:t>
      </w:r>
      <w:r>
        <w:rPr>
          <w:snapToGrid w:val="0"/>
        </w:rPr>
        <w:tab/>
        <w:t>Clauses 4, 5 and 7 to 11 of Schedule 2 apply to a person formerly engaged under section 15, other than an executive officer, as if references to a former director were replaced by references to a person formerly so engaged.</w:t>
      </w:r>
    </w:p>
    <w:p>
      <w:pPr>
        <w:pStyle w:val="Heading5"/>
        <w:rPr>
          <w:snapToGrid w:val="0"/>
        </w:rPr>
      </w:pPr>
      <w:bookmarkStart w:id="150" w:name="_Toc278969595"/>
      <w:bookmarkStart w:id="151" w:name="_Toc274143445"/>
      <w:r>
        <w:rPr>
          <w:rStyle w:val="CharSectno"/>
        </w:rPr>
        <w:t>24</w:t>
      </w:r>
      <w:r>
        <w:rPr>
          <w:snapToGrid w:val="0"/>
        </w:rPr>
        <w:t>.</w:t>
      </w:r>
      <w:r>
        <w:rPr>
          <w:snapToGrid w:val="0"/>
        </w:rPr>
        <w:tab/>
        <w:t>Codes of conduct for staff</w:t>
      </w:r>
      <w:bookmarkEnd w:id="150"/>
      <w:bookmarkEnd w:id="151"/>
      <w:r>
        <w:rPr>
          <w:snapToGrid w:val="0"/>
        </w:rPr>
        <w:t xml:space="preserve"> </w:t>
      </w:r>
    </w:p>
    <w:p>
      <w:pPr>
        <w:pStyle w:val="Subsection"/>
        <w:rPr>
          <w:snapToGrid w:val="0"/>
        </w:rPr>
      </w:pPr>
      <w:r>
        <w:rPr>
          <w:snapToGrid w:val="0"/>
        </w:rPr>
        <w:tab/>
        <w:t>(1)</w:t>
      </w:r>
      <w:r>
        <w:rPr>
          <w:snapToGrid w:val="0"/>
        </w:rPr>
        <w:tab/>
        <w:t>The board must, after consultation with the</w:t>
      </w:r>
      <w:r>
        <w:t xml:space="preserve"> </w:t>
      </w:r>
      <w:del w:id="152" w:author="svcMRProcess" w:date="2018-09-09T23:54:00Z">
        <w:r>
          <w:rPr>
            <w:snapToGrid w:val="0"/>
          </w:rPr>
          <w:delText xml:space="preserve">Commissioner for </w:delText>
        </w:r>
      </w:del>
      <w:r>
        <w:t xml:space="preserve">Public Sector </w:t>
      </w:r>
      <w:del w:id="153" w:author="svcMRProcess" w:date="2018-09-09T23:54:00Z">
        <w:r>
          <w:rPr>
            <w:snapToGrid w:val="0"/>
          </w:rPr>
          <w:delText>Standards</w:delText>
        </w:r>
      </w:del>
      <w:ins w:id="154" w:author="svcMRProcess" w:date="2018-09-09T23:54:00Z">
        <w:r>
          <w:t>Commissioner</w:t>
        </w:r>
      </w:ins>
      <w:r>
        <w:rPr>
          <w:snapToGrid w:val="0"/>
        </w:rPr>
        <w:t>, prepare and issue a code or codes of conduct setting out minimum standards of conduct and integrity to be observed by members of staff.</w:t>
      </w:r>
    </w:p>
    <w:p>
      <w:pPr>
        <w:pStyle w:val="Subsection"/>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board may, after consultation with the</w:t>
      </w:r>
      <w:r>
        <w:t xml:space="preserve"> </w:t>
      </w:r>
      <w:del w:id="155" w:author="svcMRProcess" w:date="2018-09-09T23:54:00Z">
        <w:r>
          <w:rPr>
            <w:snapToGrid w:val="0"/>
          </w:rPr>
          <w:delText xml:space="preserve">Commissioner for </w:delText>
        </w:r>
      </w:del>
      <w:r>
        <w:t xml:space="preserve">Public Sector </w:t>
      </w:r>
      <w:del w:id="156" w:author="svcMRProcess" w:date="2018-09-09T23:54:00Z">
        <w:r>
          <w:rPr>
            <w:snapToGrid w:val="0"/>
          </w:rPr>
          <w:delText>Standards</w:delText>
        </w:r>
      </w:del>
      <w:ins w:id="157" w:author="svcMRProcess" w:date="2018-09-09T23:54:00Z">
        <w:r>
          <w:t>Commissioner</w:t>
        </w:r>
      </w:ins>
      <w:r>
        <w:rPr>
          <w:snapToGrid w:val="0"/>
        </w:rPr>
        <w:t>, amend any code of conduct in force under subsection (1) or revoke it and substitute a new code of conduct.</w:t>
      </w:r>
    </w:p>
    <w:p>
      <w:pPr>
        <w:pStyle w:val="Subsection"/>
        <w:rPr>
          <w:snapToGrid w:val="0"/>
        </w:rPr>
      </w:pPr>
      <w:r>
        <w:rPr>
          <w:snapToGrid w:val="0"/>
        </w:rPr>
        <w:tab/>
        <w:t>(4)</w:t>
      </w:r>
      <w:r>
        <w:rPr>
          <w:snapToGrid w:val="0"/>
        </w:rPr>
        <w:tab/>
        <w:t>In this section and in sections 25 and 26 — </w:t>
      </w:r>
    </w:p>
    <w:p>
      <w:pPr>
        <w:pStyle w:val="Defstart"/>
      </w:pPr>
      <w:r>
        <w:rPr>
          <w:b/>
        </w:rPr>
        <w:tab/>
      </w:r>
      <w:r>
        <w:rPr>
          <w:rStyle w:val="CharDefText"/>
        </w:rPr>
        <w:t xml:space="preserve">members of staff </w:t>
      </w:r>
      <w:r>
        <w:t xml:space="preserve"> includes the chief executive officer.</w:t>
      </w:r>
    </w:p>
    <w:p>
      <w:pPr>
        <w:pStyle w:val="Footnotesection"/>
        <w:rPr>
          <w:ins w:id="158" w:author="svcMRProcess" w:date="2018-09-09T23:54:00Z"/>
        </w:rPr>
      </w:pPr>
      <w:ins w:id="159" w:author="svcMRProcess" w:date="2018-09-09T23:54:00Z">
        <w:r>
          <w:tab/>
          <w:t>[Section 24 amended by No. 39 of 2010 s. 87(3).]</w:t>
        </w:r>
      </w:ins>
    </w:p>
    <w:p>
      <w:pPr>
        <w:pStyle w:val="Heading5"/>
        <w:rPr>
          <w:snapToGrid w:val="0"/>
        </w:rPr>
      </w:pPr>
      <w:bookmarkStart w:id="160" w:name="_Toc274143446"/>
      <w:bookmarkStart w:id="161" w:name="_Toc278969596"/>
      <w:r>
        <w:rPr>
          <w:rStyle w:val="CharSectno"/>
        </w:rPr>
        <w:t>25</w:t>
      </w:r>
      <w:r>
        <w:rPr>
          <w:snapToGrid w:val="0"/>
        </w:rPr>
        <w:t>.</w:t>
      </w:r>
      <w:r>
        <w:rPr>
          <w:snapToGrid w:val="0"/>
        </w:rPr>
        <w:tab/>
        <w:t xml:space="preserve">Reports to </w:t>
      </w:r>
      <w:del w:id="162" w:author="svcMRProcess" w:date="2018-09-09T23:54:00Z">
        <w:r>
          <w:rPr>
            <w:snapToGrid w:val="0"/>
          </w:rPr>
          <w:delText xml:space="preserve">Commissioner for </w:delText>
        </w:r>
      </w:del>
      <w:r>
        <w:rPr>
          <w:snapToGrid w:val="0"/>
        </w:rPr>
        <w:t xml:space="preserve">Public Sector </w:t>
      </w:r>
      <w:del w:id="163" w:author="svcMRProcess" w:date="2018-09-09T23:54:00Z">
        <w:r>
          <w:rPr>
            <w:snapToGrid w:val="0"/>
          </w:rPr>
          <w:delText>Standards</w:delText>
        </w:r>
        <w:bookmarkEnd w:id="160"/>
        <w:r>
          <w:rPr>
            <w:snapToGrid w:val="0"/>
          </w:rPr>
          <w:delText xml:space="preserve"> </w:delText>
        </w:r>
      </w:del>
      <w:ins w:id="164" w:author="svcMRProcess" w:date="2018-09-09T23:54:00Z">
        <w:r>
          <w:rPr>
            <w:snapToGrid w:val="0"/>
          </w:rPr>
          <w:t>Commissioner</w:t>
        </w:r>
      </w:ins>
      <w:bookmarkEnd w:id="161"/>
    </w:p>
    <w:p>
      <w:pPr>
        <w:pStyle w:val="Subsection"/>
        <w:rPr>
          <w:snapToGrid w:val="0"/>
        </w:rPr>
      </w:pPr>
      <w:r>
        <w:rPr>
          <w:snapToGrid w:val="0"/>
        </w:rPr>
        <w:tab/>
        <w:t>(1)</w:t>
      </w:r>
      <w:r>
        <w:rPr>
          <w:snapToGrid w:val="0"/>
        </w:rPr>
        <w:tab/>
        <w:t xml:space="preserve">The </w:t>
      </w:r>
      <w:del w:id="165" w:author="svcMRProcess" w:date="2018-09-09T23:54:00Z">
        <w:r>
          <w:rPr>
            <w:snapToGrid w:val="0"/>
          </w:rPr>
          <w:delText xml:space="preserve">Commissioner for </w:delText>
        </w:r>
      </w:del>
      <w:r>
        <w:t xml:space="preserve">Public Sector </w:t>
      </w:r>
      <w:del w:id="166" w:author="svcMRProcess" w:date="2018-09-09T23:54:00Z">
        <w:r>
          <w:rPr>
            <w:snapToGrid w:val="0"/>
          </w:rPr>
          <w:delText>Standards</w:delText>
        </w:r>
      </w:del>
      <w:ins w:id="167" w:author="svcMRProcess" w:date="2018-09-09T23:54:00Z">
        <w:r>
          <w:t>Commissioner</w:t>
        </w:r>
      </w:ins>
      <w:r>
        <w:rPr>
          <w:snapToGrid w:val="0"/>
        </w:rPr>
        <w:t xml:space="preserve"> may in writing require the board — </w:t>
      </w:r>
    </w:p>
    <w:p>
      <w:pPr>
        <w:pStyle w:val="Indenta"/>
        <w:rPr>
          <w:snapToGrid w:val="0"/>
        </w:rPr>
      </w:pPr>
      <w:r>
        <w:rPr>
          <w:snapToGrid w:val="0"/>
        </w:rPr>
        <w:tab/>
        <w:t>(a)</w:t>
      </w:r>
      <w:r>
        <w:rPr>
          <w:snapToGrid w:val="0"/>
        </w:rPr>
        <w:tab/>
        <w:t>to report to him or her on the observance by members of staff of any code of conduct in force under section 24;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del w:id="168" w:author="svcMRProcess" w:date="2018-09-09T23:54:00Z">
        <w:r>
          <w:rPr>
            <w:snapToGrid w:val="0"/>
          </w:rPr>
          <w:delText xml:space="preserve">Commissioner for </w:delText>
        </w:r>
      </w:del>
      <w:r>
        <w:t xml:space="preserve">Public Sector </w:t>
      </w:r>
      <w:del w:id="169" w:author="svcMRProcess" w:date="2018-09-09T23:54:00Z">
        <w:r>
          <w:rPr>
            <w:snapToGrid w:val="0"/>
          </w:rPr>
          <w:delText>Standards</w:delText>
        </w:r>
      </w:del>
      <w:ins w:id="170" w:author="svcMRProcess" w:date="2018-09-09T23:54:00Z">
        <w:r>
          <w:t>Commissioner</w:t>
        </w:r>
      </w:ins>
      <w:r>
        <w:rPr>
          <w:snapToGrid w:val="0"/>
        </w:rPr>
        <w:t xml:space="preserve"> may at any time report to the Minister on any matter relating to the observance by members of staff of a code of conduct in force under section 24 that the Commissioner thinks should be brought to the Minister’s attention.</w:t>
      </w:r>
    </w:p>
    <w:p>
      <w:pPr>
        <w:pStyle w:val="Footnotesection"/>
        <w:rPr>
          <w:ins w:id="171" w:author="svcMRProcess" w:date="2018-09-09T23:54:00Z"/>
        </w:rPr>
      </w:pPr>
      <w:ins w:id="172" w:author="svcMRProcess" w:date="2018-09-09T23:54:00Z">
        <w:r>
          <w:tab/>
          <w:t>[Section 25 amended by No. 39 of 2010 s. 87(3).]</w:t>
        </w:r>
      </w:ins>
    </w:p>
    <w:p>
      <w:pPr>
        <w:pStyle w:val="Heading5"/>
        <w:rPr>
          <w:snapToGrid w:val="0"/>
        </w:rPr>
      </w:pPr>
      <w:bookmarkStart w:id="173" w:name="_Toc278969597"/>
      <w:bookmarkStart w:id="174" w:name="_Toc274143447"/>
      <w:r>
        <w:rPr>
          <w:rStyle w:val="CharSectno"/>
        </w:rPr>
        <w:t>26</w:t>
      </w:r>
      <w:r>
        <w:rPr>
          <w:snapToGrid w:val="0"/>
        </w:rPr>
        <w:t>.</w:t>
      </w:r>
      <w:r>
        <w:rPr>
          <w:snapToGrid w:val="0"/>
        </w:rPr>
        <w:tab/>
        <w:t>Reports to Minister</w:t>
      </w:r>
      <w:bookmarkEnd w:id="173"/>
      <w:bookmarkEnd w:id="174"/>
      <w:r>
        <w:rPr>
          <w:snapToGrid w:val="0"/>
        </w:rPr>
        <w:t xml:space="preserve"> </w:t>
      </w:r>
    </w:p>
    <w:p>
      <w:pPr>
        <w:pStyle w:val="Subsection"/>
        <w:rPr>
          <w:snapToGrid w:val="0"/>
        </w:rPr>
      </w:pPr>
      <w:r>
        <w:rPr>
          <w:snapToGrid w:val="0"/>
        </w:rPr>
        <w:tab/>
        <w:t>(1)</w:t>
      </w:r>
      <w:r>
        <w:rPr>
          <w:snapToGrid w:val="0"/>
        </w:rPr>
        <w:tab/>
        <w:t>The board,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 xml:space="preserve">The board is to give to the </w:t>
      </w:r>
      <w:del w:id="175" w:author="svcMRProcess" w:date="2018-09-09T23:54:00Z">
        <w:r>
          <w:rPr>
            <w:snapToGrid w:val="0"/>
          </w:rPr>
          <w:delText xml:space="preserve">Commissioner for </w:delText>
        </w:r>
      </w:del>
      <w:r>
        <w:t xml:space="preserve">Public Sector </w:t>
      </w:r>
      <w:del w:id="176" w:author="svcMRProcess" w:date="2018-09-09T23:54:00Z">
        <w:r>
          <w:rPr>
            <w:snapToGrid w:val="0"/>
          </w:rPr>
          <w:delText>Standards</w:delText>
        </w:r>
      </w:del>
      <w:ins w:id="177" w:author="svcMRProcess" w:date="2018-09-09T23:54:00Z">
        <w:r>
          <w:t>Commissioner</w:t>
        </w:r>
      </w:ins>
      <w:r>
        <w:rPr>
          <w:snapToGrid w:val="0"/>
        </w:rPr>
        <w:t xml:space="preserve"> a copy of each report under subsection (1).</w:t>
      </w:r>
    </w:p>
    <w:p>
      <w:pPr>
        <w:pStyle w:val="Footnotesection"/>
        <w:rPr>
          <w:ins w:id="178" w:author="svcMRProcess" w:date="2018-09-09T23:54:00Z"/>
        </w:rPr>
      </w:pPr>
      <w:ins w:id="179" w:author="svcMRProcess" w:date="2018-09-09T23:54:00Z">
        <w:r>
          <w:tab/>
          <w:t>[Section 26 amended by No. 39 of 2010 s. 87(3).]</w:t>
        </w:r>
      </w:ins>
    </w:p>
    <w:p>
      <w:pPr>
        <w:pStyle w:val="Heading2"/>
      </w:pPr>
      <w:bookmarkStart w:id="180" w:name="_Toc189883001"/>
      <w:bookmarkStart w:id="181" w:name="_Toc200259697"/>
      <w:bookmarkStart w:id="182" w:name="_Toc200259903"/>
      <w:bookmarkStart w:id="183" w:name="_Toc200260109"/>
      <w:bookmarkStart w:id="184" w:name="_Toc200421969"/>
      <w:bookmarkStart w:id="185" w:name="_Toc201975885"/>
      <w:bookmarkStart w:id="186" w:name="_Toc201982021"/>
      <w:bookmarkStart w:id="187" w:name="_Toc202080785"/>
      <w:bookmarkStart w:id="188" w:name="_Toc202168294"/>
      <w:bookmarkStart w:id="189" w:name="_Toc203453859"/>
      <w:bookmarkStart w:id="190" w:name="_Toc268269785"/>
      <w:bookmarkStart w:id="191" w:name="_Toc274143448"/>
      <w:bookmarkStart w:id="192" w:name="_Toc278969598"/>
      <w:r>
        <w:rPr>
          <w:rStyle w:val="CharPartNo"/>
        </w:rPr>
        <w:t>Part 3</w:t>
      </w:r>
      <w:r>
        <w:t> — </w:t>
      </w:r>
      <w:r>
        <w:rPr>
          <w:rStyle w:val="CharPartText"/>
        </w:rPr>
        <w:t>Functions and powers</w:t>
      </w:r>
      <w:bookmarkEnd w:id="180"/>
      <w:bookmarkEnd w:id="181"/>
      <w:bookmarkEnd w:id="182"/>
      <w:bookmarkEnd w:id="183"/>
      <w:bookmarkEnd w:id="184"/>
      <w:bookmarkEnd w:id="185"/>
      <w:bookmarkEnd w:id="186"/>
      <w:bookmarkEnd w:id="187"/>
      <w:bookmarkEnd w:id="188"/>
      <w:bookmarkEnd w:id="189"/>
      <w:bookmarkEnd w:id="190"/>
      <w:bookmarkEnd w:id="191"/>
      <w:bookmarkEnd w:id="192"/>
      <w:r>
        <w:rPr>
          <w:rStyle w:val="CharPartText"/>
        </w:rPr>
        <w:t xml:space="preserve"> </w:t>
      </w:r>
    </w:p>
    <w:p>
      <w:pPr>
        <w:pStyle w:val="Heading3"/>
        <w:rPr>
          <w:snapToGrid w:val="0"/>
        </w:rPr>
      </w:pPr>
      <w:bookmarkStart w:id="193" w:name="_Toc189883002"/>
      <w:bookmarkStart w:id="194" w:name="_Toc200259698"/>
      <w:bookmarkStart w:id="195" w:name="_Toc200259904"/>
      <w:bookmarkStart w:id="196" w:name="_Toc200260110"/>
      <w:bookmarkStart w:id="197" w:name="_Toc200421970"/>
      <w:bookmarkStart w:id="198" w:name="_Toc201975886"/>
      <w:bookmarkStart w:id="199" w:name="_Toc201982022"/>
      <w:bookmarkStart w:id="200" w:name="_Toc202080786"/>
      <w:bookmarkStart w:id="201" w:name="_Toc202168295"/>
      <w:bookmarkStart w:id="202" w:name="_Toc203453860"/>
      <w:bookmarkStart w:id="203" w:name="_Toc268269786"/>
      <w:bookmarkStart w:id="204" w:name="_Toc274143449"/>
      <w:bookmarkStart w:id="205" w:name="_Toc278969599"/>
      <w:r>
        <w:rPr>
          <w:rStyle w:val="CharDivNo"/>
        </w:rPr>
        <w:t>Division 1</w:t>
      </w:r>
      <w:r>
        <w:rPr>
          <w:snapToGrid w:val="0"/>
        </w:rPr>
        <w:t> — </w:t>
      </w:r>
      <w:r>
        <w:rPr>
          <w:rStyle w:val="CharDivText"/>
        </w:rPr>
        <w:t>Functions, powers and related provisions</w:t>
      </w:r>
      <w:bookmarkEnd w:id="193"/>
      <w:bookmarkEnd w:id="194"/>
      <w:bookmarkEnd w:id="195"/>
      <w:bookmarkEnd w:id="196"/>
      <w:bookmarkEnd w:id="197"/>
      <w:bookmarkEnd w:id="198"/>
      <w:bookmarkEnd w:id="199"/>
      <w:bookmarkEnd w:id="200"/>
      <w:bookmarkEnd w:id="201"/>
      <w:bookmarkEnd w:id="202"/>
      <w:bookmarkEnd w:id="203"/>
      <w:bookmarkEnd w:id="204"/>
      <w:bookmarkEnd w:id="205"/>
      <w:r>
        <w:rPr>
          <w:rStyle w:val="CharDivText"/>
        </w:rPr>
        <w:t xml:space="preserve"> </w:t>
      </w:r>
    </w:p>
    <w:p>
      <w:pPr>
        <w:pStyle w:val="Heading5"/>
        <w:rPr>
          <w:snapToGrid w:val="0"/>
        </w:rPr>
      </w:pPr>
      <w:bookmarkStart w:id="206" w:name="_Toc278969600"/>
      <w:bookmarkStart w:id="207" w:name="_Toc274143450"/>
      <w:r>
        <w:rPr>
          <w:rStyle w:val="CharSectno"/>
        </w:rPr>
        <w:t>27</w:t>
      </w:r>
      <w:r>
        <w:rPr>
          <w:snapToGrid w:val="0"/>
        </w:rPr>
        <w:t>.</w:t>
      </w:r>
      <w:r>
        <w:rPr>
          <w:snapToGrid w:val="0"/>
        </w:rPr>
        <w:tab/>
        <w:t>Functions of corporation</w:t>
      </w:r>
      <w:bookmarkEnd w:id="206"/>
      <w:bookmarkEnd w:id="207"/>
      <w:r>
        <w:rPr>
          <w:snapToGrid w:val="0"/>
        </w:rPr>
        <w:t xml:space="preserve"> </w:t>
      </w:r>
    </w:p>
    <w:p>
      <w:pPr>
        <w:pStyle w:val="Subsection"/>
        <w:rPr>
          <w:snapToGrid w:val="0"/>
        </w:rPr>
      </w:pPr>
      <w:r>
        <w:rPr>
          <w:snapToGrid w:val="0"/>
        </w:rPr>
        <w:tab/>
        <w:t>(1)</w:t>
      </w:r>
      <w:r>
        <w:rPr>
          <w:snapToGrid w:val="0"/>
        </w:rPr>
        <w:tab/>
        <w:t>The functions of the corporation 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It is also a function of the corporation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rPr>
          <w:snapToGrid w:val="0"/>
        </w:rPr>
      </w:pPr>
      <w:r>
        <w:rPr>
          <w:snapToGrid w:val="0"/>
        </w:rPr>
        <w:tab/>
        <w:t>(3)</w:t>
      </w:r>
      <w:r>
        <w:rPr>
          <w:snapToGrid w:val="0"/>
        </w:rPr>
        <w:tab/>
        <w:t xml:space="preserve">Where the performance of any of the corporation’s functions referred to in subsection (1)(a) or (b) requires that the corporation hold a licence under the </w:t>
      </w:r>
      <w:r>
        <w:rPr>
          <w:i/>
          <w:snapToGrid w:val="0"/>
        </w:rPr>
        <w:t>Water Services Licensing Act 1995</w:t>
      </w:r>
      <w:r>
        <w:rPr>
          <w:snapToGrid w:val="0"/>
        </w:rPr>
        <w:t>, the corporation may only perform that function in accordance with the terms and conditions of such a licence.</w:t>
      </w:r>
    </w:p>
    <w:p>
      <w:pPr>
        <w:pStyle w:val="Subsection"/>
        <w:rPr>
          <w:snapToGrid w:val="0"/>
        </w:rPr>
      </w:pPr>
      <w:r>
        <w:rPr>
          <w:snapToGrid w:val="0"/>
        </w:rPr>
        <w:tab/>
        <w:t>(4)</w:t>
      </w:r>
      <w:r>
        <w:rPr>
          <w:snapToGrid w:val="0"/>
        </w:rPr>
        <w:tab/>
        <w:t>The corporation may perform any of its functions in the State or elsewhere.</w:t>
      </w:r>
    </w:p>
    <w:p>
      <w:pPr>
        <w:pStyle w:val="Subsection"/>
        <w:rPr>
          <w:snapToGrid w:val="0"/>
        </w:rPr>
      </w:pPr>
      <w:r>
        <w:rPr>
          <w:snapToGrid w:val="0"/>
        </w:rPr>
        <w:tab/>
        <w:t>(5)</w:t>
      </w:r>
      <w:r>
        <w:rPr>
          <w:snapToGrid w:val="0"/>
        </w:rPr>
        <w:tab/>
        <w:t>This section or section 28 does not impose on the corporation any duty to perform any function that is enforceable by proceedings in a court.</w:t>
      </w:r>
    </w:p>
    <w:p>
      <w:pPr>
        <w:pStyle w:val="Subsection"/>
        <w:rPr>
          <w:snapToGrid w:val="0"/>
        </w:rPr>
      </w:pPr>
      <w:r>
        <w:rPr>
          <w:snapToGrid w:val="0"/>
        </w:rPr>
        <w:tab/>
        <w:t>(6)</w:t>
      </w:r>
      <w:r>
        <w:rPr>
          <w:snapToGrid w:val="0"/>
        </w:rPr>
        <w:tab/>
        <w:t>Subsection (5) does not apply to any direction given under this Act by the Minister.</w:t>
      </w:r>
    </w:p>
    <w:p>
      <w:pPr>
        <w:pStyle w:val="Subsection"/>
        <w:rPr>
          <w:snapToGrid w:val="0"/>
        </w:rPr>
      </w:pPr>
      <w:r>
        <w:rPr>
          <w:snapToGrid w:val="0"/>
        </w:rPr>
        <w:tab/>
        <w:t>(7)</w:t>
      </w:r>
      <w:r>
        <w:rPr>
          <w:snapToGrid w:val="0"/>
        </w:rPr>
        <w:tab/>
        <w:t>In subsection (1) — </w:t>
      </w:r>
    </w:p>
    <w:p>
      <w:pPr>
        <w:pStyle w:val="Defstart"/>
      </w:pPr>
      <w:r>
        <w:rPr>
          <w:b/>
        </w:rPr>
        <w:tab/>
      </w:r>
      <w:r>
        <w:rPr>
          <w:rStyle w:val="CharDefText"/>
        </w:rPr>
        <w:t>surplus water</w:t>
      </w:r>
      <w:r>
        <w:t xml:space="preserve"> means storm water, surface water or underground water which accumulates or may accumulate to the detriment or disadvantage of any person;</w:t>
      </w:r>
    </w:p>
    <w:p>
      <w:pPr>
        <w:pStyle w:val="Defstart"/>
      </w:pPr>
      <w:r>
        <w:rPr>
          <w:b/>
        </w:rPr>
        <w:tab/>
      </w:r>
      <w:r>
        <w:rPr>
          <w:rStyle w:val="CharDefText"/>
        </w:rPr>
        <w:t>wastewater</w:t>
      </w:r>
      <w:r>
        <w:t xml:space="preserve"> means liquid waste, whether domestic or otherwise, and includes faecal matter and urine.</w:t>
      </w:r>
    </w:p>
    <w:p>
      <w:pPr>
        <w:pStyle w:val="Footnotesection"/>
      </w:pPr>
      <w:r>
        <w:tab/>
        <w:t>[Section 27 amended by No. 67 of 2003 s. 62.]</w:t>
      </w:r>
    </w:p>
    <w:p>
      <w:pPr>
        <w:pStyle w:val="Heading5"/>
        <w:rPr>
          <w:snapToGrid w:val="0"/>
        </w:rPr>
      </w:pPr>
      <w:bookmarkStart w:id="208" w:name="_Toc278969601"/>
      <w:bookmarkStart w:id="209" w:name="_Toc274143451"/>
      <w:r>
        <w:rPr>
          <w:rStyle w:val="CharSectno"/>
        </w:rPr>
        <w:t>28</w:t>
      </w:r>
      <w:r>
        <w:rPr>
          <w:snapToGrid w:val="0"/>
        </w:rPr>
        <w:t>.</w:t>
      </w:r>
      <w:r>
        <w:rPr>
          <w:snapToGrid w:val="0"/>
        </w:rPr>
        <w:tab/>
        <w:t>Corporation to act in accordance with policy instruments</w:t>
      </w:r>
      <w:bookmarkEnd w:id="208"/>
      <w:bookmarkEnd w:id="209"/>
      <w:r>
        <w:rPr>
          <w:snapToGrid w:val="0"/>
        </w:rPr>
        <w:t xml:space="preserve"> </w:t>
      </w:r>
    </w:p>
    <w:p>
      <w:pPr>
        <w:pStyle w:val="Subsection"/>
        <w:rPr>
          <w:snapToGrid w:val="0"/>
        </w:rPr>
      </w:pPr>
      <w:r>
        <w:rPr>
          <w:snapToGrid w:val="0"/>
        </w:rPr>
        <w:tab/>
      </w:r>
      <w:r>
        <w:rPr>
          <w:snapToGrid w:val="0"/>
        </w:rPr>
        <w:tab/>
        <w:t>The corporation must perform its functions in accordance with its strategic development plan and its statement of corporate intent as existing from time to time.</w:t>
      </w:r>
    </w:p>
    <w:p>
      <w:pPr>
        <w:pStyle w:val="Heading5"/>
        <w:rPr>
          <w:snapToGrid w:val="0"/>
        </w:rPr>
      </w:pPr>
      <w:bookmarkStart w:id="210" w:name="_Toc278969602"/>
      <w:bookmarkStart w:id="211" w:name="_Toc274143452"/>
      <w:r>
        <w:rPr>
          <w:rStyle w:val="CharSectno"/>
        </w:rPr>
        <w:t>29</w:t>
      </w:r>
      <w:r>
        <w:rPr>
          <w:snapToGrid w:val="0"/>
        </w:rPr>
        <w:t>.</w:t>
      </w:r>
      <w:r>
        <w:rPr>
          <w:snapToGrid w:val="0"/>
        </w:rPr>
        <w:tab/>
        <w:t>Powers of corporation</w:t>
      </w:r>
      <w:bookmarkEnd w:id="210"/>
      <w:bookmarkEnd w:id="211"/>
      <w:r>
        <w:rPr>
          <w:snapToGrid w:val="0"/>
        </w:rPr>
        <w:t xml:space="preserve"> </w:t>
      </w:r>
    </w:p>
    <w:p>
      <w:pPr>
        <w:pStyle w:val="Subsection"/>
        <w:rPr>
          <w:snapToGrid w:val="0"/>
        </w:rPr>
      </w:pPr>
      <w:r>
        <w:rPr>
          <w:snapToGrid w:val="0"/>
        </w:rPr>
        <w:tab/>
        <w:t>(1)</w:t>
      </w:r>
      <w:r>
        <w:rPr>
          <w:snapToGrid w:val="0"/>
        </w:rPr>
        <w:tab/>
        <w:t>The corporation may do all things necessary or convenient to be done for or in connection with the performance of its functions.</w:t>
      </w:r>
    </w:p>
    <w:p>
      <w:pPr>
        <w:pStyle w:val="Subsection"/>
        <w:rPr>
          <w:snapToGrid w:val="0"/>
        </w:rPr>
      </w:pPr>
      <w:r>
        <w:rPr>
          <w:snapToGrid w:val="0"/>
        </w:rPr>
        <w:tab/>
        <w:t>(2)</w:t>
      </w:r>
      <w:r>
        <w:rPr>
          <w:snapToGrid w:val="0"/>
        </w:rPr>
        <w:tab/>
        <w:t>Without limiting subsection (1) or the other powers conferred on the corporation by this Act or any other Act, the corporation may for the purpose of performing any function — </w:t>
      </w:r>
    </w:p>
    <w:p>
      <w:pPr>
        <w:pStyle w:val="Indenta"/>
        <w:rPr>
          <w:snapToGrid w:val="0"/>
        </w:rPr>
      </w:pPr>
      <w:r>
        <w:rPr>
          <w:snapToGrid w:val="0"/>
        </w:rPr>
        <w:tab/>
        <w:t>(a)</w:t>
      </w:r>
      <w:r>
        <w:rPr>
          <w:snapToGrid w:val="0"/>
        </w:rPr>
        <w:tab/>
        <w:t>acquire, hold, manage, improve, develop and dispose of any real or personal property;</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w:t>
      </w:r>
    </w:p>
    <w:p>
      <w:pPr>
        <w:pStyle w:val="Indenta"/>
        <w:rPr>
          <w:snapToGrid w:val="0"/>
        </w:rPr>
      </w:pPr>
      <w:r>
        <w:rPr>
          <w:snapToGrid w:val="0"/>
        </w:rPr>
        <w:tab/>
        <w:t>(c)</w:t>
      </w:r>
      <w:r>
        <w:rPr>
          <w:snapToGrid w:val="0"/>
        </w:rPr>
        <w:tab/>
        <w:t>apply for the grant of any licence or other authority required by the corporation;</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w:t>
      </w:r>
    </w:p>
    <w:p>
      <w:pPr>
        <w:pStyle w:val="Indenta"/>
        <w:rPr>
          <w:snapToGrid w:val="0"/>
        </w:rPr>
      </w:pPr>
      <w:r>
        <w:rPr>
          <w:snapToGrid w:val="0"/>
        </w:rPr>
        <w:tab/>
        <w:t>(h)</w:t>
      </w:r>
      <w:r>
        <w:rPr>
          <w:snapToGrid w:val="0"/>
        </w:rPr>
        <w:tab/>
        <w:t>carry out any investigation, survey, exploration or boring;</w:t>
      </w:r>
    </w:p>
    <w:p>
      <w:pPr>
        <w:pStyle w:val="Indenta"/>
        <w:rPr>
          <w:snapToGrid w:val="0"/>
        </w:rPr>
      </w:pPr>
      <w:r>
        <w:rPr>
          <w:snapToGrid w:val="0"/>
        </w:rPr>
        <w:tab/>
        <w:t>(i)</w:t>
      </w:r>
      <w:r>
        <w:rPr>
          <w:snapToGrid w:val="0"/>
        </w:rPr>
        <w:tab/>
        <w:t>collaborate in, carry out, or procure the carrying out of, research and publish information that results from the research;</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keepNext/>
        <w:rPr>
          <w:snapToGrid w:val="0"/>
        </w:rPr>
      </w:pPr>
      <w:r>
        <w:rPr>
          <w:snapToGrid w:val="0"/>
        </w:rPr>
        <w:tab/>
        <w:t>(3)</w:t>
      </w:r>
      <w:r>
        <w:rPr>
          <w:snapToGrid w:val="0"/>
        </w:rPr>
        <w:tab/>
        <w:t>The corporation 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rPr>
          <w:snapToGrid w:val="0"/>
        </w:rPr>
      </w:pPr>
      <w:r>
        <w:rPr>
          <w:snapToGrid w:val="0"/>
        </w:rPr>
        <w:tab/>
        <w:t>(4)</w:t>
      </w:r>
      <w:r>
        <w:rPr>
          <w:snapToGrid w:val="0"/>
        </w:rPr>
        <w:tab/>
        <w:t xml:space="preserve">If the generality of any power conferred on the corporation by this Act is restricted by any provision of the </w:t>
      </w:r>
      <w:r>
        <w:rPr>
          <w:i/>
          <w:snapToGrid w:val="0"/>
        </w:rPr>
        <w:t>Water Agencies (Powers) Act 1984</w:t>
      </w:r>
      <w:r>
        <w:rPr>
          <w:snapToGrid w:val="0"/>
        </w:rPr>
        <w:t xml:space="preserve"> or of a relevant Act within the meaning of that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r>
      <w:r>
        <w:rPr>
          <w:rStyle w:val="CharDefText"/>
        </w:rPr>
        <w:t>business arrangement</w:t>
      </w:r>
      <w:r>
        <w:t xml:space="preserve"> means a company, a partnership, a trust, a joint venture, or an arrangement for sharing profits;</w:t>
      </w:r>
    </w:p>
    <w:p>
      <w:pPr>
        <w:pStyle w:val="Defstart"/>
      </w:pPr>
      <w:r>
        <w:rPr>
          <w:b/>
        </w:rPr>
        <w:tab/>
      </w:r>
      <w:r>
        <w:rPr>
          <w:rStyle w:val="CharDefText"/>
        </w:rPr>
        <w:t>participate</w:t>
      </w:r>
      <w:r>
        <w:t xml:space="preserve"> includes form, promote, establish, enter, manage, dissolve, wind up, and do anything incidental to participating in a business arrangement.</w:t>
      </w:r>
    </w:p>
    <w:p>
      <w:pPr>
        <w:pStyle w:val="Footnotesection"/>
      </w:pPr>
      <w:r>
        <w:tab/>
        <w:t>[Section 29 amended by No. 10 of 1998 s. 73(2).]</w:t>
      </w:r>
    </w:p>
    <w:p>
      <w:pPr>
        <w:pStyle w:val="Heading5"/>
        <w:rPr>
          <w:snapToGrid w:val="0"/>
        </w:rPr>
      </w:pPr>
      <w:bookmarkStart w:id="212" w:name="_Toc278969603"/>
      <w:bookmarkStart w:id="213" w:name="_Toc274143453"/>
      <w:r>
        <w:rPr>
          <w:rStyle w:val="CharSectno"/>
        </w:rPr>
        <w:t>30</w:t>
      </w:r>
      <w:r>
        <w:rPr>
          <w:snapToGrid w:val="0"/>
        </w:rPr>
        <w:t>.</w:t>
      </w:r>
      <w:r>
        <w:rPr>
          <w:snapToGrid w:val="0"/>
        </w:rPr>
        <w:tab/>
        <w:t>Corporation to act on commercial principles</w:t>
      </w:r>
      <w:bookmarkEnd w:id="212"/>
      <w:bookmarkEnd w:id="213"/>
      <w:r>
        <w:rPr>
          <w:snapToGrid w:val="0"/>
        </w:rPr>
        <w:t xml:space="preserve"> </w:t>
      </w:r>
    </w:p>
    <w:p>
      <w:pPr>
        <w:pStyle w:val="Subsection"/>
        <w:rPr>
          <w:snapToGrid w:val="0"/>
        </w:rPr>
      </w:pPr>
      <w:r>
        <w:rPr>
          <w:snapToGrid w:val="0"/>
        </w:rPr>
        <w:tab/>
        <w:t>(1)</w:t>
      </w:r>
      <w:r>
        <w:rPr>
          <w:snapToGrid w:val="0"/>
        </w:rPr>
        <w:tab/>
        <w:t>The corporation 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Heading5"/>
        <w:rPr>
          <w:snapToGrid w:val="0"/>
        </w:rPr>
      </w:pPr>
      <w:bookmarkStart w:id="214" w:name="_Toc278969604"/>
      <w:bookmarkStart w:id="215" w:name="_Toc274143454"/>
      <w:r>
        <w:rPr>
          <w:rStyle w:val="CharSectno"/>
        </w:rPr>
        <w:t>31</w:t>
      </w:r>
      <w:r>
        <w:rPr>
          <w:snapToGrid w:val="0"/>
        </w:rPr>
        <w:t>.</w:t>
      </w:r>
      <w:r>
        <w:rPr>
          <w:snapToGrid w:val="0"/>
        </w:rPr>
        <w:tab/>
        <w:t>Subsidiaries, acquisition of etc. (Sch. 4)</w:t>
      </w:r>
      <w:bookmarkEnd w:id="214"/>
      <w:bookmarkEnd w:id="215"/>
    </w:p>
    <w:p>
      <w:pPr>
        <w:pStyle w:val="Subsection"/>
        <w:rPr>
          <w:snapToGrid w:val="0"/>
        </w:rPr>
      </w:pPr>
      <w:r>
        <w:rPr>
          <w:snapToGrid w:val="0"/>
        </w:rPr>
        <w:tab/>
        <w:t>(1)</w:t>
      </w:r>
      <w:r>
        <w:rPr>
          <w:snapToGrid w:val="0"/>
        </w:rPr>
        <w:tab/>
        <w:t>The corporation must obtain the approval of the Minister before it acquires a subsidiary or enters into any transaction that will result in the acquisition of a subsidiary.</w:t>
      </w:r>
    </w:p>
    <w:p>
      <w:pPr>
        <w:pStyle w:val="Subsection"/>
        <w:rPr>
          <w:snapToGrid w:val="0"/>
        </w:rPr>
      </w:pPr>
      <w:r>
        <w:rPr>
          <w:snapToGrid w:val="0"/>
        </w:rPr>
        <w:tab/>
        <w:t>(2)</w:t>
      </w:r>
      <w:r>
        <w:rPr>
          <w:snapToGrid w:val="0"/>
        </w:rPr>
        <w:tab/>
        <w:t>The corporation must ensure that the memorandum and articles of association of every subsidiary of the corporation that under a written law is required to have a memorandum and articles of association — </w:t>
      </w:r>
    </w:p>
    <w:p>
      <w:pPr>
        <w:pStyle w:val="Indenta"/>
        <w:rPr>
          <w:snapToGrid w:val="0"/>
        </w:rPr>
      </w:pPr>
      <w:r>
        <w:rPr>
          <w:snapToGrid w:val="0"/>
        </w:rPr>
        <w:tab/>
        <w:t>(a)</w:t>
      </w:r>
      <w:r>
        <w:rPr>
          <w:snapToGrid w:val="0"/>
        </w:rPr>
        <w:tab/>
        <w:t>contain provisions to the effect of those required by Schedule 4;</w:t>
      </w:r>
    </w:p>
    <w:p>
      <w:pPr>
        <w:pStyle w:val="Indenta"/>
        <w:rPr>
          <w:snapToGrid w:val="0"/>
        </w:rPr>
      </w:pPr>
      <w:r>
        <w:rPr>
          <w:snapToGrid w:val="0"/>
        </w:rPr>
        <w:tab/>
        <w:t>(b)</w:t>
      </w:r>
      <w:r>
        <w:rPr>
          <w:snapToGrid w:val="0"/>
        </w:rPr>
        <w:tab/>
        <w:t>are consistent with this Act; and</w:t>
      </w:r>
    </w:p>
    <w:p>
      <w:pPr>
        <w:pStyle w:val="Indenta"/>
        <w:rPr>
          <w:snapToGrid w:val="0"/>
        </w:rPr>
      </w:pPr>
      <w:r>
        <w:rPr>
          <w:snapToGrid w:val="0"/>
        </w:rPr>
        <w:tab/>
        <w:t>(c)</w:t>
      </w:r>
      <w:r>
        <w:rPr>
          <w:snapToGrid w:val="0"/>
        </w:rPr>
        <w:tab/>
        <w:t>are not amended in a way that is inconsistent with this Act.</w:t>
      </w:r>
    </w:p>
    <w:p>
      <w:pPr>
        <w:pStyle w:val="Subsection"/>
        <w:rPr>
          <w:snapToGrid w:val="0"/>
        </w:rPr>
      </w:pPr>
      <w:r>
        <w:rPr>
          <w:snapToGrid w:val="0"/>
        </w:rPr>
        <w:tab/>
        <w:t>(3)</w:t>
      </w:r>
      <w:r>
        <w:rPr>
          <w:snapToGrid w:val="0"/>
        </w:rPr>
        <w:tab/>
        <w:t>The corporation must, to the maximum extent practicable, ensure that every subsidiary of the corporation complies with its memorandum and articles of association and with this Act.</w:t>
      </w:r>
    </w:p>
    <w:p>
      <w:pPr>
        <w:pStyle w:val="Subsection"/>
        <w:rPr>
          <w:snapToGrid w:val="0"/>
        </w:rPr>
      </w:pPr>
      <w:r>
        <w:rPr>
          <w:snapToGrid w:val="0"/>
        </w:rPr>
        <w:tab/>
        <w:t>(4)</w:t>
      </w:r>
      <w:r>
        <w:rPr>
          <w:snapToGrid w:val="0"/>
        </w:rPr>
        <w:tab/>
        <w:t>The provisions of this Act prevail to the extent of any inconsistency with the articles of association of any subsidiary of the corporation.</w:t>
      </w:r>
    </w:p>
    <w:p>
      <w:pPr>
        <w:pStyle w:val="Heading5"/>
        <w:rPr>
          <w:snapToGrid w:val="0"/>
        </w:rPr>
      </w:pPr>
      <w:bookmarkStart w:id="216" w:name="_Toc278969605"/>
      <w:bookmarkStart w:id="217" w:name="_Toc274143455"/>
      <w:r>
        <w:rPr>
          <w:rStyle w:val="CharSectno"/>
        </w:rPr>
        <w:t>32</w:t>
      </w:r>
      <w:r>
        <w:rPr>
          <w:snapToGrid w:val="0"/>
        </w:rPr>
        <w:t>.</w:t>
      </w:r>
      <w:r>
        <w:rPr>
          <w:snapToGrid w:val="0"/>
        </w:rPr>
        <w:tab/>
        <w:t>Transactions which require Ministerial approval</w:t>
      </w:r>
      <w:bookmarkEnd w:id="216"/>
      <w:bookmarkEnd w:id="217"/>
      <w:r>
        <w:rPr>
          <w:snapToGrid w:val="0"/>
        </w:rPr>
        <w:t xml:space="preserve"> </w:t>
      </w:r>
    </w:p>
    <w:p>
      <w:pPr>
        <w:pStyle w:val="Subsection"/>
        <w:rPr>
          <w:snapToGrid w:val="0"/>
        </w:rPr>
      </w:pPr>
      <w:r>
        <w:rPr>
          <w:snapToGrid w:val="0"/>
        </w:rPr>
        <w:tab/>
        <w:t>(1)</w:t>
      </w:r>
      <w:r>
        <w:rPr>
          <w:snapToGrid w:val="0"/>
        </w:rPr>
        <w:tab/>
        <w:t>Despite sections 27 and 29, the corporation must obtain the approval of the Minister before a transaction to which this section applies is entered into.</w:t>
      </w:r>
    </w:p>
    <w:p>
      <w:pPr>
        <w:pStyle w:val="Subsection"/>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it is to be entered into by the corporation or a subsidiary of the corporation;</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 amount.</w:t>
      </w:r>
    </w:p>
    <w:p>
      <w:pPr>
        <w:pStyle w:val="Subsection"/>
        <w:keepLines/>
        <w:rPr>
          <w:snapToGrid w:val="0"/>
        </w:rPr>
      </w:pPr>
      <w:r>
        <w:rPr>
          <w:snapToGrid w:val="0"/>
        </w:rPr>
        <w:tab/>
        <w:t>(3)</w:t>
      </w:r>
      <w:r>
        <w:rPr>
          <w:snapToGrid w:val="0"/>
        </w:rPr>
        <w:tab/>
        <w:t>For the purposes of subsection (2)(c) the corporation’s liability is the amount or value of the consideration or the amount to be paid or received by the corporation or a subsidiary, ascertained as at the time when the transaction is entered into.</w:t>
      </w:r>
    </w:p>
    <w:p>
      <w:pPr>
        <w:pStyle w:val="Subsection"/>
        <w:rPr>
          <w:snapToGrid w:val="0"/>
        </w:rPr>
      </w:pPr>
      <w:r>
        <w:rPr>
          <w:snapToGrid w:val="0"/>
        </w:rPr>
        <w:tab/>
        <w:t>(4)</w:t>
      </w:r>
      <w:r>
        <w:rPr>
          <w:snapToGrid w:val="0"/>
        </w:rPr>
        <w:tab/>
        <w:t>The prescribed amount is the greater of — </w:t>
      </w:r>
    </w:p>
    <w:p>
      <w:pPr>
        <w:pStyle w:val="Indenta"/>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r>
      <w:r>
        <w:rPr>
          <w:rStyle w:val="CharDefText"/>
        </w:rPr>
        <w:t>transaction</w:t>
      </w:r>
      <w:r>
        <w:rPr>
          <w:b/>
        </w:rPr>
        <w:t> </w:t>
      </w:r>
      <w:r>
        <w:t>— </w:t>
      </w:r>
    </w:p>
    <w:p>
      <w:pPr>
        <w:pStyle w:val="Defpara"/>
      </w:pPr>
      <w:r>
        <w:tab/>
        <w:t>(a)</w:t>
      </w:r>
      <w:r>
        <w:tab/>
        <w:t>includes a contract or other arrangement or any exercise of the power conferred by section 29(2)(g); and</w:t>
      </w:r>
    </w:p>
    <w:p>
      <w:pPr>
        <w:pStyle w:val="Defpara"/>
      </w:pPr>
      <w:r>
        <w:tab/>
        <w:t>(b)</w:t>
      </w:r>
      <w:r>
        <w:tab/>
        <w:t>does not include any transaction under section 80 or 82.</w:t>
      </w:r>
    </w:p>
    <w:p>
      <w:pPr>
        <w:pStyle w:val="Heading5"/>
        <w:rPr>
          <w:snapToGrid w:val="0"/>
        </w:rPr>
      </w:pPr>
      <w:bookmarkStart w:id="218" w:name="_Toc278969606"/>
      <w:bookmarkStart w:id="219" w:name="_Toc274143456"/>
      <w:r>
        <w:rPr>
          <w:rStyle w:val="CharSectno"/>
        </w:rPr>
        <w:t>33</w:t>
      </w:r>
      <w:r>
        <w:rPr>
          <w:snapToGrid w:val="0"/>
        </w:rPr>
        <w:t>.</w:t>
      </w:r>
      <w:r>
        <w:rPr>
          <w:snapToGrid w:val="0"/>
        </w:rPr>
        <w:tab/>
        <w:t>Exemptions from s. 32</w:t>
      </w:r>
      <w:bookmarkEnd w:id="218"/>
      <w:bookmarkEnd w:id="219"/>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220" w:name="_Toc278969607"/>
      <w:bookmarkStart w:id="221" w:name="_Toc274143457"/>
      <w:r>
        <w:rPr>
          <w:rStyle w:val="CharSectno"/>
        </w:rPr>
        <w:t>34</w:t>
      </w:r>
      <w:r>
        <w:rPr>
          <w:snapToGrid w:val="0"/>
        </w:rPr>
        <w:t>.</w:t>
      </w:r>
      <w:r>
        <w:rPr>
          <w:snapToGrid w:val="0"/>
        </w:rPr>
        <w:tab/>
        <w:t>Minister to be consulted on major initiatives</w:t>
      </w:r>
      <w:bookmarkEnd w:id="220"/>
      <w:bookmarkEnd w:id="221"/>
      <w:r>
        <w:rPr>
          <w:snapToGrid w:val="0"/>
        </w:rPr>
        <w:t xml:space="preserve"> </w:t>
      </w:r>
    </w:p>
    <w:p>
      <w:pPr>
        <w:pStyle w:val="Subsection"/>
        <w:rPr>
          <w:snapToGrid w:val="0"/>
        </w:rPr>
      </w:pPr>
      <w:r>
        <w:rPr>
          <w:snapToGrid w:val="0"/>
        </w:rPr>
        <w:tab/>
      </w:r>
      <w:r>
        <w:rPr>
          <w:snapToGrid w:val="0"/>
        </w:rPr>
        <w:tab/>
        <w:t>In addition to section 32, the corporation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Heading5"/>
        <w:rPr>
          <w:snapToGrid w:val="0"/>
        </w:rPr>
      </w:pPr>
      <w:bookmarkStart w:id="222" w:name="_Toc278969608"/>
      <w:bookmarkStart w:id="223" w:name="_Toc274143458"/>
      <w:r>
        <w:rPr>
          <w:rStyle w:val="CharSectno"/>
        </w:rPr>
        <w:t>35</w:t>
      </w:r>
      <w:r>
        <w:rPr>
          <w:snapToGrid w:val="0"/>
        </w:rPr>
        <w:t>.</w:t>
      </w:r>
      <w:r>
        <w:rPr>
          <w:snapToGrid w:val="0"/>
        </w:rPr>
        <w:tab/>
        <w:t>Delegation by corporation</w:t>
      </w:r>
      <w:bookmarkEnd w:id="222"/>
      <w:bookmarkEnd w:id="223"/>
      <w:r>
        <w:rPr>
          <w:snapToGrid w:val="0"/>
        </w:rPr>
        <w:t xml:space="preserve"> </w:t>
      </w:r>
    </w:p>
    <w:p>
      <w:pPr>
        <w:pStyle w:val="Subsection"/>
        <w:rPr>
          <w:snapToGrid w:val="0"/>
        </w:rPr>
      </w:pPr>
      <w:r>
        <w:rPr>
          <w:snapToGrid w:val="0"/>
        </w:rPr>
        <w:tab/>
        <w:t>(1)</w:t>
      </w:r>
      <w:r>
        <w:rPr>
          <w:snapToGrid w:val="0"/>
        </w:rPr>
        <w:tab/>
        <w:t>The corporation 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p>
    <w:p>
      <w:pPr>
        <w:pStyle w:val="Indenta"/>
        <w:rPr>
          <w:snapToGrid w:val="0"/>
        </w:rPr>
      </w:pPr>
      <w:r>
        <w:rPr>
          <w:snapToGrid w:val="0"/>
        </w:rPr>
        <w:tab/>
        <w:t>(b)</w:t>
      </w:r>
      <w:r>
        <w:rPr>
          <w:snapToGrid w:val="0"/>
        </w:rPr>
        <w:tab/>
        <w:t>a member or members of staff;</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A function performed by a delegate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Nothing in this section is to be read as limiting the ability of the corporation to act through its officers and agents in the normal course of business.</w:t>
      </w:r>
    </w:p>
    <w:p>
      <w:pPr>
        <w:pStyle w:val="Heading3"/>
        <w:rPr>
          <w:snapToGrid w:val="0"/>
        </w:rPr>
      </w:pPr>
      <w:bookmarkStart w:id="224" w:name="_Toc189883012"/>
      <w:bookmarkStart w:id="225" w:name="_Toc200259708"/>
      <w:bookmarkStart w:id="226" w:name="_Toc200259914"/>
      <w:bookmarkStart w:id="227" w:name="_Toc200260120"/>
      <w:bookmarkStart w:id="228" w:name="_Toc200421980"/>
      <w:bookmarkStart w:id="229" w:name="_Toc201975896"/>
      <w:bookmarkStart w:id="230" w:name="_Toc201982032"/>
      <w:bookmarkStart w:id="231" w:name="_Toc202080796"/>
      <w:bookmarkStart w:id="232" w:name="_Toc202168305"/>
      <w:bookmarkStart w:id="233" w:name="_Toc203453870"/>
      <w:bookmarkStart w:id="234" w:name="_Toc268269796"/>
      <w:bookmarkStart w:id="235" w:name="_Toc274143459"/>
      <w:bookmarkStart w:id="236" w:name="_Toc278969609"/>
      <w:r>
        <w:rPr>
          <w:rStyle w:val="CharDivNo"/>
        </w:rPr>
        <w:t>Division 2</w:t>
      </w:r>
      <w:r>
        <w:rPr>
          <w:snapToGrid w:val="0"/>
        </w:rPr>
        <w:t> — </w:t>
      </w:r>
      <w:r>
        <w:rPr>
          <w:rStyle w:val="CharDivText"/>
        </w:rPr>
        <w:t>Arrangements authorised or approved by Governor</w:t>
      </w:r>
      <w:bookmarkEnd w:id="224"/>
      <w:bookmarkEnd w:id="225"/>
      <w:bookmarkEnd w:id="226"/>
      <w:bookmarkEnd w:id="227"/>
      <w:bookmarkEnd w:id="228"/>
      <w:bookmarkEnd w:id="229"/>
      <w:bookmarkEnd w:id="230"/>
      <w:bookmarkEnd w:id="231"/>
      <w:bookmarkEnd w:id="232"/>
      <w:bookmarkEnd w:id="233"/>
      <w:bookmarkEnd w:id="234"/>
      <w:bookmarkEnd w:id="235"/>
      <w:bookmarkEnd w:id="236"/>
    </w:p>
    <w:p>
      <w:pPr>
        <w:pStyle w:val="Heading5"/>
        <w:spacing w:before="180"/>
        <w:rPr>
          <w:snapToGrid w:val="0"/>
        </w:rPr>
      </w:pPr>
      <w:bookmarkStart w:id="237" w:name="_Toc278969610"/>
      <w:bookmarkStart w:id="238" w:name="_Toc274143460"/>
      <w:r>
        <w:rPr>
          <w:rStyle w:val="CharSectno"/>
        </w:rPr>
        <w:t>36</w:t>
      </w:r>
      <w:r>
        <w:rPr>
          <w:snapToGrid w:val="0"/>
        </w:rPr>
        <w:t>.</w:t>
      </w:r>
      <w:r>
        <w:rPr>
          <w:snapToGrid w:val="0"/>
        </w:rPr>
        <w:tab/>
        <w:t>Governor may make certain regulations</w:t>
      </w:r>
      <w:bookmarkEnd w:id="237"/>
      <w:bookmarkEnd w:id="238"/>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rPr>
          <w:snapToGrid w:val="0"/>
        </w:rPr>
      </w:pPr>
      <w:r>
        <w:rPr>
          <w:snapToGrid w:val="0"/>
        </w:rPr>
        <w:tab/>
        <w:t>(a)</w:t>
      </w:r>
      <w:r>
        <w:rPr>
          <w:snapToGrid w:val="0"/>
        </w:rPr>
        <w:tab/>
        <w:t>any arrangement involving or relating to the corporation or any subsidiary or the performance by the corporation of any of its functions;</w:t>
      </w:r>
    </w:p>
    <w:p>
      <w:pPr>
        <w:pStyle w:val="Indenta"/>
        <w:rPr>
          <w:snapToGrid w:val="0"/>
        </w:rPr>
      </w:pPr>
      <w:r>
        <w:rPr>
          <w:snapToGrid w:val="0"/>
        </w:rPr>
        <w:tab/>
        <w:t>(b)</w:t>
      </w:r>
      <w:r>
        <w:rPr>
          <w:snapToGrid w:val="0"/>
        </w:rPr>
        <w:tab/>
        <w:t>any act or thing done or proposed to be done in the State by the corporation or any subsidiary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rStyle w:val="CharDefText"/>
        </w:rPr>
        <w:t>arrangement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Heading3"/>
        <w:rPr>
          <w:snapToGrid w:val="0"/>
        </w:rPr>
      </w:pPr>
      <w:bookmarkStart w:id="239" w:name="_Toc189883014"/>
      <w:bookmarkStart w:id="240" w:name="_Toc200259710"/>
      <w:bookmarkStart w:id="241" w:name="_Toc200259916"/>
      <w:bookmarkStart w:id="242" w:name="_Toc200260122"/>
      <w:bookmarkStart w:id="243" w:name="_Toc200421982"/>
      <w:bookmarkStart w:id="244" w:name="_Toc201975898"/>
      <w:bookmarkStart w:id="245" w:name="_Toc201982034"/>
      <w:bookmarkStart w:id="246" w:name="_Toc202080798"/>
      <w:bookmarkStart w:id="247" w:name="_Toc202168307"/>
      <w:bookmarkStart w:id="248" w:name="_Toc203453872"/>
      <w:bookmarkStart w:id="249" w:name="_Toc268269798"/>
      <w:bookmarkStart w:id="250" w:name="_Toc274143461"/>
      <w:bookmarkStart w:id="251" w:name="_Toc278969611"/>
      <w:r>
        <w:rPr>
          <w:rStyle w:val="CharDivNo"/>
        </w:rPr>
        <w:t>Division 3</w:t>
      </w:r>
      <w:r>
        <w:rPr>
          <w:snapToGrid w:val="0"/>
        </w:rPr>
        <w:t> — </w:t>
      </w:r>
      <w:r>
        <w:rPr>
          <w:rStyle w:val="CharDivText"/>
        </w:rPr>
        <w:t>Protection of persons dealing with corporation</w:t>
      </w:r>
      <w:bookmarkEnd w:id="239"/>
      <w:bookmarkEnd w:id="240"/>
      <w:bookmarkEnd w:id="241"/>
      <w:bookmarkEnd w:id="242"/>
      <w:bookmarkEnd w:id="243"/>
      <w:bookmarkEnd w:id="244"/>
      <w:bookmarkEnd w:id="245"/>
      <w:bookmarkEnd w:id="246"/>
      <w:bookmarkEnd w:id="247"/>
      <w:bookmarkEnd w:id="248"/>
      <w:bookmarkEnd w:id="249"/>
      <w:bookmarkEnd w:id="250"/>
      <w:bookmarkEnd w:id="251"/>
      <w:r>
        <w:rPr>
          <w:rStyle w:val="CharDivText"/>
        </w:rPr>
        <w:t xml:space="preserve"> </w:t>
      </w:r>
    </w:p>
    <w:p>
      <w:pPr>
        <w:pStyle w:val="Heading5"/>
        <w:spacing w:before="180"/>
        <w:rPr>
          <w:snapToGrid w:val="0"/>
        </w:rPr>
      </w:pPr>
      <w:bookmarkStart w:id="252" w:name="_Toc278969612"/>
      <w:bookmarkStart w:id="253" w:name="_Toc274143462"/>
      <w:r>
        <w:rPr>
          <w:rStyle w:val="CharSectno"/>
        </w:rPr>
        <w:t>37</w:t>
      </w:r>
      <w:r>
        <w:rPr>
          <w:snapToGrid w:val="0"/>
        </w:rPr>
        <w:t>.</w:t>
      </w:r>
      <w:r>
        <w:rPr>
          <w:snapToGrid w:val="0"/>
        </w:rPr>
        <w:tab/>
        <w:t>Person dealing with corporation may make assumptions</w:t>
      </w:r>
      <w:bookmarkEnd w:id="252"/>
      <w:bookmarkEnd w:id="253"/>
      <w:r>
        <w:rPr>
          <w:snapToGrid w:val="0"/>
        </w:rPr>
        <w:t xml:space="preserve"> </w:t>
      </w:r>
    </w:p>
    <w:p>
      <w:pPr>
        <w:pStyle w:val="Subsection"/>
        <w:rPr>
          <w:snapToGrid w:val="0"/>
        </w:rPr>
      </w:pPr>
      <w:r>
        <w:rPr>
          <w:snapToGrid w:val="0"/>
        </w:rPr>
        <w:tab/>
        <w:t>(1)</w:t>
      </w:r>
      <w:r>
        <w:rPr>
          <w:snapToGrid w:val="0"/>
        </w:rPr>
        <w:tab/>
        <w:t>A person having dealings with the corporation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Heading5"/>
        <w:keepNext w:val="0"/>
        <w:keepLines w:val="0"/>
        <w:spacing w:before="180"/>
        <w:rPr>
          <w:snapToGrid w:val="0"/>
        </w:rPr>
      </w:pPr>
      <w:bookmarkStart w:id="254" w:name="_Toc278969613"/>
      <w:bookmarkStart w:id="255" w:name="_Toc274143463"/>
      <w:r>
        <w:rPr>
          <w:rStyle w:val="CharSectno"/>
        </w:rPr>
        <w:t>38</w:t>
      </w:r>
      <w:r>
        <w:rPr>
          <w:snapToGrid w:val="0"/>
        </w:rPr>
        <w:t>.</w:t>
      </w:r>
      <w:r>
        <w:rPr>
          <w:snapToGrid w:val="0"/>
        </w:rPr>
        <w:tab/>
        <w:t>Third party may make assumptions</w:t>
      </w:r>
      <w:bookmarkEnd w:id="254"/>
      <w:bookmarkEnd w:id="255"/>
      <w:r>
        <w:rPr>
          <w:snapToGrid w:val="0"/>
        </w:rPr>
        <w:t xml:space="preserve"> </w:t>
      </w:r>
    </w:p>
    <w:p>
      <w:pPr>
        <w:pStyle w:val="Subsection"/>
        <w:rPr>
          <w:snapToGrid w:val="0"/>
        </w:rPr>
      </w:pPr>
      <w:r>
        <w:rPr>
          <w:snapToGrid w:val="0"/>
        </w:rPr>
        <w:tab/>
        <w:t>(1)</w:t>
      </w:r>
      <w:r>
        <w:rPr>
          <w:snapToGrid w:val="0"/>
        </w:rPr>
        <w:tab/>
        <w:t>A person having dealings with a person who has acquired, or purports to have acquired, title to property from the corporation (whether directly or indirectly)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or the second person that the matters that the first person is entitled to assume were not correct must be disregarded.</w:t>
      </w:r>
    </w:p>
    <w:p>
      <w:pPr>
        <w:pStyle w:val="Heading5"/>
        <w:rPr>
          <w:snapToGrid w:val="0"/>
        </w:rPr>
      </w:pPr>
      <w:bookmarkStart w:id="256" w:name="_Toc278969614"/>
      <w:bookmarkStart w:id="257" w:name="_Toc274143464"/>
      <w:r>
        <w:rPr>
          <w:rStyle w:val="CharSectno"/>
        </w:rPr>
        <w:t>39</w:t>
      </w:r>
      <w:r>
        <w:rPr>
          <w:snapToGrid w:val="0"/>
        </w:rPr>
        <w:t>.</w:t>
      </w:r>
      <w:r>
        <w:rPr>
          <w:snapToGrid w:val="0"/>
        </w:rPr>
        <w:tab/>
        <w:t>Assumptions that may be made</w:t>
      </w:r>
      <w:bookmarkEnd w:id="256"/>
      <w:bookmarkEnd w:id="257"/>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w:t>
      </w:r>
    </w:p>
    <w:p>
      <w:pPr>
        <w:pStyle w:val="Indenta"/>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258" w:name="_Toc278969615"/>
      <w:bookmarkStart w:id="259" w:name="_Toc274143465"/>
      <w:r>
        <w:rPr>
          <w:rStyle w:val="CharSectno"/>
        </w:rPr>
        <w:t>40</w:t>
      </w:r>
      <w:r>
        <w:rPr>
          <w:snapToGrid w:val="0"/>
        </w:rPr>
        <w:t>.</w:t>
      </w:r>
      <w:r>
        <w:rPr>
          <w:snapToGrid w:val="0"/>
        </w:rPr>
        <w:tab/>
        <w:t>Exception to s. 37 and 38</w:t>
      </w:r>
      <w:bookmarkEnd w:id="258"/>
      <w:bookmarkEnd w:id="259"/>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if the assumption is in relation to an acquisition or purported acquisition from the corporation of title to property, section 38(2) does not apply to any assertion by the corporation or another person in relation to the assumption.</w:t>
      </w:r>
    </w:p>
    <w:p>
      <w:pPr>
        <w:pStyle w:val="Heading2"/>
      </w:pPr>
      <w:bookmarkStart w:id="260" w:name="_Toc189883019"/>
      <w:bookmarkStart w:id="261" w:name="_Toc200259715"/>
      <w:bookmarkStart w:id="262" w:name="_Toc200259921"/>
      <w:bookmarkStart w:id="263" w:name="_Toc200260127"/>
      <w:bookmarkStart w:id="264" w:name="_Toc200421987"/>
      <w:bookmarkStart w:id="265" w:name="_Toc201975903"/>
      <w:bookmarkStart w:id="266" w:name="_Toc201982039"/>
      <w:bookmarkStart w:id="267" w:name="_Toc202080803"/>
      <w:bookmarkStart w:id="268" w:name="_Toc202168312"/>
      <w:bookmarkStart w:id="269" w:name="_Toc203453877"/>
      <w:bookmarkStart w:id="270" w:name="_Toc268269803"/>
      <w:bookmarkStart w:id="271" w:name="_Toc274143466"/>
      <w:bookmarkStart w:id="272" w:name="_Toc278969616"/>
      <w:r>
        <w:rPr>
          <w:rStyle w:val="CharPartNo"/>
        </w:rPr>
        <w:t>Part 4</w:t>
      </w:r>
      <w:r>
        <w:t> — </w:t>
      </w:r>
      <w:r>
        <w:rPr>
          <w:rStyle w:val="CharPartText"/>
        </w:rPr>
        <w:t>Provisions as to accountability</w:t>
      </w:r>
      <w:bookmarkEnd w:id="260"/>
      <w:bookmarkEnd w:id="261"/>
      <w:bookmarkEnd w:id="262"/>
      <w:bookmarkEnd w:id="263"/>
      <w:bookmarkEnd w:id="264"/>
      <w:bookmarkEnd w:id="265"/>
      <w:bookmarkEnd w:id="266"/>
      <w:bookmarkEnd w:id="267"/>
      <w:bookmarkEnd w:id="268"/>
      <w:bookmarkEnd w:id="269"/>
      <w:bookmarkEnd w:id="270"/>
      <w:bookmarkEnd w:id="271"/>
      <w:bookmarkEnd w:id="272"/>
      <w:r>
        <w:rPr>
          <w:rStyle w:val="CharPartText"/>
        </w:rPr>
        <w:t xml:space="preserve"> </w:t>
      </w:r>
    </w:p>
    <w:p>
      <w:pPr>
        <w:pStyle w:val="Heading3"/>
        <w:rPr>
          <w:snapToGrid w:val="0"/>
        </w:rPr>
      </w:pPr>
      <w:bookmarkStart w:id="273" w:name="_Toc189883020"/>
      <w:bookmarkStart w:id="274" w:name="_Toc200259716"/>
      <w:bookmarkStart w:id="275" w:name="_Toc200259922"/>
      <w:bookmarkStart w:id="276" w:name="_Toc200260128"/>
      <w:bookmarkStart w:id="277" w:name="_Toc200421988"/>
      <w:bookmarkStart w:id="278" w:name="_Toc201975904"/>
      <w:bookmarkStart w:id="279" w:name="_Toc201982040"/>
      <w:bookmarkStart w:id="280" w:name="_Toc202080804"/>
      <w:bookmarkStart w:id="281" w:name="_Toc202168313"/>
      <w:bookmarkStart w:id="282" w:name="_Toc203453878"/>
      <w:bookmarkStart w:id="283" w:name="_Toc268269804"/>
      <w:bookmarkStart w:id="284" w:name="_Toc274143467"/>
      <w:bookmarkStart w:id="285" w:name="_Toc278969617"/>
      <w:r>
        <w:rPr>
          <w:rStyle w:val="CharDivNo"/>
        </w:rPr>
        <w:t>Division 1</w:t>
      </w:r>
      <w:r>
        <w:rPr>
          <w:snapToGrid w:val="0"/>
        </w:rPr>
        <w:t> — </w:t>
      </w:r>
      <w:r>
        <w:rPr>
          <w:rStyle w:val="CharDivText"/>
        </w:rPr>
        <w:t>Strategic development plans</w:t>
      </w:r>
      <w:bookmarkEnd w:id="273"/>
      <w:bookmarkEnd w:id="274"/>
      <w:bookmarkEnd w:id="275"/>
      <w:bookmarkEnd w:id="276"/>
      <w:bookmarkEnd w:id="277"/>
      <w:bookmarkEnd w:id="278"/>
      <w:bookmarkEnd w:id="279"/>
      <w:bookmarkEnd w:id="280"/>
      <w:bookmarkEnd w:id="281"/>
      <w:bookmarkEnd w:id="282"/>
      <w:bookmarkEnd w:id="283"/>
      <w:bookmarkEnd w:id="284"/>
      <w:bookmarkEnd w:id="285"/>
      <w:r>
        <w:rPr>
          <w:rStyle w:val="CharDivText"/>
        </w:rPr>
        <w:t xml:space="preserve"> </w:t>
      </w:r>
    </w:p>
    <w:p>
      <w:pPr>
        <w:pStyle w:val="Heading5"/>
        <w:rPr>
          <w:snapToGrid w:val="0"/>
        </w:rPr>
      </w:pPr>
      <w:bookmarkStart w:id="286" w:name="_Toc278969618"/>
      <w:bookmarkStart w:id="287" w:name="_Toc274143468"/>
      <w:r>
        <w:rPr>
          <w:rStyle w:val="CharSectno"/>
        </w:rPr>
        <w:t>41</w:t>
      </w:r>
      <w:r>
        <w:rPr>
          <w:snapToGrid w:val="0"/>
        </w:rPr>
        <w:t>.</w:t>
      </w:r>
      <w:r>
        <w:rPr>
          <w:snapToGrid w:val="0"/>
        </w:rPr>
        <w:tab/>
        <w:t>Draft plan to be submitted to Minister</w:t>
      </w:r>
      <w:bookmarkEnd w:id="286"/>
      <w:bookmarkEnd w:id="287"/>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strategic development plan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ind w:left="890" w:hanging="890"/>
      </w:pPr>
      <w:r>
        <w:tab/>
        <w:t>[Section 41 amended by No. 74 of 2003 s. 127(3); No. 77 of 2006 s. 14(2).]</w:t>
      </w:r>
    </w:p>
    <w:p>
      <w:pPr>
        <w:pStyle w:val="Ednotesection"/>
      </w:pPr>
      <w:r>
        <w:rPr>
          <w:rStyle w:val="CharSectno"/>
        </w:rPr>
        <w:t>[</w:t>
      </w:r>
      <w:r>
        <w:rPr>
          <w:rStyle w:val="CharSectno"/>
          <w:b/>
          <w:bCs/>
        </w:rPr>
        <w:t>42</w:t>
      </w:r>
      <w:r>
        <w:rPr>
          <w:b/>
          <w:bCs/>
        </w:rPr>
        <w:t>.</w:t>
      </w:r>
      <w:r>
        <w:tab/>
        <w:t xml:space="preserve">Omitted under the Reprints Act 1984 s. 7(4)(g).] </w:t>
      </w:r>
    </w:p>
    <w:p>
      <w:pPr>
        <w:pStyle w:val="Heading5"/>
        <w:rPr>
          <w:bCs/>
          <w:snapToGrid w:val="0"/>
        </w:rPr>
      </w:pPr>
      <w:bookmarkStart w:id="288" w:name="_Toc278969619"/>
      <w:bookmarkStart w:id="289" w:name="_Toc274143469"/>
      <w:r>
        <w:rPr>
          <w:rStyle w:val="CharSectno"/>
          <w:bCs/>
        </w:rPr>
        <w:t>43.</w:t>
      </w:r>
      <w:r>
        <w:rPr>
          <w:rStyle w:val="CharSectno"/>
          <w:bCs/>
        </w:rPr>
        <w:tab/>
      </w:r>
      <w:r>
        <w:rPr>
          <w:bCs/>
          <w:snapToGrid w:val="0"/>
        </w:rPr>
        <w:t>Matters to be included in plan</w:t>
      </w:r>
      <w:bookmarkEnd w:id="288"/>
      <w:bookmarkEnd w:id="289"/>
      <w:r>
        <w:rPr>
          <w:bCs/>
          <w:snapToGrid w:val="0"/>
        </w:rPr>
        <w:t xml:space="preserve"> </w:t>
      </w:r>
    </w:p>
    <w:p>
      <w:pPr>
        <w:pStyle w:val="Subsection"/>
        <w:rPr>
          <w:snapToGrid w:val="0"/>
        </w:rPr>
      </w:pPr>
      <w:r>
        <w:rPr>
          <w:snapToGrid w:val="0"/>
        </w:rPr>
        <w:tab/>
        <w:t>(1)</w:t>
      </w:r>
      <w:r>
        <w:rPr>
          <w:snapToGrid w:val="0"/>
        </w:rPr>
        <w:tab/>
        <w:t>The strategic development plan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Heading5"/>
        <w:rPr>
          <w:snapToGrid w:val="0"/>
        </w:rPr>
      </w:pPr>
      <w:bookmarkStart w:id="290" w:name="_Toc278969620"/>
      <w:bookmarkStart w:id="291" w:name="_Toc274143470"/>
      <w:r>
        <w:rPr>
          <w:rStyle w:val="CharSectno"/>
        </w:rPr>
        <w:t>44</w:t>
      </w:r>
      <w:r>
        <w:rPr>
          <w:snapToGrid w:val="0"/>
        </w:rPr>
        <w:t>.</w:t>
      </w:r>
      <w:r>
        <w:rPr>
          <w:snapToGrid w:val="0"/>
        </w:rPr>
        <w:tab/>
        <w:t>Board and Minister to agree on plan if possible</w:t>
      </w:r>
      <w:bookmarkEnd w:id="290"/>
      <w:bookmarkEnd w:id="291"/>
      <w:r>
        <w:rPr>
          <w:snapToGrid w:val="0"/>
        </w:rPr>
        <w:t xml:space="preserve"> </w:t>
      </w:r>
    </w:p>
    <w:p>
      <w:pPr>
        <w:pStyle w:val="Subsection"/>
        <w:rPr>
          <w:snapToGrid w:val="0"/>
        </w:rPr>
      </w:pPr>
      <w:r>
        <w:rPr>
          <w:snapToGrid w:val="0"/>
        </w:rPr>
        <w:tab/>
      </w:r>
      <w:r>
        <w:rPr>
          <w:snapToGrid w:val="0"/>
        </w:rPr>
        <w:tab/>
        <w:t>The board and the Minister must endeavour to reach agreement on the draft strategic development plan as soon as possible, and in any event not later than one month before the start of the next financial year.</w:t>
      </w:r>
    </w:p>
    <w:p>
      <w:pPr>
        <w:pStyle w:val="Heading5"/>
        <w:rPr>
          <w:snapToGrid w:val="0"/>
        </w:rPr>
      </w:pPr>
      <w:bookmarkStart w:id="292" w:name="_Toc278969621"/>
      <w:bookmarkStart w:id="293" w:name="_Toc274143471"/>
      <w:r>
        <w:rPr>
          <w:rStyle w:val="CharSectno"/>
        </w:rPr>
        <w:t>45</w:t>
      </w:r>
      <w:r>
        <w:rPr>
          <w:snapToGrid w:val="0"/>
        </w:rPr>
        <w:t>.</w:t>
      </w:r>
      <w:r>
        <w:rPr>
          <w:snapToGrid w:val="0"/>
        </w:rPr>
        <w:tab/>
        <w:t>Minister’s powers in relation to draft plan</w:t>
      </w:r>
      <w:bookmarkEnd w:id="292"/>
      <w:bookmarkEnd w:id="293"/>
      <w:r>
        <w:rPr>
          <w:snapToGrid w:val="0"/>
        </w:rPr>
        <w:t xml:space="preserve"> </w:t>
      </w:r>
    </w:p>
    <w:p>
      <w:pPr>
        <w:pStyle w:val="Subsection"/>
        <w:rPr>
          <w:snapToGrid w:val="0"/>
        </w:rPr>
      </w:pPr>
      <w:r>
        <w:rPr>
          <w:snapToGrid w:val="0"/>
        </w:rPr>
        <w:tab/>
        <w:t>(1)</w:t>
      </w:r>
      <w:r>
        <w:rPr>
          <w:snapToGrid w:val="0"/>
        </w:rPr>
        <w:tab/>
        <w:t>The Minister may return the draft strategic development plan to the board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strategic development plan has not been agreed to by the Minister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294" w:name="_Toc278969622"/>
      <w:bookmarkStart w:id="295" w:name="_Toc274143472"/>
      <w:r>
        <w:rPr>
          <w:rStyle w:val="CharSectno"/>
        </w:rPr>
        <w:t>46</w:t>
      </w:r>
      <w:r>
        <w:rPr>
          <w:snapToGrid w:val="0"/>
        </w:rPr>
        <w:t>.</w:t>
      </w:r>
      <w:r>
        <w:rPr>
          <w:snapToGrid w:val="0"/>
        </w:rPr>
        <w:tab/>
        <w:t>Strategic development plan pending agreed plan</w:t>
      </w:r>
      <w:bookmarkEnd w:id="294"/>
      <w:bookmarkEnd w:id="295"/>
      <w:r>
        <w:rPr>
          <w:snapToGrid w:val="0"/>
        </w:rPr>
        <w:t xml:space="preserve"> </w:t>
      </w:r>
    </w:p>
    <w:p>
      <w:pPr>
        <w:pStyle w:val="Subsection"/>
        <w:rPr>
          <w:snapToGrid w:val="0"/>
        </w:rPr>
      </w:pPr>
      <w:r>
        <w:rPr>
          <w:snapToGrid w:val="0"/>
        </w:rPr>
        <w:tab/>
        <w:t>(1)</w:t>
      </w:r>
      <w:r>
        <w:rPr>
          <w:snapToGrid w:val="0"/>
        </w:rPr>
        <w:tab/>
        <w:t>If the Minister has not agreed to a draft strategic development plan before the start of a financial year, the latest draft plan is to be the strategic development plan for the corporation and any subsidiary until a draft strategic development plan is agreed to under section 47.</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plan</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296" w:name="_Toc278969623"/>
      <w:bookmarkStart w:id="297" w:name="_Toc274143473"/>
      <w:r>
        <w:rPr>
          <w:rStyle w:val="CharSectno"/>
        </w:rPr>
        <w:t>47</w:t>
      </w:r>
      <w:r>
        <w:rPr>
          <w:snapToGrid w:val="0"/>
        </w:rPr>
        <w:t>.</w:t>
      </w:r>
      <w:r>
        <w:rPr>
          <w:snapToGrid w:val="0"/>
        </w:rPr>
        <w:tab/>
        <w:t>Agreed plan, effect of</w:t>
      </w:r>
      <w:bookmarkEnd w:id="296"/>
      <w:bookmarkEnd w:id="297"/>
    </w:p>
    <w:p>
      <w:pPr>
        <w:pStyle w:val="Subsection"/>
        <w:rPr>
          <w:snapToGrid w:val="0"/>
        </w:rPr>
      </w:pPr>
      <w:r>
        <w:rPr>
          <w:snapToGrid w:val="0"/>
        </w:rPr>
        <w:tab/>
      </w:r>
      <w:r>
        <w:rPr>
          <w:snapToGrid w:val="0"/>
        </w:rPr>
        <w:tab/>
        <w:t>When a draft strategic development plan is agreed to by the Minister, it becomes the strategic development plan for the relevant financial year or the remainder of the year, as the case may be.</w:t>
      </w:r>
    </w:p>
    <w:p>
      <w:pPr>
        <w:pStyle w:val="Heading5"/>
        <w:rPr>
          <w:snapToGrid w:val="0"/>
        </w:rPr>
      </w:pPr>
      <w:bookmarkStart w:id="298" w:name="_Toc278969624"/>
      <w:bookmarkStart w:id="299" w:name="_Toc274143474"/>
      <w:r>
        <w:rPr>
          <w:rStyle w:val="CharSectno"/>
        </w:rPr>
        <w:t>48</w:t>
      </w:r>
      <w:r>
        <w:rPr>
          <w:snapToGrid w:val="0"/>
        </w:rPr>
        <w:t>.</w:t>
      </w:r>
      <w:r>
        <w:rPr>
          <w:snapToGrid w:val="0"/>
        </w:rPr>
        <w:tab/>
        <w:t>Modifying strategic development plan</w:t>
      </w:r>
      <w:bookmarkEnd w:id="298"/>
      <w:bookmarkEnd w:id="299"/>
      <w:r>
        <w:rPr>
          <w:snapToGrid w:val="0"/>
        </w:rPr>
        <w:t xml:space="preserve"> </w:t>
      </w:r>
    </w:p>
    <w:p>
      <w:pPr>
        <w:pStyle w:val="Subsection"/>
        <w:rPr>
          <w:snapToGrid w:val="0"/>
        </w:rPr>
      </w:pPr>
      <w:r>
        <w:rPr>
          <w:snapToGrid w:val="0"/>
        </w:rPr>
        <w:tab/>
        <w:t>(1)</w:t>
      </w:r>
      <w:r>
        <w:rPr>
          <w:snapToGrid w:val="0"/>
        </w:rPr>
        <w:tab/>
        <w:t>A strategic development plan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strategic development plan.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300" w:name="_Toc278969625"/>
      <w:bookmarkStart w:id="301" w:name="_Toc274143475"/>
      <w:r>
        <w:rPr>
          <w:rStyle w:val="CharSectno"/>
        </w:rPr>
        <w:t>49</w:t>
      </w:r>
      <w:r>
        <w:rPr>
          <w:snapToGrid w:val="0"/>
        </w:rPr>
        <w:t>.</w:t>
      </w:r>
      <w:r>
        <w:rPr>
          <w:snapToGrid w:val="0"/>
        </w:rPr>
        <w:tab/>
        <w:t>Concurrence of Treasurer</w:t>
      </w:r>
      <w:bookmarkEnd w:id="300"/>
      <w:bookmarkEnd w:id="301"/>
      <w:r>
        <w:rPr>
          <w:snapToGrid w:val="0"/>
        </w:rPr>
        <w:t xml:space="preserve"> </w:t>
      </w:r>
    </w:p>
    <w:p>
      <w:pPr>
        <w:pStyle w:val="Subsection"/>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keepNext/>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49 amended by No. 38 of 2007 s. 138.]</w:t>
      </w:r>
    </w:p>
    <w:p>
      <w:pPr>
        <w:pStyle w:val="Heading3"/>
        <w:rPr>
          <w:snapToGrid w:val="0"/>
        </w:rPr>
      </w:pPr>
      <w:bookmarkStart w:id="302" w:name="_Toc189883030"/>
      <w:bookmarkStart w:id="303" w:name="_Toc200259726"/>
      <w:bookmarkStart w:id="304" w:name="_Toc200259932"/>
      <w:bookmarkStart w:id="305" w:name="_Toc200260138"/>
      <w:bookmarkStart w:id="306" w:name="_Toc200421998"/>
      <w:bookmarkStart w:id="307" w:name="_Toc201975914"/>
      <w:bookmarkStart w:id="308" w:name="_Toc201982048"/>
      <w:bookmarkStart w:id="309" w:name="_Toc202080813"/>
      <w:bookmarkStart w:id="310" w:name="_Toc202168322"/>
      <w:bookmarkStart w:id="311" w:name="_Toc203453887"/>
      <w:bookmarkStart w:id="312" w:name="_Toc268269813"/>
      <w:bookmarkStart w:id="313" w:name="_Toc274143476"/>
      <w:bookmarkStart w:id="314" w:name="_Toc278969626"/>
      <w:r>
        <w:rPr>
          <w:rStyle w:val="CharDivNo"/>
        </w:rPr>
        <w:t>Division 2</w:t>
      </w:r>
      <w:r>
        <w:rPr>
          <w:snapToGrid w:val="0"/>
        </w:rPr>
        <w:t> — </w:t>
      </w:r>
      <w:r>
        <w:rPr>
          <w:rStyle w:val="CharDivText"/>
        </w:rPr>
        <w:t>Statement of corporate intent</w:t>
      </w:r>
      <w:bookmarkEnd w:id="302"/>
      <w:bookmarkEnd w:id="303"/>
      <w:bookmarkEnd w:id="304"/>
      <w:bookmarkEnd w:id="305"/>
      <w:bookmarkEnd w:id="306"/>
      <w:bookmarkEnd w:id="307"/>
      <w:bookmarkEnd w:id="308"/>
      <w:bookmarkEnd w:id="309"/>
      <w:bookmarkEnd w:id="310"/>
      <w:bookmarkEnd w:id="311"/>
      <w:bookmarkEnd w:id="312"/>
      <w:bookmarkEnd w:id="313"/>
      <w:bookmarkEnd w:id="314"/>
      <w:r>
        <w:rPr>
          <w:rStyle w:val="CharDivText"/>
        </w:rPr>
        <w:t xml:space="preserve"> </w:t>
      </w:r>
    </w:p>
    <w:p>
      <w:pPr>
        <w:pStyle w:val="Heading5"/>
        <w:rPr>
          <w:snapToGrid w:val="0"/>
        </w:rPr>
      </w:pPr>
      <w:bookmarkStart w:id="315" w:name="_Toc278969627"/>
      <w:bookmarkStart w:id="316" w:name="_Toc274143477"/>
      <w:r>
        <w:rPr>
          <w:rStyle w:val="CharSectno"/>
        </w:rPr>
        <w:t>50</w:t>
      </w:r>
      <w:r>
        <w:rPr>
          <w:snapToGrid w:val="0"/>
        </w:rPr>
        <w:t>.</w:t>
      </w:r>
      <w:r>
        <w:rPr>
          <w:snapToGrid w:val="0"/>
        </w:rPr>
        <w:tab/>
        <w:t>Draft statement to be submitted to Minister</w:t>
      </w:r>
      <w:bookmarkEnd w:id="315"/>
      <w:bookmarkEnd w:id="316"/>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statement of corporate intent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statement of corporate intent is to be submitted under subsection (1); or</w:t>
      </w:r>
    </w:p>
    <w:p>
      <w:pPr>
        <w:pStyle w:val="Indenta"/>
      </w:pPr>
      <w:r>
        <w:tab/>
        <w:t>(b)</w:t>
      </w:r>
      <w:r>
        <w:tab/>
        <w:t>cancel a notice given under paragraph (a).</w:t>
      </w:r>
    </w:p>
    <w:p>
      <w:pPr>
        <w:pStyle w:val="Subsection"/>
      </w:pPr>
      <w:r>
        <w:tab/>
        <w:t>(3)</w:t>
      </w:r>
      <w:r>
        <w:tab/>
        <w:t xml:space="preserve">Each draft statement of corporate intent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spacing w:before="80"/>
        <w:ind w:left="890" w:hanging="890"/>
      </w:pPr>
      <w:r>
        <w:tab/>
        <w:t>[Section 50 amended by No. 74 of 2003 s. 127(4); No. 77 of 2006 s. 14(3).]</w:t>
      </w:r>
    </w:p>
    <w:p>
      <w:pPr>
        <w:pStyle w:val="Ednotesection"/>
        <w:rPr>
          <w:rStyle w:val="CharSectno"/>
        </w:rPr>
      </w:pPr>
      <w:r>
        <w:rPr>
          <w:rStyle w:val="CharSectno"/>
        </w:rPr>
        <w:t>[</w:t>
      </w:r>
      <w:r>
        <w:rPr>
          <w:rStyle w:val="CharSectno"/>
          <w:b/>
          <w:bCs/>
        </w:rPr>
        <w:t>51</w:t>
      </w:r>
      <w:r>
        <w:rPr>
          <w:b/>
          <w:bCs/>
        </w:rPr>
        <w:t>.</w:t>
      </w:r>
      <w:r>
        <w:tab/>
        <w:t>Omitted under the Reprints Act 1984 s. 7(4)(g).]</w:t>
      </w:r>
    </w:p>
    <w:p>
      <w:pPr>
        <w:pStyle w:val="Heading5"/>
        <w:keepLines w:val="0"/>
        <w:rPr>
          <w:snapToGrid w:val="0"/>
        </w:rPr>
      </w:pPr>
      <w:bookmarkStart w:id="317" w:name="_Toc278969628"/>
      <w:bookmarkStart w:id="318" w:name="_Toc274143478"/>
      <w:r>
        <w:rPr>
          <w:rStyle w:val="CharSectno"/>
        </w:rPr>
        <w:t>52</w:t>
      </w:r>
      <w:r>
        <w:rPr>
          <w:snapToGrid w:val="0"/>
        </w:rPr>
        <w:t>.</w:t>
      </w:r>
      <w:r>
        <w:rPr>
          <w:snapToGrid w:val="0"/>
        </w:rPr>
        <w:tab/>
        <w:t>Matters to be included in statement</w:t>
      </w:r>
      <w:bookmarkEnd w:id="317"/>
      <w:bookmarkEnd w:id="318"/>
      <w:r>
        <w:rPr>
          <w:snapToGrid w:val="0"/>
        </w:rPr>
        <w:t xml:space="preserve"> </w:t>
      </w:r>
    </w:p>
    <w:p>
      <w:pPr>
        <w:pStyle w:val="Subsection"/>
        <w:rPr>
          <w:snapToGrid w:val="0"/>
        </w:rPr>
      </w:pPr>
      <w:r>
        <w:rPr>
          <w:snapToGrid w:val="0"/>
        </w:rPr>
        <w:tab/>
        <w:t>(1)</w:t>
      </w:r>
      <w:r>
        <w:rPr>
          <w:snapToGrid w:val="0"/>
        </w:rPr>
        <w:tab/>
        <w:t>The statement of corporate intent must be consistent with the strategic development plan under Division 1 for the corporation and any subsidiary.</w:t>
      </w:r>
    </w:p>
    <w:p>
      <w:pPr>
        <w:pStyle w:val="Subsection"/>
        <w:rPr>
          <w:snapToGrid w:val="0"/>
        </w:rPr>
      </w:pPr>
      <w:r>
        <w:rPr>
          <w:snapToGrid w:val="0"/>
        </w:rPr>
        <w:tab/>
        <w:t>(2)</w:t>
      </w:r>
      <w:r>
        <w:rPr>
          <w:snapToGrid w:val="0"/>
        </w:rPr>
        <w:tab/>
        <w:t>The statement of corporate intent for the corporation and any subsidiary must specify — </w:t>
      </w:r>
    </w:p>
    <w:p>
      <w:pPr>
        <w:pStyle w:val="Indenta"/>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t>(b)</w:t>
      </w:r>
      <w:r>
        <w:rPr>
          <w:snapToGrid w:val="0"/>
        </w:rPr>
        <w:tab/>
        <w:t>the performance targets and other measures by which performances may be judged and related to objectives;</w:t>
      </w:r>
    </w:p>
    <w:p>
      <w:pPr>
        <w:pStyle w:val="Indenta"/>
        <w:rPr>
          <w:snapToGrid w:val="0"/>
        </w:rPr>
      </w:pPr>
      <w:r>
        <w:rPr>
          <w:snapToGrid w:val="0"/>
        </w:rPr>
        <w:tab/>
        <w:t>(c)</w:t>
      </w:r>
      <w:r>
        <w:rPr>
          <w:snapToGrid w:val="0"/>
        </w:rPr>
        <w:tab/>
        <w:t>measures to be taken to protect the environment;</w:t>
      </w:r>
    </w:p>
    <w:p>
      <w:pPr>
        <w:pStyle w:val="Indenta"/>
        <w:rPr>
          <w:snapToGrid w:val="0"/>
        </w:rPr>
      </w:pPr>
      <w:r>
        <w:rPr>
          <w:snapToGrid w:val="0"/>
        </w:rPr>
        <w:tab/>
        <w:t>(d)</w:t>
      </w:r>
      <w:r>
        <w:rPr>
          <w:snapToGrid w:val="0"/>
        </w:rPr>
        <w:tab/>
        <w:t>an outline of the nature and scope of the functions proposed to be performed during the relevant financial year;</w:t>
      </w:r>
    </w:p>
    <w:p>
      <w:pPr>
        <w:pStyle w:val="Indenta"/>
        <w:rPr>
          <w:snapToGrid w:val="0"/>
        </w:rPr>
      </w:pPr>
      <w:r>
        <w:rPr>
          <w:snapToGrid w:val="0"/>
        </w:rPr>
        <w:tab/>
        <w:t>(e)</w:t>
      </w:r>
      <w:r>
        <w:rPr>
          <w:snapToGrid w:val="0"/>
        </w:rPr>
        <w:tab/>
        <w:t>an outline of the borrowings to be undertaken or proposed to be undertaken;</w:t>
      </w:r>
    </w:p>
    <w:p>
      <w:pPr>
        <w:pStyle w:val="Indenta"/>
        <w:rPr>
          <w:snapToGrid w:val="0"/>
        </w:rPr>
      </w:pPr>
      <w:r>
        <w:rPr>
          <w:snapToGrid w:val="0"/>
        </w:rPr>
        <w:tab/>
        <w:t>(f)</w:t>
      </w:r>
      <w:r>
        <w:rPr>
          <w:snapToGrid w:val="0"/>
        </w:rPr>
        <w:tab/>
        <w:t>an outline of main undertakings during the relevant financial year;</w:t>
      </w:r>
    </w:p>
    <w:p>
      <w:pPr>
        <w:pStyle w:val="Indenta"/>
        <w:rPr>
          <w:snapToGrid w:val="0"/>
        </w:rPr>
      </w:pPr>
      <w:r>
        <w:rPr>
          <w:snapToGrid w:val="0"/>
        </w:rPr>
        <w:tab/>
        <w:t>(g)</w:t>
      </w:r>
      <w:r>
        <w:rPr>
          <w:snapToGrid w:val="0"/>
        </w:rPr>
        <w:tab/>
        <w:t>the dividend policy for the relevant financial year;</w:t>
      </w:r>
    </w:p>
    <w:p>
      <w:pPr>
        <w:pStyle w:val="Indenta"/>
        <w:rPr>
          <w:snapToGrid w:val="0"/>
        </w:rPr>
      </w:pPr>
      <w:r>
        <w:rPr>
          <w:snapToGrid w:val="0"/>
        </w:rPr>
        <w:tab/>
        <w:t>(h)</w:t>
      </w:r>
      <w:r>
        <w:rPr>
          <w:snapToGrid w:val="0"/>
        </w:rPr>
        <w:tab/>
        <w:t>accounting policies that apply to the preparation of accounts;</w:t>
      </w:r>
    </w:p>
    <w:p>
      <w:pPr>
        <w:pStyle w:val="Indenta"/>
        <w:rPr>
          <w:snapToGrid w:val="0"/>
        </w:rPr>
      </w:pPr>
      <w:r>
        <w:rPr>
          <w:snapToGrid w:val="0"/>
        </w:rPr>
        <w:tab/>
        <w:t>(i)</w:t>
      </w:r>
      <w:r>
        <w:rPr>
          <w:snapToGrid w:val="0"/>
        </w:rPr>
        <w:tab/>
        <w:t>the type of information to be given to the Minister, including information to be given in quarterly and annual reports;</w:t>
      </w:r>
    </w:p>
    <w:p>
      <w:pPr>
        <w:pStyle w:val="Indenta"/>
        <w:rPr>
          <w:snapToGrid w:val="0"/>
        </w:rPr>
      </w:pPr>
      <w:r>
        <w:rPr>
          <w:snapToGrid w:val="0"/>
        </w:rPr>
        <w:tab/>
        <w:t>(j)</w:t>
      </w:r>
      <w:r>
        <w:rPr>
          <w:snapToGrid w:val="0"/>
        </w:rPr>
        <w:tab/>
        <w:t>the nature and extent of community service obligations that are to be performed;</w:t>
      </w:r>
    </w:p>
    <w:p>
      <w:pPr>
        <w:pStyle w:val="Indenta"/>
        <w:rPr>
          <w:snapToGrid w:val="0"/>
        </w:rPr>
      </w:pPr>
      <w:r>
        <w:rPr>
          <w:snapToGrid w:val="0"/>
        </w:rPr>
        <w:tab/>
        <w:t>(k)</w:t>
      </w:r>
      <w:r>
        <w:rPr>
          <w:snapToGrid w:val="0"/>
        </w:rPr>
        <w:tab/>
        <w:t>the costings of, funding for, or other arrangements to make adjustments relating to, community service obligations;</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r>
      <w:r>
        <w:rPr>
          <w:rStyle w:val="CharDefText"/>
        </w:rPr>
        <w:t>community service obligations</w:t>
      </w:r>
      <w:r>
        <w:t xml:space="preserve"> means obligations to perform functions that it is not in the commercial interests of the corporation to perform.</w:t>
      </w:r>
    </w:p>
    <w:p>
      <w:pPr>
        <w:pStyle w:val="Heading5"/>
        <w:rPr>
          <w:snapToGrid w:val="0"/>
        </w:rPr>
      </w:pPr>
      <w:bookmarkStart w:id="319" w:name="_Toc278969629"/>
      <w:bookmarkStart w:id="320" w:name="_Toc274143479"/>
      <w:r>
        <w:rPr>
          <w:rStyle w:val="CharSectno"/>
        </w:rPr>
        <w:t>53</w:t>
      </w:r>
      <w:r>
        <w:rPr>
          <w:snapToGrid w:val="0"/>
        </w:rPr>
        <w:t>.</w:t>
      </w:r>
      <w:r>
        <w:rPr>
          <w:snapToGrid w:val="0"/>
        </w:rPr>
        <w:tab/>
        <w:t>Board and Minister to agree on statement if possible</w:t>
      </w:r>
      <w:bookmarkEnd w:id="319"/>
      <w:bookmarkEnd w:id="320"/>
      <w:r>
        <w:rPr>
          <w:snapToGrid w:val="0"/>
        </w:rPr>
        <w:t xml:space="preserve"> </w:t>
      </w:r>
    </w:p>
    <w:p>
      <w:pPr>
        <w:pStyle w:val="Subsection"/>
        <w:rPr>
          <w:snapToGrid w:val="0"/>
        </w:rPr>
      </w:pPr>
      <w:r>
        <w:rPr>
          <w:snapToGrid w:val="0"/>
        </w:rPr>
        <w:tab/>
      </w:r>
      <w:r>
        <w:rPr>
          <w:snapToGrid w:val="0"/>
        </w:rPr>
        <w:tab/>
        <w:t>The board and the Minister must endeavour to reach agreement on the draft statement of corporate intent as soon as possible and, in any event not later than the start of the next financial year.</w:t>
      </w:r>
    </w:p>
    <w:p>
      <w:pPr>
        <w:pStyle w:val="Heading5"/>
        <w:rPr>
          <w:snapToGrid w:val="0"/>
        </w:rPr>
      </w:pPr>
      <w:bookmarkStart w:id="321" w:name="_Toc278969630"/>
      <w:bookmarkStart w:id="322" w:name="_Toc274143480"/>
      <w:r>
        <w:rPr>
          <w:rStyle w:val="CharSectno"/>
        </w:rPr>
        <w:t>54</w:t>
      </w:r>
      <w:r>
        <w:rPr>
          <w:snapToGrid w:val="0"/>
        </w:rPr>
        <w:t>.</w:t>
      </w:r>
      <w:r>
        <w:rPr>
          <w:snapToGrid w:val="0"/>
        </w:rPr>
        <w:tab/>
        <w:t>Minister’s powers in relation to draft statement</w:t>
      </w:r>
      <w:bookmarkEnd w:id="321"/>
      <w:bookmarkEnd w:id="322"/>
      <w:r>
        <w:rPr>
          <w:snapToGrid w:val="0"/>
        </w:rPr>
        <w:t xml:space="preserve"> </w:t>
      </w:r>
    </w:p>
    <w:p>
      <w:pPr>
        <w:pStyle w:val="Subsection"/>
        <w:rPr>
          <w:snapToGrid w:val="0"/>
        </w:rPr>
      </w:pPr>
      <w:r>
        <w:rPr>
          <w:snapToGrid w:val="0"/>
        </w:rPr>
        <w:tab/>
        <w:t>(1)</w:t>
      </w:r>
      <w:r>
        <w:rPr>
          <w:snapToGrid w:val="0"/>
        </w:rPr>
        <w:tab/>
        <w:t>The Minister may return the draft statement of corporate intent to the board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statement of corporate intent has not been agreed to by the Minister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323" w:name="_Toc278969631"/>
      <w:bookmarkStart w:id="324" w:name="_Toc274143481"/>
      <w:r>
        <w:rPr>
          <w:rStyle w:val="CharSectno"/>
        </w:rPr>
        <w:t>55</w:t>
      </w:r>
      <w:r>
        <w:rPr>
          <w:snapToGrid w:val="0"/>
        </w:rPr>
        <w:t>.</w:t>
      </w:r>
      <w:r>
        <w:rPr>
          <w:snapToGrid w:val="0"/>
        </w:rPr>
        <w:tab/>
        <w:t>Statement of corporate intent pending agreed statement</w:t>
      </w:r>
      <w:bookmarkEnd w:id="323"/>
      <w:bookmarkEnd w:id="324"/>
    </w:p>
    <w:p>
      <w:pPr>
        <w:pStyle w:val="Subsection"/>
        <w:rPr>
          <w:snapToGrid w:val="0"/>
        </w:rPr>
      </w:pPr>
      <w:r>
        <w:rPr>
          <w:snapToGrid w:val="0"/>
        </w:rPr>
        <w:tab/>
        <w:t>(1)</w:t>
      </w:r>
      <w:r>
        <w:rPr>
          <w:snapToGrid w:val="0"/>
        </w:rPr>
        <w:tab/>
        <w:t>If the Minister has not agreed to a draft statement of corporate intent before the start of a financial year, the latest draft statement is to be the statement of corporate intent for the corporation and any subsidiary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statement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325" w:name="_Toc278969632"/>
      <w:bookmarkStart w:id="326" w:name="_Toc274143482"/>
      <w:r>
        <w:rPr>
          <w:rStyle w:val="CharSectno"/>
        </w:rPr>
        <w:t>56</w:t>
      </w:r>
      <w:r>
        <w:rPr>
          <w:snapToGrid w:val="0"/>
        </w:rPr>
        <w:t>.</w:t>
      </w:r>
      <w:r>
        <w:rPr>
          <w:snapToGrid w:val="0"/>
        </w:rPr>
        <w:tab/>
        <w:t>Agreed statement, effect of, to be given to Parliament</w:t>
      </w:r>
      <w:bookmarkEnd w:id="325"/>
      <w:bookmarkEnd w:id="326"/>
      <w:r>
        <w:rPr>
          <w:snapToGrid w:val="0"/>
        </w:rPr>
        <w:t xml:space="preserve"> </w:t>
      </w:r>
    </w:p>
    <w:p>
      <w:pPr>
        <w:pStyle w:val="Subsection"/>
        <w:rPr>
          <w:snapToGrid w:val="0"/>
        </w:rPr>
      </w:pPr>
      <w:r>
        <w:rPr>
          <w:snapToGrid w:val="0"/>
        </w:rPr>
        <w:tab/>
        <w:t>(1)</w:t>
      </w:r>
      <w:r>
        <w:rPr>
          <w:snapToGrid w:val="0"/>
        </w:rPr>
        <w:tab/>
        <w:t>When a draft statement of corporate intent is agreed to by the Minister, 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The board may request the Minister to delete from the copy of a statement of corporate intent that is to be laid before Parliament a matter that is of a commercially sensitive nature, and the Minister may, despite subsection (2), comply with the request.</w:t>
      </w:r>
    </w:p>
    <w:p>
      <w:pPr>
        <w:pStyle w:val="Heading5"/>
        <w:rPr>
          <w:snapToGrid w:val="0"/>
        </w:rPr>
      </w:pPr>
      <w:bookmarkStart w:id="327" w:name="_Toc278969633"/>
      <w:bookmarkStart w:id="328" w:name="_Toc274143483"/>
      <w:r>
        <w:rPr>
          <w:rStyle w:val="CharSectno"/>
        </w:rPr>
        <w:t>57</w:t>
      </w:r>
      <w:r>
        <w:rPr>
          <w:snapToGrid w:val="0"/>
        </w:rPr>
        <w:t>.</w:t>
      </w:r>
      <w:r>
        <w:rPr>
          <w:snapToGrid w:val="0"/>
        </w:rPr>
        <w:tab/>
        <w:t>Modifying statement of corporate intent</w:t>
      </w:r>
      <w:bookmarkEnd w:id="327"/>
      <w:bookmarkEnd w:id="328"/>
      <w:r>
        <w:rPr>
          <w:snapToGrid w:val="0"/>
        </w:rPr>
        <w:t xml:space="preserve"> </w:t>
      </w:r>
    </w:p>
    <w:p>
      <w:pPr>
        <w:pStyle w:val="Subsection"/>
        <w:rPr>
          <w:snapToGrid w:val="0"/>
        </w:rPr>
      </w:pPr>
      <w:r>
        <w:rPr>
          <w:snapToGrid w:val="0"/>
        </w:rPr>
        <w:tab/>
        <w:t>(1)</w:t>
      </w:r>
      <w:r>
        <w:rPr>
          <w:snapToGrid w:val="0"/>
        </w:rPr>
        <w:tab/>
        <w:t>A statement of corporate intent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statement of corporate intent, and the board must comply with any such direction.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329" w:name="_Toc278969634"/>
      <w:bookmarkStart w:id="330" w:name="_Toc274143484"/>
      <w:r>
        <w:rPr>
          <w:rStyle w:val="CharSectno"/>
        </w:rPr>
        <w:t>58</w:t>
      </w:r>
      <w:r>
        <w:rPr>
          <w:snapToGrid w:val="0"/>
        </w:rPr>
        <w:t>.</w:t>
      </w:r>
      <w:r>
        <w:rPr>
          <w:snapToGrid w:val="0"/>
        </w:rPr>
        <w:tab/>
        <w:t>Concurrence of Treasurer</w:t>
      </w:r>
      <w:bookmarkEnd w:id="329"/>
      <w:bookmarkEnd w:id="330"/>
      <w:r>
        <w:rPr>
          <w:snapToGrid w:val="0"/>
        </w:rPr>
        <w:t xml:space="preserve"> </w:t>
      </w:r>
    </w:p>
    <w:p>
      <w:pPr>
        <w:pStyle w:val="Subsection"/>
        <w:keepNext/>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58 amended by No. 38 of 2007 s. 139.]</w:t>
      </w:r>
    </w:p>
    <w:p>
      <w:pPr>
        <w:pStyle w:val="Heading3"/>
        <w:rPr>
          <w:snapToGrid w:val="0"/>
        </w:rPr>
      </w:pPr>
      <w:bookmarkStart w:id="331" w:name="_Toc189883040"/>
      <w:bookmarkStart w:id="332" w:name="_Toc200259736"/>
      <w:bookmarkStart w:id="333" w:name="_Toc200259942"/>
      <w:bookmarkStart w:id="334" w:name="_Toc200260148"/>
      <w:bookmarkStart w:id="335" w:name="_Toc200422008"/>
      <w:bookmarkStart w:id="336" w:name="_Toc201975924"/>
      <w:bookmarkStart w:id="337" w:name="_Toc201982057"/>
      <w:bookmarkStart w:id="338" w:name="_Toc202080822"/>
      <w:bookmarkStart w:id="339" w:name="_Toc202168331"/>
      <w:bookmarkStart w:id="340" w:name="_Toc203453896"/>
      <w:bookmarkStart w:id="341" w:name="_Toc268269822"/>
      <w:bookmarkStart w:id="342" w:name="_Toc274143485"/>
      <w:bookmarkStart w:id="343" w:name="_Toc278969635"/>
      <w:r>
        <w:rPr>
          <w:rStyle w:val="CharDivNo"/>
        </w:rPr>
        <w:t>Division 3</w:t>
      </w:r>
      <w:r>
        <w:rPr>
          <w:snapToGrid w:val="0"/>
        </w:rPr>
        <w:t> — </w:t>
      </w:r>
      <w:r>
        <w:rPr>
          <w:rStyle w:val="CharDivText"/>
        </w:rPr>
        <w:t>Quarterly and annual reports</w:t>
      </w:r>
      <w:bookmarkEnd w:id="331"/>
      <w:bookmarkEnd w:id="332"/>
      <w:bookmarkEnd w:id="333"/>
      <w:bookmarkEnd w:id="334"/>
      <w:bookmarkEnd w:id="335"/>
      <w:bookmarkEnd w:id="336"/>
      <w:bookmarkEnd w:id="337"/>
      <w:bookmarkEnd w:id="338"/>
      <w:bookmarkEnd w:id="339"/>
      <w:bookmarkEnd w:id="340"/>
      <w:bookmarkEnd w:id="341"/>
      <w:bookmarkEnd w:id="342"/>
      <w:bookmarkEnd w:id="343"/>
      <w:r>
        <w:rPr>
          <w:rStyle w:val="CharDivText"/>
        </w:rPr>
        <w:t xml:space="preserve"> </w:t>
      </w:r>
    </w:p>
    <w:p>
      <w:pPr>
        <w:pStyle w:val="Heading5"/>
        <w:rPr>
          <w:snapToGrid w:val="0"/>
        </w:rPr>
      </w:pPr>
      <w:bookmarkStart w:id="344" w:name="_Toc278969636"/>
      <w:bookmarkStart w:id="345" w:name="_Toc274143486"/>
      <w:r>
        <w:rPr>
          <w:rStyle w:val="CharSectno"/>
        </w:rPr>
        <w:t>59</w:t>
      </w:r>
      <w:r>
        <w:rPr>
          <w:snapToGrid w:val="0"/>
        </w:rPr>
        <w:t>.</w:t>
      </w:r>
      <w:r>
        <w:rPr>
          <w:snapToGrid w:val="0"/>
        </w:rPr>
        <w:tab/>
        <w:t>Quarterly reports</w:t>
      </w:r>
      <w:bookmarkEnd w:id="344"/>
      <w:bookmarkEnd w:id="345"/>
      <w:r>
        <w:rPr>
          <w:snapToGrid w:val="0"/>
        </w:rPr>
        <w:t xml:space="preserve"> </w:t>
      </w:r>
    </w:p>
    <w:p>
      <w:pPr>
        <w:pStyle w:val="Subsection"/>
        <w:rPr>
          <w:snapToGrid w:val="0"/>
        </w:rPr>
      </w:pPr>
      <w:r>
        <w:rPr>
          <w:snapToGrid w:val="0"/>
        </w:rPr>
        <w:tab/>
        <w:t>(1)</w:t>
      </w:r>
      <w:r>
        <w:rPr>
          <w:snapToGrid w:val="0"/>
        </w:rPr>
        <w:tab/>
        <w:t>The corporation must, for each of the first 3 quarters of a financial year, give to the Minister a separate report on the operations of the corporation and of each subsidiary.</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The corporation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Heading5"/>
        <w:rPr>
          <w:snapToGrid w:val="0"/>
        </w:rPr>
      </w:pPr>
      <w:bookmarkStart w:id="346" w:name="_Toc278969637"/>
      <w:bookmarkStart w:id="347" w:name="_Toc274143487"/>
      <w:r>
        <w:rPr>
          <w:rStyle w:val="CharSectno"/>
        </w:rPr>
        <w:t>60</w:t>
      </w:r>
      <w:r>
        <w:rPr>
          <w:snapToGrid w:val="0"/>
        </w:rPr>
        <w:t>.</w:t>
      </w:r>
      <w:r>
        <w:rPr>
          <w:snapToGrid w:val="0"/>
        </w:rPr>
        <w:tab/>
        <w:t>Annual reports</w:t>
      </w:r>
      <w:bookmarkEnd w:id="346"/>
      <w:bookmarkEnd w:id="347"/>
      <w:r>
        <w:rPr>
          <w:snapToGrid w:val="0"/>
        </w:rPr>
        <w:t xml:space="preserve"> </w:t>
      </w:r>
    </w:p>
    <w:p>
      <w:pPr>
        <w:pStyle w:val="Subsection"/>
        <w:rPr>
          <w:snapToGrid w:val="0"/>
        </w:rPr>
      </w:pPr>
      <w:r>
        <w:rPr>
          <w:snapToGrid w:val="0"/>
        </w:rPr>
        <w:tab/>
        <w:t>(1)</w:t>
      </w:r>
      <w:r>
        <w:rPr>
          <w:snapToGrid w:val="0"/>
        </w:rPr>
        <w:tab/>
        <w:t>The corporation must prepare and deliver to the Minister in each year a separate annual report on the operations of each of the corporation and any subsidiary in accordance with clauses 35 and 36 of Schedule 3.</w:t>
      </w:r>
    </w:p>
    <w:p>
      <w:pPr>
        <w:pStyle w:val="Subsection"/>
        <w:rPr>
          <w:snapToGrid w:val="0"/>
        </w:rPr>
      </w:pPr>
      <w:r>
        <w:rPr>
          <w:snapToGrid w:val="0"/>
        </w:rPr>
        <w:tab/>
        <w:t>(2)</w:t>
      </w:r>
      <w:r>
        <w:rPr>
          <w:snapToGrid w:val="0"/>
        </w:rPr>
        <w:tab/>
        <w:t>All of the reports under subsection (1) are to be sent to the Minister at the same time.</w:t>
      </w:r>
    </w:p>
    <w:p>
      <w:pPr>
        <w:pStyle w:val="Subsection"/>
        <w:rPr>
          <w:snapToGrid w:val="0"/>
        </w:rPr>
      </w:pPr>
      <w:r>
        <w:rPr>
          <w:snapToGrid w:val="0"/>
        </w:rPr>
        <w:tab/>
        <w:t>(3)</w:t>
      </w:r>
      <w:r>
        <w:rPr>
          <w:snapToGrid w:val="0"/>
        </w:rPr>
        <w:tab/>
        <w:t>The Minister must within 21 days after the day on which a copy of an annual report of the corporation is delivered to the Minister cause a copy of the report to be laid before each House of Parliament or dealt with in accordance with section 87.</w:t>
      </w:r>
    </w:p>
    <w:p>
      <w:pPr>
        <w:pStyle w:val="Subsection"/>
        <w:rPr>
          <w:snapToGrid w:val="0"/>
        </w:rPr>
      </w:pPr>
      <w:r>
        <w:rPr>
          <w:snapToGrid w:val="0"/>
        </w:rPr>
        <w:tab/>
        <w:t>(4)</w:t>
      </w:r>
      <w:r>
        <w:rPr>
          <w:snapToGrid w:val="0"/>
        </w:rPr>
        <w:tab/>
        <w:t>An annual report on the operations of a subsidiary is not required to be laid before Parliament or dealt with under section 87.</w:t>
      </w:r>
    </w:p>
    <w:p>
      <w:pPr>
        <w:pStyle w:val="Heading5"/>
        <w:spacing w:before="180"/>
        <w:rPr>
          <w:snapToGrid w:val="0"/>
        </w:rPr>
      </w:pPr>
      <w:bookmarkStart w:id="348" w:name="_Toc278969638"/>
      <w:bookmarkStart w:id="349" w:name="_Toc274143488"/>
      <w:r>
        <w:rPr>
          <w:rStyle w:val="CharSectno"/>
        </w:rPr>
        <w:t>61</w:t>
      </w:r>
      <w:r>
        <w:rPr>
          <w:snapToGrid w:val="0"/>
        </w:rPr>
        <w:t>.</w:t>
      </w:r>
      <w:r>
        <w:rPr>
          <w:snapToGrid w:val="0"/>
        </w:rPr>
        <w:tab/>
        <w:t>Contents of annual reports</w:t>
      </w:r>
      <w:bookmarkEnd w:id="348"/>
      <w:bookmarkEnd w:id="349"/>
      <w:r>
        <w:rPr>
          <w:snapToGrid w:val="0"/>
        </w:rPr>
        <w:t xml:space="preserve"> </w:t>
      </w:r>
    </w:p>
    <w:p>
      <w:pPr>
        <w:pStyle w:val="Subsection"/>
        <w:rPr>
          <w:snapToGrid w:val="0"/>
        </w:rPr>
      </w:pPr>
      <w:r>
        <w:rPr>
          <w:snapToGrid w:val="0"/>
        </w:rPr>
        <w:tab/>
        <w:t>(1)</w:t>
      </w:r>
      <w:r>
        <w:rPr>
          <w:snapToGrid w:val="0"/>
        </w:rPr>
        <w:tab/>
        <w:t>The annual report in respect of the corporation or a subsidiary must — </w:t>
      </w:r>
    </w:p>
    <w:p>
      <w:pPr>
        <w:pStyle w:val="Indenta"/>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w:t>
      </w:r>
    </w:p>
    <w:p>
      <w:pPr>
        <w:pStyle w:val="Indenta"/>
        <w:rPr>
          <w:snapToGrid w:val="0"/>
        </w:rPr>
      </w:pPr>
      <w:r>
        <w:rPr>
          <w:snapToGrid w:val="0"/>
        </w:rPr>
        <w:tab/>
        <w:t>(b)</w:t>
      </w:r>
      <w:r>
        <w:rPr>
          <w:snapToGrid w:val="0"/>
        </w:rPr>
        <w:tab/>
        <w:t>include a comparison of the performance of the corporation or the subsidiary with any relevant statement of corporate intent;</w:t>
      </w:r>
    </w:p>
    <w:p>
      <w:pPr>
        <w:pStyle w:val="Indenta"/>
        <w:rPr>
          <w:snapToGrid w:val="0"/>
        </w:rPr>
      </w:pPr>
      <w:r>
        <w:rPr>
          <w:snapToGrid w:val="0"/>
        </w:rPr>
        <w:tab/>
        <w:t>(c)</w:t>
      </w:r>
      <w:r>
        <w:rPr>
          <w:snapToGrid w:val="0"/>
        </w:rPr>
        <w:tab/>
        <w:t>include particulars of any directions given by the Minister under section 45(3), 48(2), 54(3), 57(2), 64(1), 70(4) or 79(3) or (6) — </w:t>
      </w:r>
    </w:p>
    <w:p>
      <w:pPr>
        <w:pStyle w:val="Indenti"/>
        <w:rPr>
          <w:snapToGrid w:val="0"/>
        </w:rPr>
      </w:pPr>
      <w:r>
        <w:rPr>
          <w:snapToGrid w:val="0"/>
        </w:rPr>
        <w:tab/>
        <w:t>(i)</w:t>
      </w:r>
      <w:r>
        <w:rPr>
          <w:snapToGrid w:val="0"/>
        </w:rPr>
        <w:tab/>
        <w:t>that apply to the corporation or the subsidiary; and</w:t>
      </w:r>
    </w:p>
    <w:p>
      <w:pPr>
        <w:pStyle w:val="Indenti"/>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The annual report in respect of the corporation must also include a summary of the report referred to in section 25.</w:t>
      </w:r>
    </w:p>
    <w:p>
      <w:pPr>
        <w:pStyle w:val="Subsection"/>
        <w:spacing w:before="120"/>
        <w:rPr>
          <w:snapToGrid w:val="0"/>
        </w:rPr>
      </w:pPr>
      <w:r>
        <w:rPr>
          <w:snapToGrid w:val="0"/>
        </w:rPr>
        <w:tab/>
        <w:t>(3)</w:t>
      </w:r>
      <w:r>
        <w:rPr>
          <w:snapToGrid w:val="0"/>
        </w:rPr>
        <w:tab/>
        <w:t>The requirements of this section are in addition to clauses 35 and 36 of Schedule 3.</w:t>
      </w:r>
    </w:p>
    <w:p>
      <w:pPr>
        <w:pStyle w:val="Heading5"/>
        <w:rPr>
          <w:snapToGrid w:val="0"/>
        </w:rPr>
      </w:pPr>
      <w:bookmarkStart w:id="350" w:name="_Toc278969639"/>
      <w:bookmarkStart w:id="351" w:name="_Toc274143489"/>
      <w:r>
        <w:rPr>
          <w:rStyle w:val="CharSectno"/>
        </w:rPr>
        <w:t>62</w:t>
      </w:r>
      <w:r>
        <w:rPr>
          <w:snapToGrid w:val="0"/>
        </w:rPr>
        <w:t>.</w:t>
      </w:r>
      <w:r>
        <w:rPr>
          <w:snapToGrid w:val="0"/>
        </w:rPr>
        <w:tab/>
        <w:t>Deletion of commercially sensitive matters from reports</w:t>
      </w:r>
      <w:bookmarkEnd w:id="350"/>
      <w:bookmarkEnd w:id="351"/>
      <w:r>
        <w:rPr>
          <w:snapToGrid w:val="0"/>
        </w:rPr>
        <w:t xml:space="preserve"> </w:t>
      </w:r>
    </w:p>
    <w:p>
      <w:pPr>
        <w:pStyle w:val="Subsection"/>
        <w:rPr>
          <w:snapToGrid w:val="0"/>
        </w:rPr>
      </w:pPr>
      <w:r>
        <w:rPr>
          <w:snapToGrid w:val="0"/>
        </w:rPr>
        <w:tab/>
        <w:t>(1)</w:t>
      </w:r>
      <w:r>
        <w:rPr>
          <w:snapToGrid w:val="0"/>
        </w:rPr>
        <w:tab/>
        <w:t>The board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Heading3"/>
        <w:rPr>
          <w:snapToGrid w:val="0"/>
        </w:rPr>
      </w:pPr>
      <w:bookmarkStart w:id="352" w:name="_Toc189883045"/>
      <w:bookmarkStart w:id="353" w:name="_Toc200259741"/>
      <w:bookmarkStart w:id="354" w:name="_Toc200259947"/>
      <w:bookmarkStart w:id="355" w:name="_Toc200260153"/>
      <w:bookmarkStart w:id="356" w:name="_Toc200422013"/>
      <w:bookmarkStart w:id="357" w:name="_Toc201975929"/>
      <w:bookmarkStart w:id="358" w:name="_Toc201982062"/>
      <w:bookmarkStart w:id="359" w:name="_Toc202080827"/>
      <w:bookmarkStart w:id="360" w:name="_Toc202168336"/>
      <w:bookmarkStart w:id="361" w:name="_Toc203453901"/>
      <w:bookmarkStart w:id="362" w:name="_Toc268269827"/>
      <w:bookmarkStart w:id="363" w:name="_Toc274143490"/>
      <w:bookmarkStart w:id="364" w:name="_Toc278969640"/>
      <w:r>
        <w:rPr>
          <w:rStyle w:val="CharDivNo"/>
        </w:rPr>
        <w:t>Division 4</w:t>
      </w:r>
      <w:r>
        <w:rPr>
          <w:snapToGrid w:val="0"/>
        </w:rPr>
        <w:t> — </w:t>
      </w:r>
      <w:r>
        <w:rPr>
          <w:rStyle w:val="CharDivText"/>
        </w:rPr>
        <w:t>Ministerial directions, general provisions</w:t>
      </w:r>
      <w:bookmarkEnd w:id="352"/>
      <w:bookmarkEnd w:id="353"/>
      <w:bookmarkEnd w:id="354"/>
      <w:bookmarkEnd w:id="355"/>
      <w:bookmarkEnd w:id="356"/>
      <w:bookmarkEnd w:id="357"/>
      <w:bookmarkEnd w:id="358"/>
      <w:bookmarkEnd w:id="359"/>
      <w:bookmarkEnd w:id="360"/>
      <w:bookmarkEnd w:id="361"/>
      <w:bookmarkEnd w:id="362"/>
      <w:bookmarkEnd w:id="363"/>
      <w:bookmarkEnd w:id="364"/>
      <w:r>
        <w:rPr>
          <w:rStyle w:val="CharDivText"/>
        </w:rPr>
        <w:t xml:space="preserve"> </w:t>
      </w:r>
    </w:p>
    <w:p>
      <w:pPr>
        <w:pStyle w:val="Heading5"/>
        <w:rPr>
          <w:snapToGrid w:val="0"/>
        </w:rPr>
      </w:pPr>
      <w:bookmarkStart w:id="365" w:name="_Toc278969641"/>
      <w:bookmarkStart w:id="366" w:name="_Toc274143491"/>
      <w:r>
        <w:rPr>
          <w:rStyle w:val="CharSectno"/>
        </w:rPr>
        <w:t>63</w:t>
      </w:r>
      <w:r>
        <w:rPr>
          <w:snapToGrid w:val="0"/>
        </w:rPr>
        <w:t>.</w:t>
      </w:r>
      <w:r>
        <w:rPr>
          <w:snapToGrid w:val="0"/>
        </w:rPr>
        <w:tab/>
        <w:t>Directions to corporation</w:t>
      </w:r>
      <w:bookmarkEnd w:id="365"/>
      <w:bookmarkEnd w:id="366"/>
      <w:r>
        <w:rPr>
          <w:snapToGrid w:val="0"/>
        </w:rPr>
        <w:t xml:space="preserve"> </w:t>
      </w:r>
    </w:p>
    <w:p>
      <w:pPr>
        <w:pStyle w:val="Subsection"/>
        <w:rPr>
          <w:snapToGrid w:val="0"/>
        </w:rPr>
      </w:pPr>
      <w:r>
        <w:rPr>
          <w:snapToGrid w:val="0"/>
        </w:rPr>
        <w:tab/>
      </w:r>
      <w:r>
        <w:rPr>
          <w:snapToGrid w:val="0"/>
        </w:rPr>
        <w:tab/>
        <w:t>Except as provided by this Act or any other written law, the corporation is not required to comply with any direction or administrative request given or made by or on behalf of the Government.</w:t>
      </w:r>
    </w:p>
    <w:p>
      <w:pPr>
        <w:pStyle w:val="Heading5"/>
        <w:rPr>
          <w:snapToGrid w:val="0"/>
        </w:rPr>
      </w:pPr>
      <w:bookmarkStart w:id="367" w:name="_Toc278969642"/>
      <w:bookmarkStart w:id="368" w:name="_Toc274143492"/>
      <w:r>
        <w:rPr>
          <w:rStyle w:val="CharSectno"/>
        </w:rPr>
        <w:t>64</w:t>
      </w:r>
      <w:r>
        <w:rPr>
          <w:snapToGrid w:val="0"/>
        </w:rPr>
        <w:t>.</w:t>
      </w:r>
      <w:r>
        <w:rPr>
          <w:snapToGrid w:val="0"/>
        </w:rPr>
        <w:tab/>
        <w:t>Minister may give directions</w:t>
      </w:r>
      <w:bookmarkEnd w:id="367"/>
      <w:bookmarkEnd w:id="368"/>
      <w:r>
        <w:rPr>
          <w:snapToGrid w:val="0"/>
        </w:rPr>
        <w:t xml:space="preserve"> </w:t>
      </w:r>
    </w:p>
    <w:p>
      <w:pPr>
        <w:pStyle w:val="Subsection"/>
        <w:rPr>
          <w:snapToGrid w:val="0"/>
        </w:rPr>
      </w:pPr>
      <w:r>
        <w:rPr>
          <w:snapToGrid w:val="0"/>
        </w:rPr>
        <w:tab/>
        <w:t>(1)</w:t>
      </w:r>
      <w:r>
        <w:rPr>
          <w:snapToGrid w:val="0"/>
        </w:rPr>
        <w:tab/>
        <w:t>The Minister may give directions in writing to the corporation 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Heading5"/>
        <w:rPr>
          <w:snapToGrid w:val="0"/>
        </w:rPr>
      </w:pPr>
      <w:bookmarkStart w:id="369" w:name="_Toc278969643"/>
      <w:bookmarkStart w:id="370" w:name="_Toc274143493"/>
      <w:r>
        <w:rPr>
          <w:rStyle w:val="CharSectno"/>
        </w:rPr>
        <w:t>65</w:t>
      </w:r>
      <w:r>
        <w:rPr>
          <w:snapToGrid w:val="0"/>
        </w:rPr>
        <w:t>.</w:t>
      </w:r>
      <w:r>
        <w:rPr>
          <w:snapToGrid w:val="0"/>
        </w:rPr>
        <w:tab/>
        <w:t>Directions contrary to commercial interest</w:t>
      </w:r>
      <w:bookmarkEnd w:id="369"/>
      <w:bookmarkEnd w:id="370"/>
      <w:r>
        <w:rPr>
          <w:snapToGrid w:val="0"/>
        </w:rPr>
        <w:t xml:space="preserve"> </w:t>
      </w:r>
    </w:p>
    <w:p>
      <w:pPr>
        <w:pStyle w:val="Subsection"/>
        <w:rPr>
          <w:snapToGrid w:val="0"/>
        </w:rPr>
      </w:pPr>
      <w:r>
        <w:rPr>
          <w:snapToGrid w:val="0"/>
        </w:rPr>
        <w:tab/>
        <w:t>(1)</w:t>
      </w:r>
      <w:r>
        <w:rPr>
          <w:snapToGrid w:val="0"/>
        </w:rPr>
        <w:tab/>
        <w:t>Where a direction under section 64 is given and the board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Heading5"/>
        <w:rPr>
          <w:snapToGrid w:val="0"/>
        </w:rPr>
      </w:pPr>
      <w:bookmarkStart w:id="371" w:name="_Toc278969644"/>
      <w:bookmarkStart w:id="372" w:name="_Toc274143494"/>
      <w:r>
        <w:rPr>
          <w:rStyle w:val="CharSectno"/>
        </w:rPr>
        <w:t>66</w:t>
      </w:r>
      <w:r>
        <w:rPr>
          <w:snapToGrid w:val="0"/>
        </w:rPr>
        <w:t>.</w:t>
      </w:r>
      <w:r>
        <w:rPr>
          <w:snapToGrid w:val="0"/>
        </w:rPr>
        <w:tab/>
        <w:t>When directions take effect</w:t>
      </w:r>
      <w:bookmarkEnd w:id="371"/>
      <w:bookmarkEnd w:id="372"/>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rPr>
          <w:snapToGrid w:val="0"/>
        </w:rPr>
      </w:pPr>
      <w:r>
        <w:rPr>
          <w:snapToGrid w:val="0"/>
        </w:rPr>
        <w:tab/>
        <w:t>(a)</w:t>
      </w:r>
      <w:r>
        <w:rPr>
          <w:snapToGrid w:val="0"/>
        </w:rPr>
        <w:tab/>
        <w:t>on the expiry of 7 days after its receipt by the board or of such longer period as the Minister may, at the request of the board, determine; or</w:t>
      </w:r>
    </w:p>
    <w:p>
      <w:pPr>
        <w:pStyle w:val="Indenta"/>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Heading3"/>
        <w:keepLines/>
        <w:rPr>
          <w:snapToGrid w:val="0"/>
        </w:rPr>
      </w:pPr>
      <w:bookmarkStart w:id="373" w:name="_Toc189883050"/>
      <w:bookmarkStart w:id="374" w:name="_Toc200259746"/>
      <w:bookmarkStart w:id="375" w:name="_Toc200259952"/>
      <w:bookmarkStart w:id="376" w:name="_Toc200260158"/>
      <w:bookmarkStart w:id="377" w:name="_Toc200422018"/>
      <w:bookmarkStart w:id="378" w:name="_Toc201975934"/>
      <w:bookmarkStart w:id="379" w:name="_Toc201982067"/>
      <w:bookmarkStart w:id="380" w:name="_Toc202080832"/>
      <w:bookmarkStart w:id="381" w:name="_Toc202168341"/>
      <w:bookmarkStart w:id="382" w:name="_Toc203453906"/>
      <w:bookmarkStart w:id="383" w:name="_Toc268269832"/>
      <w:bookmarkStart w:id="384" w:name="_Toc274143495"/>
      <w:bookmarkStart w:id="385" w:name="_Toc278969645"/>
      <w:r>
        <w:rPr>
          <w:rStyle w:val="CharDivNo"/>
        </w:rPr>
        <w:t>Division 5</w:t>
      </w:r>
      <w:r>
        <w:rPr>
          <w:snapToGrid w:val="0"/>
        </w:rPr>
        <w:t> — </w:t>
      </w:r>
      <w:r>
        <w:rPr>
          <w:rStyle w:val="CharDivText"/>
        </w:rPr>
        <w:t>Consultation and provision of information</w:t>
      </w:r>
      <w:bookmarkEnd w:id="373"/>
      <w:bookmarkEnd w:id="374"/>
      <w:bookmarkEnd w:id="375"/>
      <w:bookmarkEnd w:id="376"/>
      <w:bookmarkEnd w:id="377"/>
      <w:bookmarkEnd w:id="378"/>
      <w:bookmarkEnd w:id="379"/>
      <w:bookmarkEnd w:id="380"/>
      <w:bookmarkEnd w:id="381"/>
      <w:bookmarkEnd w:id="382"/>
      <w:bookmarkEnd w:id="383"/>
      <w:bookmarkEnd w:id="384"/>
      <w:bookmarkEnd w:id="385"/>
      <w:r>
        <w:rPr>
          <w:rStyle w:val="CharDivText"/>
        </w:rPr>
        <w:t xml:space="preserve"> </w:t>
      </w:r>
    </w:p>
    <w:p>
      <w:pPr>
        <w:pStyle w:val="Heading5"/>
        <w:rPr>
          <w:snapToGrid w:val="0"/>
        </w:rPr>
      </w:pPr>
      <w:bookmarkStart w:id="386" w:name="_Toc278969646"/>
      <w:bookmarkStart w:id="387" w:name="_Toc274143496"/>
      <w:r>
        <w:rPr>
          <w:rStyle w:val="CharSectno"/>
        </w:rPr>
        <w:t>67</w:t>
      </w:r>
      <w:r>
        <w:rPr>
          <w:snapToGrid w:val="0"/>
        </w:rPr>
        <w:t>.</w:t>
      </w:r>
      <w:r>
        <w:rPr>
          <w:snapToGrid w:val="0"/>
        </w:rPr>
        <w:tab/>
        <w:t>Consultation</w:t>
      </w:r>
      <w:bookmarkEnd w:id="386"/>
      <w:bookmarkEnd w:id="387"/>
      <w:r>
        <w:rPr>
          <w:snapToGrid w:val="0"/>
        </w:rPr>
        <w:t xml:space="preserve"> </w:t>
      </w:r>
    </w:p>
    <w:p>
      <w:pPr>
        <w:pStyle w:val="Subsection"/>
        <w:rPr>
          <w:snapToGrid w:val="0"/>
        </w:rPr>
      </w:pPr>
      <w:r>
        <w:rPr>
          <w:snapToGrid w:val="0"/>
        </w:rPr>
        <w:tab/>
      </w:r>
      <w:r>
        <w:rPr>
          <w:snapToGrid w:val="0"/>
        </w:rPr>
        <w:tab/>
        <w:t>The board and the Minister, at the request of either, are to consult together, either personally or through appropriate representatives, in relation to any aspect of the operation of the corporation.</w:t>
      </w:r>
    </w:p>
    <w:p>
      <w:pPr>
        <w:pStyle w:val="Heading5"/>
        <w:rPr>
          <w:snapToGrid w:val="0"/>
        </w:rPr>
      </w:pPr>
      <w:bookmarkStart w:id="388" w:name="_Toc278969647"/>
      <w:bookmarkStart w:id="389" w:name="_Toc274143497"/>
      <w:r>
        <w:rPr>
          <w:rStyle w:val="CharSectno"/>
        </w:rPr>
        <w:t>68</w:t>
      </w:r>
      <w:r>
        <w:rPr>
          <w:snapToGrid w:val="0"/>
        </w:rPr>
        <w:t>.</w:t>
      </w:r>
      <w:r>
        <w:rPr>
          <w:snapToGrid w:val="0"/>
        </w:rPr>
        <w:tab/>
        <w:t>Minister to have access to information</w:t>
      </w:r>
      <w:bookmarkEnd w:id="388"/>
      <w:bookmarkEnd w:id="389"/>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corporation and any subsidiary;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chief executive officer or the board to furnish information to the Minister;</w:t>
      </w:r>
    </w:p>
    <w:p>
      <w:pPr>
        <w:pStyle w:val="Indenta"/>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for the purposes of paragraph (b) make use of the staff of the corporation and any subsidiary 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w:t>
      </w:r>
    </w:p>
    <w:p>
      <w:pPr>
        <w:pStyle w:val="Subsection"/>
        <w:rPr>
          <w:snapToGrid w:val="0"/>
        </w:rPr>
      </w:pPr>
      <w:r>
        <w:rPr>
          <w:snapToGrid w:val="0"/>
        </w:rPr>
        <w:tab/>
        <w:t>(5)</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corporation.</w:t>
      </w:r>
    </w:p>
    <w:p>
      <w:pPr>
        <w:pStyle w:val="Heading5"/>
        <w:rPr>
          <w:snapToGrid w:val="0"/>
        </w:rPr>
      </w:pPr>
      <w:bookmarkStart w:id="390" w:name="_Toc278969648"/>
      <w:bookmarkStart w:id="391" w:name="_Toc274143498"/>
      <w:r>
        <w:rPr>
          <w:rStyle w:val="CharSectno"/>
        </w:rPr>
        <w:t>69</w:t>
      </w:r>
      <w:r>
        <w:rPr>
          <w:snapToGrid w:val="0"/>
        </w:rPr>
        <w:t>.</w:t>
      </w:r>
      <w:r>
        <w:rPr>
          <w:snapToGrid w:val="0"/>
        </w:rPr>
        <w:tab/>
        <w:t>Minister to be kept informed</w:t>
      </w:r>
      <w:bookmarkEnd w:id="390"/>
      <w:bookmarkEnd w:id="391"/>
      <w:r>
        <w:rPr>
          <w:snapToGrid w:val="0"/>
        </w:rPr>
        <w:t xml:space="preserve"> </w:t>
      </w:r>
    </w:p>
    <w:p>
      <w:pPr>
        <w:pStyle w:val="Subsection"/>
        <w:rPr>
          <w:snapToGrid w:val="0"/>
        </w:rPr>
      </w:pPr>
      <w:r>
        <w:rPr>
          <w:snapToGrid w:val="0"/>
        </w:rPr>
        <w:tab/>
      </w:r>
      <w:r>
        <w:rPr>
          <w:snapToGrid w:val="0"/>
        </w:rPr>
        <w:tab/>
        <w:t>The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Heading5"/>
        <w:rPr>
          <w:snapToGrid w:val="0"/>
        </w:rPr>
      </w:pPr>
      <w:bookmarkStart w:id="392" w:name="_Toc278969649"/>
      <w:bookmarkStart w:id="393" w:name="_Toc274143499"/>
      <w:r>
        <w:rPr>
          <w:rStyle w:val="CharSectno"/>
        </w:rPr>
        <w:t>70</w:t>
      </w:r>
      <w:r>
        <w:rPr>
          <w:snapToGrid w:val="0"/>
        </w:rPr>
        <w:t>.</w:t>
      </w:r>
      <w:r>
        <w:rPr>
          <w:snapToGrid w:val="0"/>
        </w:rPr>
        <w:tab/>
        <w:t>Notice of financial difficulty</w:t>
      </w:r>
      <w:bookmarkEnd w:id="392"/>
      <w:bookmarkEnd w:id="393"/>
      <w:r>
        <w:rPr>
          <w:snapToGrid w:val="0"/>
        </w:rPr>
        <w:t xml:space="preserve"> </w:t>
      </w:r>
    </w:p>
    <w:p>
      <w:pPr>
        <w:pStyle w:val="Subsection"/>
        <w:rPr>
          <w:snapToGrid w:val="0"/>
        </w:rPr>
      </w:pPr>
      <w:r>
        <w:rPr>
          <w:snapToGrid w:val="0"/>
        </w:rPr>
        <w:tab/>
        <w:t>(1)</w:t>
      </w:r>
      <w:r>
        <w:rPr>
          <w:snapToGrid w:val="0"/>
        </w:rPr>
        <w:tab/>
        <w:t>The board must notify the Minister if the board forms the opinion that the corporation or a subsidiary 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For the purposes of subsection (3) the Minister may give directions to the corporation including a direction requiring the corporation or any subsidiary 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Heading3"/>
        <w:rPr>
          <w:snapToGrid w:val="0"/>
        </w:rPr>
      </w:pPr>
      <w:bookmarkStart w:id="394" w:name="_Toc189883055"/>
      <w:bookmarkStart w:id="395" w:name="_Toc200259751"/>
      <w:bookmarkStart w:id="396" w:name="_Toc200259957"/>
      <w:bookmarkStart w:id="397" w:name="_Toc200260163"/>
      <w:bookmarkStart w:id="398" w:name="_Toc200422023"/>
      <w:bookmarkStart w:id="399" w:name="_Toc201975939"/>
      <w:bookmarkStart w:id="400" w:name="_Toc201982072"/>
      <w:bookmarkStart w:id="401" w:name="_Toc202080837"/>
      <w:bookmarkStart w:id="402" w:name="_Toc202168346"/>
      <w:bookmarkStart w:id="403" w:name="_Toc203453911"/>
      <w:bookmarkStart w:id="404" w:name="_Toc268269837"/>
      <w:bookmarkStart w:id="405" w:name="_Toc274143500"/>
      <w:bookmarkStart w:id="406" w:name="_Toc278969650"/>
      <w:r>
        <w:rPr>
          <w:rStyle w:val="CharDivNo"/>
        </w:rPr>
        <w:t>Division 6</w:t>
      </w:r>
      <w:r>
        <w:rPr>
          <w:snapToGrid w:val="0"/>
        </w:rPr>
        <w:t> — </w:t>
      </w:r>
      <w:r>
        <w:rPr>
          <w:rStyle w:val="CharDivText"/>
        </w:rPr>
        <w:t>General</w:t>
      </w:r>
      <w:bookmarkEnd w:id="394"/>
      <w:bookmarkEnd w:id="395"/>
      <w:bookmarkEnd w:id="396"/>
      <w:bookmarkEnd w:id="397"/>
      <w:bookmarkEnd w:id="398"/>
      <w:bookmarkEnd w:id="399"/>
      <w:bookmarkEnd w:id="400"/>
      <w:bookmarkEnd w:id="401"/>
      <w:bookmarkEnd w:id="402"/>
      <w:bookmarkEnd w:id="403"/>
      <w:bookmarkEnd w:id="404"/>
      <w:bookmarkEnd w:id="405"/>
      <w:bookmarkEnd w:id="406"/>
      <w:r>
        <w:rPr>
          <w:rStyle w:val="CharDivText"/>
        </w:rPr>
        <w:t xml:space="preserve"> </w:t>
      </w:r>
    </w:p>
    <w:p>
      <w:pPr>
        <w:pStyle w:val="Heading5"/>
        <w:rPr>
          <w:snapToGrid w:val="0"/>
        </w:rPr>
      </w:pPr>
      <w:bookmarkStart w:id="407" w:name="_Toc278969651"/>
      <w:bookmarkStart w:id="408" w:name="_Toc274143501"/>
      <w:r>
        <w:rPr>
          <w:rStyle w:val="CharSectno"/>
        </w:rPr>
        <w:t>71</w:t>
      </w:r>
      <w:r>
        <w:rPr>
          <w:snapToGrid w:val="0"/>
        </w:rPr>
        <w:t>.</w:t>
      </w:r>
      <w:r>
        <w:rPr>
          <w:snapToGrid w:val="0"/>
        </w:rPr>
        <w:tab/>
        <w:t>Protection from liability</w:t>
      </w:r>
      <w:bookmarkEnd w:id="407"/>
      <w:bookmarkEnd w:id="408"/>
      <w:r>
        <w:rPr>
          <w:snapToGrid w:val="0"/>
        </w:rPr>
        <w:t xml:space="preserve"> </w:t>
      </w:r>
    </w:p>
    <w:p>
      <w:pPr>
        <w:pStyle w:val="Subsection"/>
        <w:rPr>
          <w:snapToGrid w:val="0"/>
        </w:rPr>
      </w:pPr>
      <w:r>
        <w:rPr>
          <w:snapToGrid w:val="0"/>
        </w:rPr>
        <w:tab/>
        <w:t>(1)</w:t>
      </w:r>
      <w:r>
        <w:rPr>
          <w:snapToGrid w:val="0"/>
        </w:rPr>
        <w:tab/>
        <w:t>The corporation, a subsidiary of the corporation or a person performing functions under this Act is not liable —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spacing w:before="120"/>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Heading2"/>
      </w:pPr>
      <w:bookmarkStart w:id="409" w:name="_Toc189883057"/>
      <w:bookmarkStart w:id="410" w:name="_Toc200259753"/>
      <w:bookmarkStart w:id="411" w:name="_Toc200259959"/>
      <w:bookmarkStart w:id="412" w:name="_Toc200260165"/>
      <w:bookmarkStart w:id="413" w:name="_Toc200422025"/>
      <w:bookmarkStart w:id="414" w:name="_Toc201975941"/>
      <w:bookmarkStart w:id="415" w:name="_Toc201982074"/>
      <w:bookmarkStart w:id="416" w:name="_Toc202080839"/>
      <w:bookmarkStart w:id="417" w:name="_Toc202168348"/>
      <w:bookmarkStart w:id="418" w:name="_Toc203453913"/>
      <w:bookmarkStart w:id="419" w:name="_Toc268269839"/>
      <w:bookmarkStart w:id="420" w:name="_Toc274143502"/>
      <w:bookmarkStart w:id="421" w:name="_Toc278969652"/>
      <w:r>
        <w:rPr>
          <w:rStyle w:val="CharPartNo"/>
        </w:rPr>
        <w:t>Part 5</w:t>
      </w:r>
      <w:r>
        <w:t> — </w:t>
      </w:r>
      <w:r>
        <w:rPr>
          <w:rStyle w:val="CharPartText"/>
        </w:rPr>
        <w:t>Financial provisions</w:t>
      </w:r>
      <w:bookmarkEnd w:id="409"/>
      <w:bookmarkEnd w:id="410"/>
      <w:bookmarkEnd w:id="411"/>
      <w:bookmarkEnd w:id="412"/>
      <w:bookmarkEnd w:id="413"/>
      <w:bookmarkEnd w:id="414"/>
      <w:bookmarkEnd w:id="415"/>
      <w:bookmarkEnd w:id="416"/>
      <w:bookmarkEnd w:id="417"/>
      <w:bookmarkEnd w:id="418"/>
      <w:bookmarkEnd w:id="419"/>
      <w:bookmarkEnd w:id="420"/>
      <w:bookmarkEnd w:id="421"/>
      <w:r>
        <w:rPr>
          <w:rStyle w:val="CharPartText"/>
        </w:rPr>
        <w:t xml:space="preserve"> </w:t>
      </w:r>
    </w:p>
    <w:p>
      <w:pPr>
        <w:pStyle w:val="Heading3"/>
        <w:rPr>
          <w:snapToGrid w:val="0"/>
        </w:rPr>
      </w:pPr>
      <w:bookmarkStart w:id="422" w:name="_Toc189883058"/>
      <w:bookmarkStart w:id="423" w:name="_Toc200259754"/>
      <w:bookmarkStart w:id="424" w:name="_Toc200259960"/>
      <w:bookmarkStart w:id="425" w:name="_Toc200260166"/>
      <w:bookmarkStart w:id="426" w:name="_Toc200422026"/>
      <w:bookmarkStart w:id="427" w:name="_Toc201975942"/>
      <w:bookmarkStart w:id="428" w:name="_Toc201982075"/>
      <w:bookmarkStart w:id="429" w:name="_Toc202080840"/>
      <w:bookmarkStart w:id="430" w:name="_Toc202168349"/>
      <w:bookmarkStart w:id="431" w:name="_Toc203453914"/>
      <w:bookmarkStart w:id="432" w:name="_Toc268269840"/>
      <w:bookmarkStart w:id="433" w:name="_Toc274143503"/>
      <w:bookmarkStart w:id="434" w:name="_Toc278969653"/>
      <w:r>
        <w:rPr>
          <w:rStyle w:val="CharDivNo"/>
        </w:rPr>
        <w:t>Division 1</w:t>
      </w:r>
      <w:r>
        <w:rPr>
          <w:snapToGrid w:val="0"/>
        </w:rPr>
        <w:t> — </w:t>
      </w:r>
      <w:r>
        <w:rPr>
          <w:rStyle w:val="CharDivText"/>
        </w:rPr>
        <w:t>General</w:t>
      </w:r>
      <w:bookmarkEnd w:id="422"/>
      <w:bookmarkEnd w:id="423"/>
      <w:bookmarkEnd w:id="424"/>
      <w:bookmarkEnd w:id="425"/>
      <w:bookmarkEnd w:id="426"/>
      <w:bookmarkEnd w:id="427"/>
      <w:bookmarkEnd w:id="428"/>
      <w:bookmarkEnd w:id="429"/>
      <w:bookmarkEnd w:id="430"/>
      <w:bookmarkEnd w:id="431"/>
      <w:bookmarkEnd w:id="432"/>
      <w:bookmarkEnd w:id="433"/>
      <w:bookmarkEnd w:id="434"/>
      <w:r>
        <w:rPr>
          <w:rStyle w:val="CharDivText"/>
        </w:rPr>
        <w:t xml:space="preserve"> </w:t>
      </w:r>
    </w:p>
    <w:p>
      <w:pPr>
        <w:pStyle w:val="Heading5"/>
        <w:rPr>
          <w:snapToGrid w:val="0"/>
        </w:rPr>
      </w:pPr>
      <w:bookmarkStart w:id="435" w:name="_Toc278969654"/>
      <w:bookmarkStart w:id="436" w:name="_Toc274143504"/>
      <w:r>
        <w:rPr>
          <w:rStyle w:val="CharSectno"/>
        </w:rPr>
        <w:t>72</w:t>
      </w:r>
      <w:r>
        <w:rPr>
          <w:snapToGrid w:val="0"/>
        </w:rPr>
        <w:t>.</w:t>
      </w:r>
      <w:r>
        <w:rPr>
          <w:snapToGrid w:val="0"/>
        </w:rPr>
        <w:tab/>
        <w:t>Capital and allotment of shares</w:t>
      </w:r>
      <w:bookmarkEnd w:id="435"/>
      <w:bookmarkEnd w:id="436"/>
      <w:r>
        <w:rPr>
          <w:snapToGrid w:val="0"/>
        </w:rPr>
        <w:t xml:space="preserve"> </w:t>
      </w:r>
    </w:p>
    <w:p>
      <w:pPr>
        <w:pStyle w:val="Subsection"/>
        <w:rPr>
          <w:snapToGrid w:val="0"/>
        </w:rPr>
      </w:pPr>
      <w:r>
        <w:rPr>
          <w:snapToGrid w:val="0"/>
        </w:rPr>
        <w:tab/>
        <w:t>(1)</w:t>
      </w:r>
      <w:r>
        <w:rPr>
          <w:snapToGrid w:val="0"/>
        </w:rPr>
        <w:tab/>
        <w:t>The amount of the authorised capital of the corporation and the number and nominal value of the shares into which it is to be divided are to be prescribed by regulation.</w:t>
      </w:r>
    </w:p>
    <w:p>
      <w:pPr>
        <w:pStyle w:val="Subsection"/>
        <w:rPr>
          <w:snapToGrid w:val="0"/>
        </w:rPr>
      </w:pPr>
      <w:r>
        <w:rPr>
          <w:snapToGrid w:val="0"/>
        </w:rPr>
        <w:tab/>
        <w:t>(2)</w:t>
      </w:r>
      <w:r>
        <w:rPr>
          <w:snapToGrid w:val="0"/>
        </w:rPr>
        <w:tab/>
        <w:t>All of the shares are to be allotted to the Minister and are to be paid for in the manner agreed between the Minister and the board and approved by the Treasurer.</w:t>
      </w:r>
    </w:p>
    <w:p>
      <w:pPr>
        <w:pStyle w:val="Subsection"/>
        <w:rPr>
          <w:snapToGrid w:val="0"/>
        </w:rPr>
      </w:pPr>
      <w:r>
        <w:rPr>
          <w:snapToGrid w:val="0"/>
        </w:rPr>
        <w:tab/>
        <w:t>(3)</w:t>
      </w:r>
      <w:r>
        <w:rPr>
          <w:snapToGrid w:val="0"/>
        </w:rPr>
        <w:tab/>
        <w:t>Shares in the authorised capital of the corporation are not to be held otherwise than by the Minister.</w:t>
      </w:r>
    </w:p>
    <w:p>
      <w:pPr>
        <w:pStyle w:val="Subsection"/>
        <w:rPr>
          <w:snapToGrid w:val="0"/>
        </w:rPr>
      </w:pPr>
      <w:r>
        <w:rPr>
          <w:snapToGrid w:val="0"/>
        </w:rPr>
        <w:tab/>
        <w:t>(4)</w:t>
      </w:r>
      <w:r>
        <w:rPr>
          <w:snapToGrid w:val="0"/>
        </w:rPr>
        <w:tab/>
        <w:t>For the purpose of holding shares under this section, the Minister is a corporation sole with perpetual succession, a common seal and power to do all such things as are required for giving effect to this section.</w:t>
      </w:r>
    </w:p>
    <w:p>
      <w:pPr>
        <w:pStyle w:val="Heading5"/>
        <w:rPr>
          <w:snapToGrid w:val="0"/>
        </w:rPr>
      </w:pPr>
      <w:bookmarkStart w:id="437" w:name="_Toc278969655"/>
      <w:bookmarkStart w:id="438" w:name="_Toc274143505"/>
      <w:r>
        <w:rPr>
          <w:rStyle w:val="CharSectno"/>
        </w:rPr>
        <w:t>73</w:t>
      </w:r>
      <w:r>
        <w:rPr>
          <w:snapToGrid w:val="0"/>
        </w:rPr>
        <w:t>.</w:t>
      </w:r>
      <w:r>
        <w:rPr>
          <w:snapToGrid w:val="0"/>
        </w:rPr>
        <w:tab/>
        <w:t>Bank account</w:t>
      </w:r>
      <w:bookmarkEnd w:id="437"/>
      <w:bookmarkEnd w:id="438"/>
      <w:r>
        <w:rPr>
          <w:snapToGrid w:val="0"/>
        </w:rPr>
        <w:t xml:space="preserve"> </w:t>
      </w:r>
    </w:p>
    <w:p>
      <w:pPr>
        <w:pStyle w:val="Subsection"/>
      </w:pPr>
      <w:r>
        <w:tab/>
        <w:t>(1)</w:t>
      </w:r>
      <w:r>
        <w:tab/>
        <w:t xml:space="preserve">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by No. 28 of 2006 s. 400; No. 77 of 2006 s. 17.]</w:t>
      </w:r>
    </w:p>
    <w:p>
      <w:pPr>
        <w:pStyle w:val="Heading5"/>
        <w:keepLines w:val="0"/>
        <w:rPr>
          <w:snapToGrid w:val="0"/>
        </w:rPr>
      </w:pPr>
      <w:bookmarkStart w:id="439" w:name="_Toc278969656"/>
      <w:bookmarkStart w:id="440" w:name="_Toc274143506"/>
      <w:r>
        <w:rPr>
          <w:rStyle w:val="CharSectno"/>
        </w:rPr>
        <w:t>74</w:t>
      </w:r>
      <w:r>
        <w:rPr>
          <w:snapToGrid w:val="0"/>
        </w:rPr>
        <w:t>.</w:t>
      </w:r>
      <w:r>
        <w:rPr>
          <w:snapToGrid w:val="0"/>
        </w:rPr>
        <w:tab/>
        <w:t>Investment</w:t>
      </w:r>
      <w:bookmarkEnd w:id="439"/>
      <w:bookmarkEnd w:id="440"/>
      <w:r>
        <w:rPr>
          <w:snapToGrid w:val="0"/>
        </w:rPr>
        <w:t xml:space="preserve"> </w:t>
      </w:r>
    </w:p>
    <w:p>
      <w:pPr>
        <w:pStyle w:val="Subsection"/>
        <w:rPr>
          <w:snapToGrid w:val="0"/>
        </w:rPr>
      </w:pPr>
      <w:r>
        <w:rPr>
          <w:snapToGrid w:val="0"/>
        </w:rPr>
        <w:tab/>
      </w:r>
      <w:r>
        <w:rPr>
          <w:snapToGrid w:val="0"/>
        </w:rPr>
        <w:tab/>
        <w:t>Funds of the corporation may, unless section 73(1)(a) applies, be invested, until they are required for the performance of the corporation’s functions, in such investments as the board determines.</w:t>
      </w:r>
    </w:p>
    <w:p>
      <w:pPr>
        <w:pStyle w:val="Heading5"/>
        <w:rPr>
          <w:snapToGrid w:val="0"/>
        </w:rPr>
      </w:pPr>
      <w:bookmarkStart w:id="441" w:name="_Toc278969657"/>
      <w:bookmarkStart w:id="442" w:name="_Toc274143507"/>
      <w:r>
        <w:rPr>
          <w:rStyle w:val="CharSectno"/>
        </w:rPr>
        <w:t>75</w:t>
      </w:r>
      <w:r>
        <w:rPr>
          <w:snapToGrid w:val="0"/>
        </w:rPr>
        <w:t>.</w:t>
      </w:r>
      <w:r>
        <w:rPr>
          <w:snapToGrid w:val="0"/>
        </w:rPr>
        <w:tab/>
        <w:t>Exemption from rates</w:t>
      </w:r>
      <w:bookmarkEnd w:id="441"/>
      <w:bookmarkEnd w:id="442"/>
      <w:r>
        <w:rPr>
          <w:snapToGrid w:val="0"/>
        </w:rPr>
        <w:t xml:space="preserve"> </w:t>
      </w:r>
    </w:p>
    <w:p>
      <w:pPr>
        <w:pStyle w:val="Subsection"/>
        <w:rPr>
          <w:snapToGrid w:val="0"/>
        </w:rPr>
      </w:pPr>
      <w:r>
        <w:rPr>
          <w:snapToGrid w:val="0"/>
        </w:rPr>
        <w:tab/>
      </w:r>
      <w:r>
        <w:rPr>
          <w:snapToGrid w:val="0"/>
        </w:rPr>
        <w:tab/>
        <w:t>No local government rate or charge is to be imposed or levied on any land vested in, or under the management and control of, the corporation that is used or reserved exclusively for the purpose of providing works, undertakings or facilities necessary to the performance of the functions of the corporation.</w:t>
      </w:r>
    </w:p>
    <w:p>
      <w:pPr>
        <w:pStyle w:val="Heading3"/>
        <w:rPr>
          <w:snapToGrid w:val="0"/>
        </w:rPr>
      </w:pPr>
      <w:bookmarkStart w:id="443" w:name="_Toc189883063"/>
      <w:bookmarkStart w:id="444" w:name="_Toc200259759"/>
      <w:bookmarkStart w:id="445" w:name="_Toc200259965"/>
      <w:bookmarkStart w:id="446" w:name="_Toc200260171"/>
      <w:bookmarkStart w:id="447" w:name="_Toc200422031"/>
      <w:bookmarkStart w:id="448" w:name="_Toc201975947"/>
      <w:bookmarkStart w:id="449" w:name="_Toc201982080"/>
      <w:bookmarkStart w:id="450" w:name="_Toc202080845"/>
      <w:bookmarkStart w:id="451" w:name="_Toc202168354"/>
      <w:bookmarkStart w:id="452" w:name="_Toc203453919"/>
      <w:bookmarkStart w:id="453" w:name="_Toc268269845"/>
      <w:bookmarkStart w:id="454" w:name="_Toc274143508"/>
      <w:bookmarkStart w:id="455" w:name="_Toc278969658"/>
      <w:r>
        <w:rPr>
          <w:rStyle w:val="CharDivNo"/>
        </w:rPr>
        <w:t>Division 2</w:t>
      </w:r>
      <w:r>
        <w:rPr>
          <w:snapToGrid w:val="0"/>
        </w:rPr>
        <w:t> — </w:t>
      </w:r>
      <w:r>
        <w:rPr>
          <w:rStyle w:val="CharDivText"/>
        </w:rPr>
        <w:t>Payments to State</w:t>
      </w:r>
      <w:bookmarkEnd w:id="443"/>
      <w:bookmarkEnd w:id="444"/>
      <w:bookmarkEnd w:id="445"/>
      <w:bookmarkEnd w:id="446"/>
      <w:bookmarkEnd w:id="447"/>
      <w:bookmarkEnd w:id="448"/>
      <w:bookmarkEnd w:id="449"/>
      <w:bookmarkEnd w:id="450"/>
      <w:bookmarkEnd w:id="451"/>
      <w:bookmarkEnd w:id="452"/>
      <w:bookmarkEnd w:id="453"/>
      <w:bookmarkEnd w:id="454"/>
      <w:bookmarkEnd w:id="455"/>
      <w:r>
        <w:rPr>
          <w:rStyle w:val="CharDivText"/>
        </w:rPr>
        <w:t xml:space="preserve"> </w:t>
      </w:r>
    </w:p>
    <w:p>
      <w:pPr>
        <w:pStyle w:val="Heading5"/>
        <w:rPr>
          <w:snapToGrid w:val="0"/>
        </w:rPr>
      </w:pPr>
      <w:bookmarkStart w:id="456" w:name="_Toc278969659"/>
      <w:bookmarkStart w:id="457" w:name="_Toc274143509"/>
      <w:r>
        <w:rPr>
          <w:rStyle w:val="CharSectno"/>
        </w:rPr>
        <w:t>76</w:t>
      </w:r>
      <w:r>
        <w:rPr>
          <w:snapToGrid w:val="0"/>
        </w:rPr>
        <w:t>.</w:t>
      </w:r>
      <w:r>
        <w:rPr>
          <w:snapToGrid w:val="0"/>
        </w:rPr>
        <w:tab/>
        <w:t>Payment of amount in lieu of rates</w:t>
      </w:r>
      <w:bookmarkEnd w:id="456"/>
      <w:bookmarkEnd w:id="457"/>
      <w:r>
        <w:rPr>
          <w:snapToGrid w:val="0"/>
        </w:rPr>
        <w:t xml:space="preserve"> </w:t>
      </w:r>
    </w:p>
    <w:p>
      <w:pPr>
        <w:pStyle w:val="Subsection"/>
        <w:rPr>
          <w:snapToGrid w:val="0"/>
        </w:rPr>
      </w:pPr>
      <w:r>
        <w:rPr>
          <w:snapToGrid w:val="0"/>
        </w:rPr>
        <w:tab/>
      </w:r>
      <w:r>
        <w:rPr>
          <w:snapToGrid w:val="0"/>
        </w:rPr>
        <w:tab/>
        <w:t>The corporation is to pay to the Treasurer in respect of a financial year a sum equal to the amount of any local government rate or charge that, apart from section 75, the corporation would have been liable to pay in respect of that financial year.</w:t>
      </w:r>
    </w:p>
    <w:p>
      <w:pPr>
        <w:pStyle w:val="Ednotesection"/>
      </w:pPr>
      <w:r>
        <w:t>[</w:t>
      </w:r>
      <w:r>
        <w:rPr>
          <w:b/>
        </w:rPr>
        <w:t>77.</w:t>
      </w:r>
      <w:r>
        <w:tab/>
        <w:t xml:space="preserve">Deleted by No. 55 of 1996 s. 10(4).] </w:t>
      </w:r>
    </w:p>
    <w:p>
      <w:pPr>
        <w:pStyle w:val="Heading5"/>
        <w:rPr>
          <w:snapToGrid w:val="0"/>
        </w:rPr>
      </w:pPr>
      <w:bookmarkStart w:id="458" w:name="_Toc278969660"/>
      <w:bookmarkStart w:id="459" w:name="_Toc274143510"/>
      <w:r>
        <w:rPr>
          <w:rStyle w:val="CharSectno"/>
        </w:rPr>
        <w:t>78</w:t>
      </w:r>
      <w:r>
        <w:rPr>
          <w:snapToGrid w:val="0"/>
        </w:rPr>
        <w:t>.</w:t>
      </w:r>
      <w:r>
        <w:rPr>
          <w:snapToGrid w:val="0"/>
        </w:rPr>
        <w:tab/>
        <w:t>Determination of amounts under s. 76</w:t>
      </w:r>
      <w:bookmarkEnd w:id="458"/>
      <w:bookmarkEnd w:id="459"/>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460" w:name="_Toc278969661"/>
      <w:bookmarkStart w:id="461" w:name="_Toc274143511"/>
      <w:r>
        <w:rPr>
          <w:rStyle w:val="CharSectno"/>
        </w:rPr>
        <w:t>79</w:t>
      </w:r>
      <w:r>
        <w:rPr>
          <w:snapToGrid w:val="0"/>
        </w:rPr>
        <w:t>.</w:t>
      </w:r>
      <w:r>
        <w:rPr>
          <w:snapToGrid w:val="0"/>
        </w:rPr>
        <w:tab/>
        <w:t>Dividends</w:t>
      </w:r>
      <w:bookmarkEnd w:id="460"/>
      <w:bookmarkEnd w:id="461"/>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calculated with respect to the net profits of the corporation 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The board,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If the board 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w:t>
      </w:r>
    </w:p>
    <w:p>
      <w:pPr>
        <w:pStyle w:val="Heading3"/>
        <w:rPr>
          <w:snapToGrid w:val="0"/>
        </w:rPr>
      </w:pPr>
      <w:bookmarkStart w:id="462" w:name="_Toc189883067"/>
      <w:bookmarkStart w:id="463" w:name="_Toc200259763"/>
      <w:bookmarkStart w:id="464" w:name="_Toc200259969"/>
      <w:bookmarkStart w:id="465" w:name="_Toc200260175"/>
      <w:bookmarkStart w:id="466" w:name="_Toc200422035"/>
      <w:bookmarkStart w:id="467" w:name="_Toc201975951"/>
      <w:bookmarkStart w:id="468" w:name="_Toc201982084"/>
      <w:bookmarkStart w:id="469" w:name="_Toc202080849"/>
      <w:bookmarkStart w:id="470" w:name="_Toc202168358"/>
      <w:bookmarkStart w:id="471" w:name="_Toc203453923"/>
      <w:bookmarkStart w:id="472" w:name="_Toc268269849"/>
      <w:bookmarkStart w:id="473" w:name="_Toc274143512"/>
      <w:bookmarkStart w:id="474" w:name="_Toc278969662"/>
      <w:r>
        <w:rPr>
          <w:rStyle w:val="CharDivNo"/>
        </w:rPr>
        <w:t>Division 3</w:t>
      </w:r>
      <w:r>
        <w:rPr>
          <w:snapToGrid w:val="0"/>
        </w:rPr>
        <w:t> — </w:t>
      </w:r>
      <w:r>
        <w:rPr>
          <w:rStyle w:val="CharDivText"/>
        </w:rPr>
        <w:t>Borrowing</w:t>
      </w:r>
      <w:bookmarkEnd w:id="462"/>
      <w:bookmarkEnd w:id="463"/>
      <w:bookmarkEnd w:id="464"/>
      <w:bookmarkEnd w:id="465"/>
      <w:bookmarkEnd w:id="466"/>
      <w:bookmarkEnd w:id="467"/>
      <w:bookmarkEnd w:id="468"/>
      <w:bookmarkEnd w:id="469"/>
      <w:bookmarkEnd w:id="470"/>
      <w:bookmarkEnd w:id="471"/>
      <w:bookmarkEnd w:id="472"/>
      <w:bookmarkEnd w:id="473"/>
      <w:bookmarkEnd w:id="474"/>
      <w:r>
        <w:rPr>
          <w:rStyle w:val="CharDivText"/>
        </w:rPr>
        <w:t xml:space="preserve"> </w:t>
      </w:r>
    </w:p>
    <w:p>
      <w:pPr>
        <w:pStyle w:val="Heading5"/>
        <w:rPr>
          <w:snapToGrid w:val="0"/>
        </w:rPr>
      </w:pPr>
      <w:bookmarkStart w:id="475" w:name="_Toc278969663"/>
      <w:bookmarkStart w:id="476" w:name="_Toc274143513"/>
      <w:r>
        <w:rPr>
          <w:rStyle w:val="CharSectno"/>
        </w:rPr>
        <w:t>80</w:t>
      </w:r>
      <w:r>
        <w:rPr>
          <w:snapToGrid w:val="0"/>
        </w:rPr>
        <w:t>.</w:t>
      </w:r>
      <w:r>
        <w:rPr>
          <w:snapToGrid w:val="0"/>
        </w:rPr>
        <w:tab/>
        <w:t>Corporation may borrow etc.</w:t>
      </w:r>
      <w:bookmarkEnd w:id="475"/>
      <w:bookmarkEnd w:id="476"/>
      <w:r>
        <w:rPr>
          <w:snapToGrid w:val="0"/>
        </w:rPr>
        <w:t xml:space="preserve"> </w:t>
      </w:r>
    </w:p>
    <w:p>
      <w:pPr>
        <w:pStyle w:val="Subsection"/>
        <w:rPr>
          <w:snapToGrid w:val="0"/>
        </w:rPr>
      </w:pPr>
      <w:r>
        <w:rPr>
          <w:snapToGrid w:val="0"/>
        </w:rPr>
        <w:tab/>
        <w:t>(1)</w:t>
      </w:r>
      <w:r>
        <w:rPr>
          <w:snapToGrid w:val="0"/>
        </w:rPr>
        <w:tab/>
        <w:t>The corporation may, subject to section 81 — </w:t>
      </w:r>
    </w:p>
    <w:p>
      <w:pPr>
        <w:pStyle w:val="Indenta"/>
        <w:rPr>
          <w:snapToGrid w:val="0"/>
        </w:rPr>
      </w:pPr>
      <w:r>
        <w:rPr>
          <w:snapToGrid w:val="0"/>
        </w:rPr>
        <w:tab/>
        <w:t>(a)</w:t>
      </w:r>
      <w:r>
        <w:rPr>
          <w:snapToGrid w:val="0"/>
        </w:rPr>
        <w:tab/>
        <w:t>borrow or re</w:t>
      </w:r>
      <w:r>
        <w:rPr>
          <w:snapToGrid w:val="0"/>
        </w:rPr>
        <w:noBreakHyphen/>
        <w:t>borrow moneys;</w:t>
      </w:r>
    </w:p>
    <w:p>
      <w:pPr>
        <w:pStyle w:val="Indenta"/>
        <w:rPr>
          <w:snapToGrid w:val="0"/>
        </w:rPr>
      </w:pPr>
      <w:r>
        <w:rPr>
          <w:snapToGrid w:val="0"/>
        </w:rPr>
        <w:tab/>
        <w:t>(b)</w:t>
      </w:r>
      <w:r>
        <w:rPr>
          <w:snapToGrid w:val="0"/>
        </w:rPr>
        <w:tab/>
        <w:t>obtain credit;</w:t>
      </w:r>
    </w:p>
    <w:p>
      <w:pPr>
        <w:pStyle w:val="Indenta"/>
        <w:rPr>
          <w:snapToGrid w:val="0"/>
        </w:rPr>
      </w:pPr>
      <w:r>
        <w:rPr>
          <w:snapToGrid w:val="0"/>
        </w:rPr>
        <w:tab/>
        <w:t>(c)</w:t>
      </w:r>
      <w:r>
        <w:rPr>
          <w:snapToGrid w:val="0"/>
        </w:rPr>
        <w:tab/>
        <w:t xml:space="preserve">issue, acquire, hold or dispose of debt paper; </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t>The corporation 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r>
      <w:r>
        <w:rPr>
          <w:rStyle w:val="CharDefText"/>
        </w:rPr>
        <w:t>debt paper</w:t>
      </w:r>
      <w:r>
        <w:t xml:space="preserve"> means inscribed stock, bonds, debentures with coupons annexed, bills of exchange, promissory notes or bearer securities, or other similar instruments evidencing indebtedness.</w:t>
      </w:r>
    </w:p>
    <w:p>
      <w:pPr>
        <w:pStyle w:val="Heading5"/>
        <w:rPr>
          <w:snapToGrid w:val="0"/>
        </w:rPr>
      </w:pPr>
      <w:bookmarkStart w:id="477" w:name="_Toc278969664"/>
      <w:bookmarkStart w:id="478" w:name="_Toc274143514"/>
      <w:r>
        <w:rPr>
          <w:rStyle w:val="CharSectno"/>
        </w:rPr>
        <w:t>81</w:t>
      </w:r>
      <w:r>
        <w:rPr>
          <w:snapToGrid w:val="0"/>
        </w:rPr>
        <w:t>.</w:t>
      </w:r>
      <w:r>
        <w:rPr>
          <w:snapToGrid w:val="0"/>
        </w:rPr>
        <w:tab/>
        <w:t>Borrowing limits</w:t>
      </w:r>
      <w:bookmarkEnd w:id="477"/>
      <w:bookmarkEnd w:id="478"/>
      <w:r>
        <w:rPr>
          <w:snapToGrid w:val="0"/>
        </w:rPr>
        <w:t xml:space="preserve"> </w:t>
      </w:r>
    </w:p>
    <w:p>
      <w:pPr>
        <w:pStyle w:val="Subsection"/>
        <w:rPr>
          <w:snapToGrid w:val="0"/>
        </w:rPr>
      </w:pPr>
      <w:r>
        <w:rPr>
          <w:snapToGrid w:val="0"/>
        </w:rPr>
        <w:tab/>
        <w:t>(1)</w:t>
      </w:r>
      <w:r>
        <w:rPr>
          <w:snapToGrid w:val="0"/>
        </w:rPr>
        <w:tab/>
        <w:t>The Minister may, with the concurrence of the Treasurer and in accordance with subsections (2), (3) and (4), by notice to the corporation, impose monetary limits on the exercise of the powers conferred by section 80.</w:t>
      </w:r>
    </w:p>
    <w:p>
      <w:pPr>
        <w:pStyle w:val="Subsection"/>
        <w:rPr>
          <w:snapToGrid w:val="0"/>
        </w:rPr>
      </w:pPr>
      <w:r>
        <w:rPr>
          <w:snapToGrid w:val="0"/>
        </w:rPr>
        <w:tab/>
        <w:t>(2)</w:t>
      </w:r>
      <w:r>
        <w:rPr>
          <w:snapToGrid w:val="0"/>
        </w:rPr>
        <w:tab/>
        <w:t>The monetary limit is to be determined for the exercise of those powers in the financial year following the commencement of this Part.</w:t>
      </w:r>
    </w:p>
    <w:p>
      <w:pPr>
        <w:pStyle w:val="Subsection"/>
        <w:rPr>
          <w:snapToGrid w:val="0"/>
        </w:rPr>
      </w:pPr>
      <w:r>
        <w:rPr>
          <w:snapToGrid w:val="0"/>
        </w:rPr>
        <w:tab/>
        <w:t>(3)</w:t>
      </w:r>
      <w:r>
        <w:rPr>
          <w:snapToGrid w:val="0"/>
        </w:rPr>
        <w:tab/>
        <w:t>That limit 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A limit for the time being in force continues to apply until it is so varied.</w:t>
      </w:r>
    </w:p>
    <w:p>
      <w:pPr>
        <w:pStyle w:val="Subsection"/>
        <w:rPr>
          <w:snapToGrid w:val="0"/>
        </w:rPr>
      </w:pPr>
      <w:r>
        <w:rPr>
          <w:snapToGrid w:val="0"/>
        </w:rPr>
        <w:tab/>
        <w:t>(5)</w:t>
      </w:r>
      <w:r>
        <w:rPr>
          <w:snapToGrid w:val="0"/>
        </w:rPr>
        <w:tab/>
        <w:t>The corporation must comply with any limit for the time being in force.</w:t>
      </w:r>
    </w:p>
    <w:p>
      <w:pPr>
        <w:pStyle w:val="Subsection"/>
        <w:rPr>
          <w:snapToGrid w:val="0"/>
        </w:rPr>
      </w:pPr>
      <w:r>
        <w:rPr>
          <w:snapToGrid w:val="0"/>
        </w:rPr>
        <w:tab/>
        <w:t>(6)</w:t>
      </w:r>
      <w:r>
        <w:rPr>
          <w:snapToGrid w:val="0"/>
        </w:rPr>
        <w:tab/>
        <w:t>A liability of the corporation is not unenforceable or in any way affected by a failure of the corporation to comply with this section.</w:t>
      </w:r>
    </w:p>
    <w:p>
      <w:pPr>
        <w:pStyle w:val="Subsection"/>
        <w:rPr>
          <w:snapToGrid w:val="0"/>
        </w:rPr>
      </w:pPr>
      <w:r>
        <w:rPr>
          <w:snapToGrid w:val="0"/>
        </w:rPr>
        <w:tab/>
        <w:t>(7)</w:t>
      </w:r>
      <w:r>
        <w:rPr>
          <w:snapToGrid w:val="0"/>
        </w:rPr>
        <w:tab/>
        <w:t>No person dealing with the corporation is bound or concerned to enquire whether the corporation has complied or is complying with this section.</w:t>
      </w:r>
    </w:p>
    <w:p>
      <w:pPr>
        <w:pStyle w:val="Heading5"/>
        <w:rPr>
          <w:snapToGrid w:val="0"/>
        </w:rPr>
      </w:pPr>
      <w:bookmarkStart w:id="479" w:name="_Toc278969665"/>
      <w:bookmarkStart w:id="480" w:name="_Toc274143515"/>
      <w:r>
        <w:rPr>
          <w:rStyle w:val="CharSectno"/>
        </w:rPr>
        <w:t>82</w:t>
      </w:r>
      <w:r>
        <w:rPr>
          <w:snapToGrid w:val="0"/>
        </w:rPr>
        <w:t>.</w:t>
      </w:r>
      <w:r>
        <w:rPr>
          <w:snapToGrid w:val="0"/>
        </w:rPr>
        <w:tab/>
        <w:t>Hedging transactions</w:t>
      </w:r>
      <w:bookmarkEnd w:id="479"/>
      <w:bookmarkEnd w:id="480"/>
      <w:r>
        <w:rPr>
          <w:snapToGrid w:val="0"/>
        </w:rPr>
        <w:t xml:space="preserve"> </w:t>
      </w:r>
    </w:p>
    <w:p>
      <w:pPr>
        <w:pStyle w:val="Subsection"/>
        <w:rPr>
          <w:snapToGrid w:val="0"/>
        </w:rPr>
      </w:pPr>
      <w:r>
        <w:rPr>
          <w:snapToGrid w:val="0"/>
        </w:rPr>
        <w:tab/>
        <w:t>(1)</w:t>
      </w:r>
      <w:r>
        <w:rPr>
          <w:snapToGrid w:val="0"/>
        </w:rPr>
        <w:tab/>
        <w:t>The corporation 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w:t>
      </w:r>
    </w:p>
    <w:p>
      <w:pPr>
        <w:pStyle w:val="Indenti"/>
        <w:rPr>
          <w:snapToGrid w:val="0"/>
        </w:rPr>
      </w:pPr>
      <w:r>
        <w:rPr>
          <w:snapToGrid w:val="0"/>
        </w:rPr>
        <w:tab/>
        <w:t>(ii)</w:t>
      </w:r>
      <w:r>
        <w:rPr>
          <w:snapToGrid w:val="0"/>
        </w:rPr>
        <w:tab/>
        <w:t>a forward foreign exchange transaction;</w:t>
      </w:r>
    </w:p>
    <w:p>
      <w:pPr>
        <w:pStyle w:val="Indenti"/>
        <w:rPr>
          <w:snapToGrid w:val="0"/>
        </w:rPr>
      </w:pPr>
      <w:r>
        <w:rPr>
          <w:snapToGrid w:val="0"/>
        </w:rPr>
        <w:tab/>
        <w:t>(iii)</w:t>
      </w:r>
      <w:r>
        <w:rPr>
          <w:snapToGrid w:val="0"/>
        </w:rPr>
        <w:tab/>
        <w:t>a currency swap;</w:t>
      </w:r>
    </w:p>
    <w:p>
      <w:pPr>
        <w:pStyle w:val="Indenti"/>
        <w:rPr>
          <w:snapToGrid w:val="0"/>
        </w:rPr>
      </w:pPr>
      <w:r>
        <w:rPr>
          <w:snapToGrid w:val="0"/>
        </w:rPr>
        <w:tab/>
        <w:t>(iv)</w:t>
      </w:r>
      <w:r>
        <w:rPr>
          <w:snapToGrid w:val="0"/>
        </w:rPr>
        <w:tab/>
        <w:t>a forward currency swap;</w:t>
      </w:r>
    </w:p>
    <w:p>
      <w:pPr>
        <w:pStyle w:val="Indenti"/>
        <w:rPr>
          <w:snapToGrid w:val="0"/>
        </w:rPr>
      </w:pPr>
      <w:r>
        <w:rPr>
          <w:snapToGrid w:val="0"/>
        </w:rPr>
        <w:tab/>
        <w:t>(v)</w:t>
      </w:r>
      <w:r>
        <w:rPr>
          <w:snapToGrid w:val="0"/>
        </w:rPr>
        <w:tab/>
        <w:t>a foreign currency cap, a foreign currency collar or a foreign currency floor;</w:t>
      </w:r>
    </w:p>
    <w:p>
      <w:pPr>
        <w:pStyle w:val="Indenti"/>
        <w:rPr>
          <w:snapToGrid w:val="0"/>
        </w:rPr>
      </w:pPr>
      <w:r>
        <w:rPr>
          <w:snapToGrid w:val="0"/>
        </w:rPr>
        <w:tab/>
        <w:t>(vi)</w:t>
      </w:r>
      <w:r>
        <w:rPr>
          <w:snapToGrid w:val="0"/>
        </w:rPr>
        <w:tab/>
        <w:t>a forward interest rate agreement;</w:t>
      </w:r>
    </w:p>
    <w:p>
      <w:pPr>
        <w:pStyle w:val="Indenti"/>
        <w:rPr>
          <w:snapToGrid w:val="0"/>
        </w:rPr>
      </w:pPr>
      <w:r>
        <w:rPr>
          <w:snapToGrid w:val="0"/>
        </w:rPr>
        <w:tab/>
        <w:t>(vii)</w:t>
      </w:r>
      <w:r>
        <w:rPr>
          <w:snapToGrid w:val="0"/>
        </w:rPr>
        <w:tab/>
        <w:t>an interest rate swap;</w:t>
      </w:r>
    </w:p>
    <w:p>
      <w:pPr>
        <w:pStyle w:val="Indenti"/>
        <w:rPr>
          <w:snapToGrid w:val="0"/>
        </w:rPr>
      </w:pPr>
      <w:r>
        <w:rPr>
          <w:snapToGrid w:val="0"/>
        </w:rPr>
        <w:tab/>
        <w:t>(viii)</w:t>
      </w:r>
      <w:r>
        <w:rPr>
          <w:snapToGrid w:val="0"/>
        </w:rPr>
        <w:tab/>
        <w:t>a forward interest rate swap;</w:t>
      </w:r>
    </w:p>
    <w:p>
      <w:pPr>
        <w:pStyle w:val="Indenti"/>
        <w:rPr>
          <w:snapToGrid w:val="0"/>
        </w:rPr>
      </w:pPr>
      <w:r>
        <w:rPr>
          <w:snapToGrid w:val="0"/>
        </w:rPr>
        <w:tab/>
        <w:t>(ix)</w:t>
      </w:r>
      <w:r>
        <w:rPr>
          <w:snapToGrid w:val="0"/>
        </w:rPr>
        <w:tab/>
        <w:t>an interest rate cap, an interest rate collar or an interest rate floor;</w:t>
      </w:r>
    </w:p>
    <w:p>
      <w:pPr>
        <w:pStyle w:val="Indenti"/>
        <w:rPr>
          <w:snapToGrid w:val="0"/>
        </w:rPr>
      </w:pPr>
      <w:r>
        <w:rPr>
          <w:snapToGrid w:val="0"/>
        </w:rPr>
        <w:tab/>
        <w:t>(x)</w:t>
      </w:r>
      <w:r>
        <w:rPr>
          <w:snapToGrid w:val="0"/>
        </w:rPr>
        <w:tab/>
        <w:t>an option for interest rate or currency management purposes;</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keepNext/>
        <w:rPr>
          <w:snapToGrid w:val="0"/>
        </w:rPr>
      </w:pPr>
      <w:r>
        <w:rPr>
          <w:snapToGrid w:val="0"/>
        </w:rPr>
        <w:tab/>
        <w:t>(2)</w:t>
      </w:r>
      <w:r>
        <w:rPr>
          <w:snapToGrid w:val="0"/>
        </w:rPr>
        <w:tab/>
        <w:t>In subsection (1)(a) — </w:t>
      </w:r>
    </w:p>
    <w:p>
      <w:pPr>
        <w:pStyle w:val="Defstart"/>
      </w:pPr>
      <w:r>
        <w:rPr>
          <w:b/>
        </w:rPr>
        <w:tab/>
      </w:r>
      <w:r>
        <w:rPr>
          <w:rStyle w:val="CharDefText"/>
        </w:rPr>
        <w:t>interest rate</w:t>
      </w:r>
      <w:r>
        <w:t xml:space="preserve"> includes coupon rate, discount rate and yield.</w:t>
      </w:r>
    </w:p>
    <w:p>
      <w:pPr>
        <w:pStyle w:val="Footnotesection"/>
        <w:ind w:left="890" w:hanging="890"/>
      </w:pPr>
      <w:r>
        <w:tab/>
        <w:t>[Section 82 amended by No. 10 of 2001 s. 206; No. 21 of 2003 s. 35.]</w:t>
      </w:r>
    </w:p>
    <w:p>
      <w:pPr>
        <w:pStyle w:val="Heading3"/>
        <w:rPr>
          <w:snapToGrid w:val="0"/>
        </w:rPr>
      </w:pPr>
      <w:bookmarkStart w:id="481" w:name="_Toc189883071"/>
      <w:bookmarkStart w:id="482" w:name="_Toc200259767"/>
      <w:bookmarkStart w:id="483" w:name="_Toc200259973"/>
      <w:bookmarkStart w:id="484" w:name="_Toc200260179"/>
      <w:bookmarkStart w:id="485" w:name="_Toc200422039"/>
      <w:bookmarkStart w:id="486" w:name="_Toc201975955"/>
      <w:bookmarkStart w:id="487" w:name="_Toc201982088"/>
      <w:bookmarkStart w:id="488" w:name="_Toc202080853"/>
      <w:bookmarkStart w:id="489" w:name="_Toc202168362"/>
      <w:bookmarkStart w:id="490" w:name="_Toc203453927"/>
      <w:bookmarkStart w:id="491" w:name="_Toc268269853"/>
      <w:bookmarkStart w:id="492" w:name="_Toc274143516"/>
      <w:bookmarkStart w:id="493" w:name="_Toc278969666"/>
      <w:r>
        <w:rPr>
          <w:rStyle w:val="CharDivNo"/>
        </w:rPr>
        <w:t>Division 4</w:t>
      </w:r>
      <w:r>
        <w:rPr>
          <w:snapToGrid w:val="0"/>
        </w:rPr>
        <w:t> — </w:t>
      </w:r>
      <w:r>
        <w:rPr>
          <w:rStyle w:val="CharDivText"/>
        </w:rPr>
        <w:t>Guarantees</w:t>
      </w:r>
      <w:bookmarkEnd w:id="481"/>
      <w:bookmarkEnd w:id="482"/>
      <w:bookmarkEnd w:id="483"/>
      <w:bookmarkEnd w:id="484"/>
      <w:bookmarkEnd w:id="485"/>
      <w:bookmarkEnd w:id="486"/>
      <w:bookmarkEnd w:id="487"/>
      <w:bookmarkEnd w:id="488"/>
      <w:bookmarkEnd w:id="489"/>
      <w:bookmarkEnd w:id="490"/>
      <w:bookmarkEnd w:id="491"/>
      <w:bookmarkEnd w:id="492"/>
      <w:bookmarkEnd w:id="493"/>
      <w:r>
        <w:rPr>
          <w:rStyle w:val="CharDivText"/>
        </w:rPr>
        <w:t xml:space="preserve"> </w:t>
      </w:r>
    </w:p>
    <w:p>
      <w:pPr>
        <w:pStyle w:val="Heading5"/>
        <w:rPr>
          <w:snapToGrid w:val="0"/>
        </w:rPr>
      </w:pPr>
      <w:bookmarkStart w:id="494" w:name="_Toc278969667"/>
      <w:bookmarkStart w:id="495" w:name="_Toc274143517"/>
      <w:r>
        <w:rPr>
          <w:rStyle w:val="CharSectno"/>
        </w:rPr>
        <w:t>83</w:t>
      </w:r>
      <w:r>
        <w:rPr>
          <w:snapToGrid w:val="0"/>
        </w:rPr>
        <w:t>.</w:t>
      </w:r>
      <w:r>
        <w:rPr>
          <w:snapToGrid w:val="0"/>
        </w:rPr>
        <w:tab/>
        <w:t>Guarantees for corporation by Crown</w:t>
      </w:r>
      <w:bookmarkEnd w:id="494"/>
      <w:bookmarkEnd w:id="495"/>
      <w:r>
        <w:rPr>
          <w:snapToGrid w:val="0"/>
        </w:rPr>
        <w:t xml:space="preserve"> </w:t>
      </w:r>
    </w:p>
    <w:p>
      <w:pPr>
        <w:pStyle w:val="Subsection"/>
        <w:rPr>
          <w:snapToGrid w:val="0"/>
        </w:rPr>
      </w:pPr>
      <w:r>
        <w:rPr>
          <w:snapToGrid w:val="0"/>
        </w:rPr>
        <w:tab/>
        <w:t>(1)</w:t>
      </w:r>
      <w:r>
        <w:rPr>
          <w:snapToGrid w:val="0"/>
        </w:rPr>
        <w:tab/>
        <w:t>The Treasurer may with the concurrence of the Minister, in the name and on behalf of the Crown, guarantee the performance by the corporation,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The Treasurer is to cause any amounts received or recovered from the corporation or otherwise in respect of any payment made by the Treasurer under a guarantee to be credited to the Consolidated Account.</w:t>
      </w:r>
    </w:p>
    <w:p>
      <w:pPr>
        <w:pStyle w:val="Footnotesection"/>
      </w:pPr>
      <w:r>
        <w:tab/>
        <w:t>[Section 83 amended by No. 77 of 2006 s. 4 and 5(1).]</w:t>
      </w:r>
    </w:p>
    <w:p>
      <w:pPr>
        <w:pStyle w:val="Heading5"/>
        <w:rPr>
          <w:snapToGrid w:val="0"/>
        </w:rPr>
      </w:pPr>
      <w:bookmarkStart w:id="496" w:name="_Toc278969668"/>
      <w:bookmarkStart w:id="497" w:name="_Toc274143518"/>
      <w:r>
        <w:rPr>
          <w:rStyle w:val="CharSectno"/>
        </w:rPr>
        <w:t>84</w:t>
      </w:r>
      <w:r>
        <w:rPr>
          <w:snapToGrid w:val="0"/>
        </w:rPr>
        <w:t>.</w:t>
      </w:r>
      <w:r>
        <w:rPr>
          <w:snapToGrid w:val="0"/>
        </w:rPr>
        <w:tab/>
        <w:t>Charges for guarantee</w:t>
      </w:r>
      <w:bookmarkEnd w:id="496"/>
      <w:bookmarkEnd w:id="497"/>
      <w:r>
        <w:rPr>
          <w:snapToGrid w:val="0"/>
        </w:rPr>
        <w:t xml:space="preserve"> </w:t>
      </w:r>
    </w:p>
    <w:p>
      <w:pPr>
        <w:pStyle w:val="Subsection"/>
        <w:rPr>
          <w:snapToGrid w:val="0"/>
        </w:rPr>
      </w:pPr>
      <w:r>
        <w:rPr>
          <w:snapToGrid w:val="0"/>
        </w:rPr>
        <w:tab/>
        <w:t>(1)</w:t>
      </w:r>
      <w:r>
        <w:rPr>
          <w:snapToGrid w:val="0"/>
        </w:rPr>
        <w:tab/>
        <w:t>The Treasurer may, after consultation with the board,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Payments by the corporation to the Treasurer in respect of any such charges are required to be made at such times, and in such instalments, as the Treasurer determines.</w:t>
      </w:r>
    </w:p>
    <w:p>
      <w:pPr>
        <w:pStyle w:val="Footnotesection"/>
      </w:pPr>
      <w:r>
        <w:tab/>
        <w:t>[Section 84 amended by No. 77 of 2006 s. 4.]</w:t>
      </w:r>
    </w:p>
    <w:p>
      <w:pPr>
        <w:pStyle w:val="Heading3"/>
        <w:rPr>
          <w:snapToGrid w:val="0"/>
        </w:rPr>
      </w:pPr>
      <w:bookmarkStart w:id="498" w:name="_Toc189883074"/>
      <w:bookmarkStart w:id="499" w:name="_Toc200259770"/>
      <w:bookmarkStart w:id="500" w:name="_Toc200259976"/>
      <w:bookmarkStart w:id="501" w:name="_Toc200260182"/>
      <w:bookmarkStart w:id="502" w:name="_Toc200422042"/>
      <w:bookmarkStart w:id="503" w:name="_Toc201975958"/>
      <w:bookmarkStart w:id="504" w:name="_Toc201982091"/>
      <w:bookmarkStart w:id="505" w:name="_Toc202080856"/>
      <w:bookmarkStart w:id="506" w:name="_Toc202168365"/>
      <w:bookmarkStart w:id="507" w:name="_Toc203453930"/>
      <w:bookmarkStart w:id="508" w:name="_Toc268269856"/>
      <w:bookmarkStart w:id="509" w:name="_Toc274143519"/>
      <w:bookmarkStart w:id="510" w:name="_Toc278969669"/>
      <w:r>
        <w:rPr>
          <w:rStyle w:val="CharDivNo"/>
        </w:rPr>
        <w:t>Division 5</w:t>
      </w:r>
      <w:r>
        <w:rPr>
          <w:snapToGrid w:val="0"/>
        </w:rPr>
        <w:t> — </w:t>
      </w:r>
      <w:r>
        <w:rPr>
          <w:rStyle w:val="CharDivText"/>
        </w:rPr>
        <w:t>Financial administration and audit</w:t>
      </w:r>
      <w:bookmarkEnd w:id="498"/>
      <w:bookmarkEnd w:id="499"/>
      <w:bookmarkEnd w:id="500"/>
      <w:bookmarkEnd w:id="501"/>
      <w:bookmarkEnd w:id="502"/>
      <w:bookmarkEnd w:id="503"/>
      <w:bookmarkEnd w:id="504"/>
      <w:bookmarkEnd w:id="505"/>
      <w:bookmarkEnd w:id="506"/>
      <w:bookmarkEnd w:id="507"/>
      <w:bookmarkEnd w:id="508"/>
      <w:bookmarkEnd w:id="509"/>
      <w:bookmarkEnd w:id="510"/>
      <w:r>
        <w:rPr>
          <w:rStyle w:val="CharDivText"/>
        </w:rPr>
        <w:t xml:space="preserve"> </w:t>
      </w:r>
    </w:p>
    <w:p>
      <w:pPr>
        <w:pStyle w:val="Heading5"/>
        <w:rPr>
          <w:b w:val="0"/>
          <w:bCs/>
          <w:snapToGrid w:val="0"/>
        </w:rPr>
      </w:pPr>
      <w:bookmarkStart w:id="511" w:name="_Toc278969670"/>
      <w:bookmarkStart w:id="512" w:name="_Toc274143520"/>
      <w:r>
        <w:rPr>
          <w:rStyle w:val="CharSectno"/>
        </w:rP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bookmarkEnd w:id="511"/>
      <w:bookmarkEnd w:id="512"/>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Schedule 3, </w:t>
      </w:r>
      <w:r>
        <w:rPr>
          <w:rFonts w:eastAsia="Arial Unicode MS"/>
        </w:rPr>
        <w:t>do not</w:t>
      </w:r>
      <w:r>
        <w:rPr>
          <w:snapToGrid w:val="0"/>
        </w:rPr>
        <w:t xml:space="preserve"> apply to the corporation or any person performing functions under this Act.</w:t>
      </w:r>
    </w:p>
    <w:p>
      <w:pPr>
        <w:pStyle w:val="Footnotesection"/>
      </w:pPr>
      <w:r>
        <w:tab/>
        <w:t>[Section 85 amended by No. 77 of 2006 s. 17.]</w:t>
      </w:r>
    </w:p>
    <w:p>
      <w:pPr>
        <w:pStyle w:val="Heading5"/>
        <w:rPr>
          <w:snapToGrid w:val="0"/>
        </w:rPr>
      </w:pPr>
      <w:bookmarkStart w:id="513" w:name="_Toc278969671"/>
      <w:bookmarkStart w:id="514" w:name="_Toc274143521"/>
      <w:r>
        <w:rPr>
          <w:rStyle w:val="CharSectno"/>
        </w:rPr>
        <w:t>86</w:t>
      </w:r>
      <w:r>
        <w:rPr>
          <w:snapToGrid w:val="0"/>
        </w:rPr>
        <w:t>.</w:t>
      </w:r>
      <w:r>
        <w:rPr>
          <w:snapToGrid w:val="0"/>
        </w:rPr>
        <w:tab/>
        <w:t>Financial administration and audit (Sch. 3)</w:t>
      </w:r>
      <w:bookmarkEnd w:id="513"/>
      <w:bookmarkEnd w:id="514"/>
      <w:r>
        <w:rPr>
          <w:snapToGrid w:val="0"/>
        </w:rPr>
        <w:t xml:space="preserve"> </w:t>
      </w:r>
    </w:p>
    <w:p>
      <w:pPr>
        <w:pStyle w:val="Subsection"/>
        <w:rPr>
          <w:snapToGrid w:val="0"/>
        </w:rPr>
      </w:pPr>
      <w:r>
        <w:rPr>
          <w:snapToGrid w:val="0"/>
        </w:rPr>
        <w:tab/>
        <w:t>(1)</w:t>
      </w:r>
      <w:r>
        <w:rPr>
          <w:snapToGrid w:val="0"/>
        </w:rPr>
        <w:tab/>
        <w:t>Schedule 3 has effect in relation to the financial administration and audit of the corporation.</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w:t>
      </w:r>
    </w:p>
    <w:p>
      <w:pPr>
        <w:pStyle w:val="Indenta"/>
        <w:keepNext/>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or</w:t>
      </w:r>
    </w:p>
    <w:p>
      <w:pPr>
        <w:pStyle w:val="Indenta"/>
      </w:pPr>
      <w:r>
        <w:tab/>
        <w:t>(c)</w:t>
      </w:r>
      <w:r>
        <w:tab/>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w:t>
      </w:r>
    </w:p>
    <w:p>
      <w:pPr>
        <w:pStyle w:val="Heading2"/>
      </w:pPr>
      <w:bookmarkStart w:id="515" w:name="_Toc189883077"/>
      <w:bookmarkStart w:id="516" w:name="_Toc200259773"/>
      <w:bookmarkStart w:id="517" w:name="_Toc200259979"/>
      <w:bookmarkStart w:id="518" w:name="_Toc200260185"/>
      <w:bookmarkStart w:id="519" w:name="_Toc200422045"/>
      <w:bookmarkStart w:id="520" w:name="_Toc201975961"/>
      <w:bookmarkStart w:id="521" w:name="_Toc201982094"/>
      <w:bookmarkStart w:id="522" w:name="_Toc202080859"/>
      <w:bookmarkStart w:id="523" w:name="_Toc202168368"/>
      <w:bookmarkStart w:id="524" w:name="_Toc203453933"/>
      <w:bookmarkStart w:id="525" w:name="_Toc268269859"/>
      <w:bookmarkStart w:id="526" w:name="_Toc274143522"/>
      <w:bookmarkStart w:id="527" w:name="_Toc278969672"/>
      <w:r>
        <w:rPr>
          <w:rStyle w:val="CharPartNo"/>
        </w:rPr>
        <w:t>Part 6</w:t>
      </w:r>
      <w:r>
        <w:rPr>
          <w:rStyle w:val="CharDivNo"/>
        </w:rPr>
        <w:t> </w:t>
      </w:r>
      <w:r>
        <w:t>—</w:t>
      </w:r>
      <w:r>
        <w:rPr>
          <w:rStyle w:val="CharDivText"/>
        </w:rPr>
        <w:t> </w:t>
      </w:r>
      <w:r>
        <w:rPr>
          <w:rStyle w:val="CharPartText"/>
        </w:rPr>
        <w:t>Miscellaneous</w:t>
      </w:r>
      <w:bookmarkEnd w:id="515"/>
      <w:bookmarkEnd w:id="516"/>
      <w:bookmarkEnd w:id="517"/>
      <w:bookmarkEnd w:id="518"/>
      <w:bookmarkEnd w:id="519"/>
      <w:bookmarkEnd w:id="520"/>
      <w:bookmarkEnd w:id="521"/>
      <w:bookmarkEnd w:id="522"/>
      <w:bookmarkEnd w:id="523"/>
      <w:bookmarkEnd w:id="524"/>
      <w:bookmarkEnd w:id="525"/>
      <w:bookmarkEnd w:id="526"/>
      <w:bookmarkEnd w:id="527"/>
      <w:r>
        <w:rPr>
          <w:rStyle w:val="CharPartText"/>
        </w:rPr>
        <w:t xml:space="preserve"> </w:t>
      </w:r>
    </w:p>
    <w:p>
      <w:pPr>
        <w:pStyle w:val="Heading5"/>
        <w:rPr>
          <w:snapToGrid w:val="0"/>
        </w:rPr>
      </w:pPr>
      <w:bookmarkStart w:id="528" w:name="_Toc278969673"/>
      <w:bookmarkStart w:id="529" w:name="_Toc274143523"/>
      <w:r>
        <w:rPr>
          <w:rStyle w:val="CharSectno"/>
        </w:rPr>
        <w:t>87</w:t>
      </w:r>
      <w:r>
        <w:rPr>
          <w:snapToGrid w:val="0"/>
        </w:rPr>
        <w:t>.</w:t>
      </w:r>
      <w:r>
        <w:rPr>
          <w:snapToGrid w:val="0"/>
        </w:rPr>
        <w:tab/>
        <w:t>Laying documents before Parliament</w:t>
      </w:r>
      <w:bookmarkEnd w:id="528"/>
      <w:bookmarkEnd w:id="529"/>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pPr>
      <w:r>
        <w:tab/>
        <w:t>(2)</w:t>
      </w:r>
      <w:r>
        <w:tab/>
        <w:t>A copy of a document transmitted to the Clerk of a House is taken to have been laid before that House.</w:t>
      </w:r>
    </w:p>
    <w:p>
      <w:pPr>
        <w:pStyle w:val="Subsection"/>
        <w:rPr>
          <w:snapToGrid w:val="0"/>
        </w:rPr>
      </w:pPr>
      <w:r>
        <w:rPr>
          <w:snapToGrid w:val="0"/>
        </w:rPr>
        <w:tab/>
        <w:t>(3)</w:t>
      </w:r>
      <w:r>
        <w:rPr>
          <w:snapToGrid w:val="0"/>
        </w:rPr>
        <w:tab/>
        <w:t xml:space="preserve">The laying of a copy of a document that is taken to have occurred under </w:t>
      </w:r>
      <w:r>
        <w:t xml:space="preserve">subsection (2) </w:t>
      </w:r>
      <w:r>
        <w:rPr>
          <w:snapToGrid w:val="0"/>
        </w:rPr>
        <w:t>is to be recorded in the Minutes, or Votes and Proceedings, of the House on the first sitting day of the House after the receipt of the copy by the Clerk.</w:t>
      </w:r>
    </w:p>
    <w:p>
      <w:pPr>
        <w:pStyle w:val="Footnotesection"/>
      </w:pPr>
      <w:r>
        <w:tab/>
        <w:t>[Section 87 amended by No. 8 of 2009 s. 132(4) and (5).]</w:t>
      </w:r>
    </w:p>
    <w:p>
      <w:pPr>
        <w:pStyle w:val="Heading5"/>
        <w:rPr>
          <w:snapToGrid w:val="0"/>
        </w:rPr>
      </w:pPr>
      <w:bookmarkStart w:id="530" w:name="_Toc278969674"/>
      <w:bookmarkStart w:id="531" w:name="_Toc274143524"/>
      <w:r>
        <w:rPr>
          <w:rStyle w:val="CharSectno"/>
        </w:rPr>
        <w:t>88</w:t>
      </w:r>
      <w:r>
        <w:rPr>
          <w:snapToGrid w:val="0"/>
        </w:rPr>
        <w:t>.</w:t>
      </w:r>
      <w:r>
        <w:rPr>
          <w:snapToGrid w:val="0"/>
        </w:rPr>
        <w:tab/>
        <w:t>Execution of documents by corporation</w:t>
      </w:r>
      <w:bookmarkEnd w:id="530"/>
      <w:bookmarkEnd w:id="531"/>
      <w:r>
        <w:rPr>
          <w:snapToGrid w:val="0"/>
        </w:rPr>
        <w:t xml:space="preserve"> </w:t>
      </w:r>
    </w:p>
    <w:p>
      <w:pPr>
        <w:pStyle w:val="Subsection"/>
        <w:rPr>
          <w:snapToGrid w:val="0"/>
        </w:rPr>
      </w:pPr>
      <w:r>
        <w:rPr>
          <w:snapToGrid w:val="0"/>
        </w:rPr>
        <w:tab/>
        <w:t>(1)</w:t>
      </w:r>
      <w:r>
        <w:rPr>
          <w:snapToGrid w:val="0"/>
        </w:rPr>
        <w:tab/>
        <w:t>The corporation is to have a common seal.</w:t>
      </w:r>
    </w:p>
    <w:p>
      <w:pPr>
        <w:pStyle w:val="Subsection"/>
        <w:rPr>
          <w:snapToGrid w:val="0"/>
        </w:rPr>
      </w:pPr>
      <w:r>
        <w:rPr>
          <w:snapToGrid w:val="0"/>
        </w:rPr>
        <w:tab/>
        <w:t>(2)</w:t>
      </w:r>
      <w:r>
        <w:rPr>
          <w:snapToGrid w:val="0"/>
        </w:rPr>
        <w:tab/>
        <w:t>A document is duly executed by the corporation if — </w:t>
      </w:r>
    </w:p>
    <w:p>
      <w:pPr>
        <w:pStyle w:val="Indenta"/>
        <w:rPr>
          <w:snapToGrid w:val="0"/>
        </w:rPr>
      </w:pPr>
      <w:r>
        <w:rPr>
          <w:snapToGrid w:val="0"/>
        </w:rPr>
        <w:tab/>
        <w:t>(a)</w:t>
      </w:r>
      <w:r>
        <w:rPr>
          <w:snapToGrid w:val="0"/>
        </w:rPr>
        <w:tab/>
        <w:t>the common seal of the corporation is affixed to it in the presence of 2 directors or of a director and an executive officer; or</w:t>
      </w:r>
    </w:p>
    <w:p>
      <w:pPr>
        <w:pStyle w:val="Indenta"/>
        <w:rPr>
          <w:snapToGrid w:val="0"/>
        </w:rPr>
      </w:pPr>
      <w:r>
        <w:rPr>
          <w:snapToGrid w:val="0"/>
        </w:rPr>
        <w:tab/>
        <w:t>(b)</w:t>
      </w:r>
      <w:r>
        <w:rPr>
          <w:snapToGrid w:val="0"/>
        </w:rPr>
        <w:tab/>
        <w:t>it is signed on behalf of the corporation by a person or persons referred to in subsection (4).</w:t>
      </w:r>
    </w:p>
    <w:p>
      <w:pPr>
        <w:pStyle w:val="Subsection"/>
        <w:rPr>
          <w:snapToGrid w:val="0"/>
        </w:rPr>
      </w:pPr>
      <w:r>
        <w:rPr>
          <w:snapToGrid w:val="0"/>
        </w:rPr>
        <w:tab/>
        <w:t>(3)</w:t>
      </w:r>
      <w:r>
        <w:rPr>
          <w:snapToGrid w:val="0"/>
        </w:rPr>
        <w:tab/>
        <w:t>The common seal of the corporation is not to be affixed to a document except in accordance with this section.</w:t>
      </w:r>
    </w:p>
    <w:p>
      <w:pPr>
        <w:pStyle w:val="Subsection"/>
        <w:rPr>
          <w:snapToGrid w:val="0"/>
        </w:rPr>
      </w:pPr>
      <w:r>
        <w:rPr>
          <w:snapToGrid w:val="0"/>
        </w:rPr>
        <w:tab/>
        <w:t>(4)</w:t>
      </w:r>
      <w:r>
        <w:rPr>
          <w:snapToGrid w:val="0"/>
        </w:rPr>
        <w:tab/>
        <w:t>The corporation may, by writing under its common seal, authorise a director or 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Heading5"/>
        <w:rPr>
          <w:snapToGrid w:val="0"/>
        </w:rPr>
      </w:pPr>
      <w:bookmarkStart w:id="532" w:name="_Toc278969675"/>
      <w:bookmarkStart w:id="533" w:name="_Toc274143525"/>
      <w:r>
        <w:rPr>
          <w:rStyle w:val="CharSectno"/>
        </w:rPr>
        <w:t>89</w:t>
      </w:r>
      <w:r>
        <w:rPr>
          <w:snapToGrid w:val="0"/>
        </w:rPr>
        <w:t>.</w:t>
      </w:r>
      <w:r>
        <w:rPr>
          <w:snapToGrid w:val="0"/>
        </w:rPr>
        <w:tab/>
        <w:t>Contract formalities</w:t>
      </w:r>
      <w:bookmarkEnd w:id="532"/>
      <w:bookmarkEnd w:id="533"/>
      <w:r>
        <w:rPr>
          <w:snapToGrid w:val="0"/>
        </w:rPr>
        <w:t xml:space="preserve"> </w:t>
      </w:r>
    </w:p>
    <w:p>
      <w:pPr>
        <w:pStyle w:val="Subsection"/>
        <w:rPr>
          <w:snapToGrid w:val="0"/>
        </w:rPr>
      </w:pPr>
      <w:r>
        <w:rPr>
          <w:snapToGrid w:val="0"/>
        </w:rPr>
        <w:tab/>
        <w:t>(1)</w:t>
      </w:r>
      <w:r>
        <w:rPr>
          <w:snapToGrid w:val="0"/>
        </w:rPr>
        <w:tab/>
        <w:t>In so far as the formalities of making, varying or discharging a contract are concerned, a person acting under the authority of the corporation 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Subsection (1) does not prevent the corporation from making, varying or discharging a contract under its common seal.</w:t>
      </w:r>
    </w:p>
    <w:p>
      <w:pPr>
        <w:pStyle w:val="Heading5"/>
        <w:rPr>
          <w:snapToGrid w:val="0"/>
        </w:rPr>
      </w:pPr>
      <w:bookmarkStart w:id="534" w:name="_Toc278969676"/>
      <w:bookmarkStart w:id="535" w:name="_Toc274143526"/>
      <w:r>
        <w:rPr>
          <w:rStyle w:val="CharSectno"/>
        </w:rPr>
        <w:t>90</w:t>
      </w:r>
      <w:r>
        <w:rPr>
          <w:snapToGrid w:val="0"/>
        </w:rPr>
        <w:t>.</w:t>
      </w:r>
      <w:r>
        <w:rPr>
          <w:snapToGrid w:val="0"/>
        </w:rPr>
        <w:tab/>
        <w:t>Delegation by Treasurer</w:t>
      </w:r>
      <w:bookmarkEnd w:id="534"/>
      <w:bookmarkEnd w:id="535"/>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536" w:name="_Toc278969677"/>
      <w:bookmarkStart w:id="537" w:name="_Toc274143527"/>
      <w:r>
        <w:rPr>
          <w:rStyle w:val="CharSectno"/>
        </w:rPr>
        <w:t>91</w:t>
      </w:r>
      <w:r>
        <w:rPr>
          <w:snapToGrid w:val="0"/>
        </w:rPr>
        <w:t>.</w:t>
      </w:r>
      <w:r>
        <w:rPr>
          <w:snapToGrid w:val="0"/>
        </w:rPr>
        <w:tab/>
        <w:t>Regulations</w:t>
      </w:r>
      <w:bookmarkEnd w:id="536"/>
      <w:bookmarkEnd w:id="537"/>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rPr>
          <w:i/>
          <w:snapToGrid w:val="0"/>
        </w:rPr>
        <w:t>Water Services Licensing Act 1995</w:t>
      </w:r>
      <w:r>
        <w:rPr>
          <w:snapToGrid w:val="0"/>
        </w:rPr>
        <w:t>, the latter provision prevails.</w:t>
      </w:r>
    </w:p>
    <w:p>
      <w:pPr>
        <w:pStyle w:val="Footnotesection"/>
      </w:pPr>
      <w:r>
        <w:tab/>
        <w:t>[Section 91 amended by No. 67 of 2003 s.  62.]</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538" w:name="_Toc189883083"/>
      <w:bookmarkStart w:id="539" w:name="_Toc200259779"/>
      <w:bookmarkStart w:id="540" w:name="_Toc200259985"/>
      <w:bookmarkStart w:id="541" w:name="_Toc200260191"/>
      <w:bookmarkStart w:id="542" w:name="_Toc200422051"/>
      <w:bookmarkStart w:id="543" w:name="_Toc201975967"/>
      <w:bookmarkStart w:id="544" w:name="_Toc201982100"/>
      <w:bookmarkStart w:id="545" w:name="_Toc202080865"/>
      <w:bookmarkStart w:id="546" w:name="_Toc202168374"/>
      <w:bookmarkStart w:id="547" w:name="_Toc203453939"/>
      <w:bookmarkStart w:id="548" w:name="_Toc268269865"/>
      <w:bookmarkStart w:id="549" w:name="_Toc274143528"/>
      <w:bookmarkStart w:id="550" w:name="_Toc278969678"/>
      <w:r>
        <w:rPr>
          <w:rStyle w:val="CharSchNo"/>
        </w:rPr>
        <w:t>Schedule 1</w:t>
      </w:r>
      <w:bookmarkEnd w:id="538"/>
      <w:bookmarkEnd w:id="539"/>
      <w:bookmarkEnd w:id="540"/>
      <w:bookmarkEnd w:id="541"/>
      <w:bookmarkEnd w:id="542"/>
      <w:bookmarkEnd w:id="543"/>
      <w:bookmarkEnd w:id="544"/>
      <w:bookmarkEnd w:id="545"/>
      <w:bookmarkEnd w:id="546"/>
      <w:bookmarkEnd w:id="547"/>
      <w:r>
        <w:t> — </w:t>
      </w:r>
      <w:r>
        <w:rPr>
          <w:rStyle w:val="CharSchText"/>
        </w:rPr>
        <w:t>Provisions as to constitution and proceedings of board</w:t>
      </w:r>
      <w:bookmarkEnd w:id="548"/>
      <w:bookmarkEnd w:id="549"/>
      <w:bookmarkEnd w:id="550"/>
    </w:p>
    <w:p>
      <w:pPr>
        <w:pStyle w:val="yShoulderClause"/>
        <w:rPr>
          <w:snapToGrid w:val="0"/>
        </w:rPr>
      </w:pPr>
      <w:r>
        <w:rPr>
          <w:snapToGrid w:val="0"/>
        </w:rPr>
        <w:t>[s. 9]</w:t>
      </w:r>
    </w:p>
    <w:p>
      <w:pPr>
        <w:pStyle w:val="yFootnoteheading"/>
        <w:rPr>
          <w:rStyle w:val="CharSClsNo"/>
        </w:rPr>
      </w:pPr>
      <w:r>
        <w:tab/>
        <w:t>[Heading amended by No. 19 of 2010 s. 4.]</w:t>
      </w:r>
    </w:p>
    <w:p>
      <w:pPr>
        <w:pStyle w:val="yHeading5"/>
        <w:outlineLvl w:val="9"/>
        <w:rPr>
          <w:snapToGrid w:val="0"/>
        </w:rPr>
      </w:pPr>
      <w:bookmarkStart w:id="551" w:name="_Toc278969679"/>
      <w:bookmarkStart w:id="552" w:name="_Toc274143529"/>
      <w:r>
        <w:rPr>
          <w:rStyle w:val="CharSClsNo"/>
        </w:rPr>
        <w:t>1</w:t>
      </w:r>
      <w:r>
        <w:rPr>
          <w:snapToGrid w:val="0"/>
        </w:rPr>
        <w:t>.</w:t>
      </w:r>
      <w:r>
        <w:rPr>
          <w:snapToGrid w:val="0"/>
        </w:rPr>
        <w:tab/>
        <w:t>Meaning of “director”</w:t>
      </w:r>
      <w:bookmarkEnd w:id="551"/>
      <w:bookmarkEnd w:id="552"/>
      <w:r>
        <w:rPr>
          <w:snapToGrid w:val="0"/>
        </w:rPr>
        <w:t xml:space="preserve"> </w:t>
      </w:r>
    </w:p>
    <w:p>
      <w:pPr>
        <w:pStyle w:val="ySubsection"/>
        <w:rPr>
          <w:snapToGrid w:val="0"/>
        </w:rPr>
      </w:pPr>
      <w:r>
        <w:rPr>
          <w:snapToGrid w:val="0"/>
        </w:rPr>
        <w:tab/>
      </w:r>
      <w:r>
        <w:rPr>
          <w:snapToGrid w:val="0"/>
        </w:rPr>
        <w:tab/>
        <w:t>In clauses 2, 3, 4 and 5(1) — </w:t>
      </w:r>
    </w:p>
    <w:p>
      <w:pPr>
        <w:pStyle w:val="yDefstart"/>
      </w:pPr>
      <w:r>
        <w:rPr>
          <w:b/>
        </w:rPr>
        <w:tab/>
      </w:r>
      <w:r>
        <w:rPr>
          <w:rStyle w:val="CharDefText"/>
        </w:rPr>
        <w:t>director</w:t>
      </w:r>
      <w:r>
        <w:t xml:space="preserve"> does not include the chief executive officer in his or her capacity as a director.</w:t>
      </w:r>
    </w:p>
    <w:p>
      <w:pPr>
        <w:pStyle w:val="yHeading5"/>
        <w:outlineLvl w:val="9"/>
        <w:rPr>
          <w:snapToGrid w:val="0"/>
        </w:rPr>
      </w:pPr>
      <w:bookmarkStart w:id="553" w:name="_Toc278969680"/>
      <w:bookmarkStart w:id="554" w:name="_Toc274143530"/>
      <w:r>
        <w:rPr>
          <w:rStyle w:val="CharSClsNo"/>
        </w:rPr>
        <w:t>2</w:t>
      </w:r>
      <w:r>
        <w:rPr>
          <w:snapToGrid w:val="0"/>
        </w:rPr>
        <w:t>.</w:t>
      </w:r>
      <w:r>
        <w:rPr>
          <w:snapToGrid w:val="0"/>
        </w:rPr>
        <w:tab/>
        <w:t>Term of office</w:t>
      </w:r>
      <w:bookmarkEnd w:id="553"/>
      <w:bookmarkEnd w:id="554"/>
      <w:r>
        <w:rPr>
          <w:snapToGrid w:val="0"/>
        </w:rPr>
        <w:t xml:space="preserve"> </w:t>
      </w:r>
    </w:p>
    <w:p>
      <w:pPr>
        <w:pStyle w:val="ySubsection"/>
        <w:rPr>
          <w:snapToGrid w:val="0"/>
        </w:rPr>
      </w:pPr>
      <w:r>
        <w:rPr>
          <w:snapToGrid w:val="0"/>
        </w:rPr>
        <w:tab/>
        <w:t>(1)</w:t>
      </w:r>
      <w:r>
        <w:rPr>
          <w:snapToGrid w:val="0"/>
        </w:rPr>
        <w:tab/>
        <w:t>Subject to clause 3, a director 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Despite subclause (1) the directors first appointed are to be appointed for periods of between one year and 3 years so that approximately one third of the directors retire each year.</w:t>
      </w:r>
    </w:p>
    <w:p>
      <w:pPr>
        <w:pStyle w:val="yHeading5"/>
        <w:outlineLvl w:val="9"/>
        <w:rPr>
          <w:snapToGrid w:val="0"/>
        </w:rPr>
      </w:pPr>
      <w:bookmarkStart w:id="555" w:name="_Toc278969681"/>
      <w:bookmarkStart w:id="556" w:name="_Toc274143531"/>
      <w:r>
        <w:rPr>
          <w:rStyle w:val="CharSClsNo"/>
        </w:rPr>
        <w:t>3</w:t>
      </w:r>
      <w:r>
        <w:rPr>
          <w:snapToGrid w:val="0"/>
        </w:rPr>
        <w:t>.</w:t>
      </w:r>
      <w:r>
        <w:rPr>
          <w:snapToGrid w:val="0"/>
        </w:rPr>
        <w:tab/>
        <w:t>Resignation and removal</w:t>
      </w:r>
      <w:bookmarkEnd w:id="555"/>
      <w:bookmarkEnd w:id="556"/>
      <w:r>
        <w:rPr>
          <w:snapToGrid w:val="0"/>
        </w:rPr>
        <w:t xml:space="preserve"> </w:t>
      </w:r>
    </w:p>
    <w:p>
      <w:pPr>
        <w:pStyle w:val="ySubsection"/>
        <w:rPr>
          <w:snapToGrid w:val="0"/>
        </w:rPr>
      </w:pPr>
      <w:r>
        <w:rPr>
          <w:snapToGrid w:val="0"/>
        </w:rPr>
        <w:tab/>
        <w:t>(1)</w:t>
      </w:r>
      <w:r>
        <w:rPr>
          <w:snapToGrid w:val="0"/>
        </w:rPr>
        <w:tab/>
        <w:t>A director may resign from office by notice in writing delivered to the Minister.</w:t>
      </w:r>
    </w:p>
    <w:p>
      <w:pPr>
        <w:pStyle w:val="ySubsection"/>
        <w:rPr>
          <w:snapToGrid w:val="0"/>
        </w:rPr>
      </w:pPr>
      <w:r>
        <w:rPr>
          <w:snapToGrid w:val="0"/>
        </w:rPr>
        <w:tab/>
        <w:t>(2)</w:t>
      </w:r>
      <w:r>
        <w:rPr>
          <w:snapToGrid w:val="0"/>
        </w:rPr>
        <w:tab/>
        <w:t>The Governor may at any time remove a director from office and is not required to give any reason for doing so.</w:t>
      </w:r>
    </w:p>
    <w:p>
      <w:pPr>
        <w:pStyle w:val="yHeading5"/>
        <w:outlineLvl w:val="9"/>
        <w:rPr>
          <w:snapToGrid w:val="0"/>
        </w:rPr>
      </w:pPr>
      <w:bookmarkStart w:id="557" w:name="_Toc278969682"/>
      <w:bookmarkStart w:id="558" w:name="_Toc274143532"/>
      <w:r>
        <w:rPr>
          <w:rStyle w:val="CharSClsNo"/>
        </w:rPr>
        <w:t>4</w:t>
      </w:r>
      <w:r>
        <w:rPr>
          <w:snapToGrid w:val="0"/>
        </w:rPr>
        <w:t>.</w:t>
      </w:r>
      <w:r>
        <w:rPr>
          <w:snapToGrid w:val="0"/>
        </w:rPr>
        <w:tab/>
        <w:t>Chairperson and deputy chairperson</w:t>
      </w:r>
      <w:bookmarkEnd w:id="557"/>
      <w:bookmarkEnd w:id="558"/>
      <w:r>
        <w:rPr>
          <w:snapToGrid w:val="0"/>
        </w:rPr>
        <w:t xml:space="preserve"> </w:t>
      </w:r>
    </w:p>
    <w:p>
      <w:pPr>
        <w:pStyle w:val="ySubsection"/>
        <w:rPr>
          <w:snapToGrid w:val="0"/>
        </w:rPr>
      </w:pPr>
      <w:r>
        <w:rPr>
          <w:snapToGrid w:val="0"/>
        </w:rPr>
        <w:tab/>
        <w:t>(1)</w:t>
      </w:r>
      <w:r>
        <w:rPr>
          <w:snapToGrid w:val="0"/>
        </w:rPr>
        <w:tab/>
        <w:t>The Governor is to appoint a director to be chairperson and another to be deputy chairperson,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Heading5"/>
        <w:outlineLvl w:val="9"/>
        <w:rPr>
          <w:snapToGrid w:val="0"/>
        </w:rPr>
      </w:pPr>
      <w:bookmarkStart w:id="559" w:name="_Toc278969683"/>
      <w:bookmarkStart w:id="560" w:name="_Toc274143533"/>
      <w:r>
        <w:rPr>
          <w:rStyle w:val="CharSClsNo"/>
        </w:rPr>
        <w:t>5</w:t>
      </w:r>
      <w:r>
        <w:rPr>
          <w:snapToGrid w:val="0"/>
        </w:rPr>
        <w:t>.</w:t>
      </w:r>
      <w:r>
        <w:rPr>
          <w:snapToGrid w:val="0"/>
        </w:rPr>
        <w:tab/>
        <w:t>Alternate directors</w:t>
      </w:r>
      <w:bookmarkEnd w:id="559"/>
      <w:bookmarkEnd w:id="560"/>
      <w:r>
        <w:rPr>
          <w:snapToGrid w:val="0"/>
        </w:rPr>
        <w:t xml:space="preserve"> </w:t>
      </w:r>
    </w:p>
    <w:p>
      <w:pPr>
        <w:pStyle w:val="ySubsection"/>
        <w:rPr>
          <w:snapToGrid w:val="0"/>
        </w:rPr>
      </w:pPr>
      <w:r>
        <w:rPr>
          <w:snapToGrid w:val="0"/>
        </w:rPr>
        <w:tab/>
        <w:t>(1)</w:t>
      </w:r>
      <w:r>
        <w:rPr>
          <w:snapToGrid w:val="0"/>
        </w:rPr>
        <w:tab/>
        <w:t>Where a director is unable to act because of sickness, absence or other cause, the Minister may in writing appoint another person to act temporarily in his or her place, and while so acting according to the tenor of the appointment that other person is to be taken to be a director and is entitled to remuneration under section 10.</w:t>
      </w:r>
    </w:p>
    <w:p>
      <w:pPr>
        <w:pStyle w:val="ySubsection"/>
        <w:rPr>
          <w:snapToGrid w:val="0"/>
        </w:rPr>
      </w:pPr>
      <w:r>
        <w:rPr>
          <w:snapToGrid w:val="0"/>
        </w:rPr>
        <w:tab/>
        <w:t>(2)</w:t>
      </w:r>
      <w:r>
        <w:rPr>
          <w:snapToGrid w:val="0"/>
        </w:rPr>
        <w:tab/>
        <w:t>Except 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director.</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Heading5"/>
        <w:outlineLvl w:val="9"/>
        <w:rPr>
          <w:snapToGrid w:val="0"/>
        </w:rPr>
      </w:pPr>
      <w:bookmarkStart w:id="561" w:name="_Toc278969684"/>
      <w:bookmarkStart w:id="562" w:name="_Toc274143534"/>
      <w:r>
        <w:rPr>
          <w:rStyle w:val="CharSClsNo"/>
        </w:rPr>
        <w:t>6</w:t>
      </w:r>
      <w:r>
        <w:rPr>
          <w:snapToGrid w:val="0"/>
        </w:rPr>
        <w:t>.</w:t>
      </w:r>
      <w:r>
        <w:rPr>
          <w:snapToGrid w:val="0"/>
        </w:rPr>
        <w:tab/>
        <w:t>Meetings</w:t>
      </w:r>
      <w:bookmarkEnd w:id="561"/>
      <w:bookmarkEnd w:id="562"/>
      <w:r>
        <w:rPr>
          <w:snapToGrid w:val="0"/>
        </w:rPr>
        <w:t xml:space="preserve"> </w:t>
      </w:r>
    </w:p>
    <w:p>
      <w:pPr>
        <w:pStyle w:val="ySubsection"/>
        <w:rPr>
          <w:snapToGrid w:val="0"/>
        </w:rPr>
      </w:pPr>
      <w:r>
        <w:rPr>
          <w:snapToGrid w:val="0"/>
        </w:rPr>
        <w:tab/>
        <w:t>(1)</w:t>
      </w:r>
      <w:r>
        <w:rPr>
          <w:snapToGrid w:val="0"/>
        </w:rPr>
        <w:tab/>
        <w:t>The first meeting of the board 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A special meeting of the board 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keepNext/>
        <w:rPr>
          <w:snapToGrid w:val="0"/>
        </w:rPr>
      </w:pPr>
      <w:r>
        <w:rPr>
          <w:snapToGrid w:val="0"/>
        </w:rPr>
        <w:tab/>
        <w:t>(5)</w:t>
      </w:r>
      <w:r>
        <w:rPr>
          <w:snapToGrid w:val="0"/>
        </w:rPr>
        <w:tab/>
        <w:t>At any meeting of the board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Heading5"/>
        <w:outlineLvl w:val="9"/>
        <w:rPr>
          <w:snapToGrid w:val="0"/>
        </w:rPr>
      </w:pPr>
      <w:bookmarkStart w:id="563" w:name="_Toc278969685"/>
      <w:bookmarkStart w:id="564" w:name="_Toc274143535"/>
      <w:r>
        <w:rPr>
          <w:rStyle w:val="CharSClsNo"/>
        </w:rPr>
        <w:t>7</w:t>
      </w:r>
      <w:r>
        <w:t>.</w:t>
      </w:r>
      <w:r>
        <w:tab/>
        <w:t>Telephone and video meetings</w:t>
      </w:r>
      <w:bookmarkEnd w:id="563"/>
      <w:bookmarkEnd w:id="564"/>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565" w:name="_Toc278969686"/>
      <w:bookmarkStart w:id="566" w:name="_Toc274143536"/>
      <w:r>
        <w:rPr>
          <w:rStyle w:val="CharSClsNo"/>
        </w:rPr>
        <w:t>8</w:t>
      </w:r>
      <w:r>
        <w:rPr>
          <w:snapToGrid w:val="0"/>
        </w:rPr>
        <w:t>.</w:t>
      </w:r>
      <w:r>
        <w:rPr>
          <w:snapToGrid w:val="0"/>
        </w:rPr>
        <w:tab/>
        <w:t>Resolution may be passed without meeting</w:t>
      </w:r>
      <w:bookmarkEnd w:id="565"/>
      <w:bookmarkEnd w:id="566"/>
      <w:r>
        <w:rPr>
          <w:snapToGrid w:val="0"/>
        </w:rPr>
        <w:t xml:space="preserve"> </w:t>
      </w:r>
    </w:p>
    <w:p>
      <w:pPr>
        <w:pStyle w:val="ySubsection"/>
        <w:rPr>
          <w:snapToGrid w:val="0"/>
        </w:rPr>
      </w:pPr>
      <w:r>
        <w:rPr>
          <w:snapToGrid w:val="0"/>
        </w:rPr>
        <w:tab/>
        <w:t>(1)</w:t>
      </w:r>
      <w:r>
        <w:rPr>
          <w:snapToGrid w:val="0"/>
        </w:rPr>
        <w:tab/>
        <w:t>If a document containing a statement to the effect that an act, matter or thing has been done or resolution has been passed is sent or given to all directors and is assented to by not less than 3 directors that act, matter, thing or resolution is to be taken as having been done at or passed by a meeting of the board.</w:t>
      </w:r>
    </w:p>
    <w:p>
      <w:pPr>
        <w:pStyle w:val="ySubsection"/>
        <w:rPr>
          <w:snapToGrid w:val="0"/>
        </w:rPr>
      </w:pPr>
      <w:r>
        <w:rPr>
          <w:snapToGrid w:val="0"/>
        </w:rPr>
        <w:tab/>
        <w:t>(2)</w:t>
      </w:r>
      <w:r>
        <w:rPr>
          <w:snapToGrid w:val="0"/>
        </w:rPr>
        <w:tab/>
        <w:t>For the purposes of subclause (1) — </w:t>
      </w:r>
    </w:p>
    <w:p>
      <w:pPr>
        <w:pStyle w:val="yIndenta"/>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Heading5"/>
        <w:outlineLvl w:val="9"/>
        <w:rPr>
          <w:snapToGrid w:val="0"/>
        </w:rPr>
      </w:pPr>
      <w:bookmarkStart w:id="567" w:name="_Toc278969687"/>
      <w:bookmarkStart w:id="568" w:name="_Toc274143537"/>
      <w:r>
        <w:rPr>
          <w:rStyle w:val="CharSClsNo"/>
        </w:rPr>
        <w:t>9</w:t>
      </w:r>
      <w:r>
        <w:rPr>
          <w:snapToGrid w:val="0"/>
        </w:rPr>
        <w:t>.</w:t>
      </w:r>
      <w:r>
        <w:rPr>
          <w:snapToGrid w:val="0"/>
        </w:rPr>
        <w:tab/>
        <w:t>Minutes of meetings etc.</w:t>
      </w:r>
      <w:bookmarkEnd w:id="567"/>
      <w:bookmarkEnd w:id="568"/>
      <w:r>
        <w:rPr>
          <w:snapToGrid w:val="0"/>
        </w:rPr>
        <w:t xml:space="preserve"> </w:t>
      </w:r>
    </w:p>
    <w:p>
      <w:pPr>
        <w:pStyle w:val="ySubsection"/>
        <w:rPr>
          <w:snapToGrid w:val="0"/>
        </w:rPr>
      </w:pPr>
      <w:r>
        <w:rPr>
          <w:snapToGrid w:val="0"/>
        </w:rPr>
        <w:tab/>
      </w:r>
      <w:r>
        <w:rPr>
          <w:snapToGrid w:val="0"/>
        </w:rPr>
        <w:tab/>
        <w:t>The board is to ensure that an accurate record is kept and preserved of the proceedings at each meeting of the board and of each resolution passed under clause 8.</w:t>
      </w:r>
    </w:p>
    <w:p>
      <w:pPr>
        <w:pStyle w:val="yHeading5"/>
        <w:outlineLvl w:val="9"/>
        <w:rPr>
          <w:snapToGrid w:val="0"/>
        </w:rPr>
      </w:pPr>
      <w:bookmarkStart w:id="569" w:name="_Toc278969688"/>
      <w:bookmarkStart w:id="570" w:name="_Toc274143538"/>
      <w:r>
        <w:rPr>
          <w:rStyle w:val="CharSClsNo"/>
        </w:rPr>
        <w:t>10</w:t>
      </w:r>
      <w:r>
        <w:rPr>
          <w:snapToGrid w:val="0"/>
        </w:rPr>
        <w:t>.</w:t>
      </w:r>
      <w:r>
        <w:rPr>
          <w:snapToGrid w:val="0"/>
        </w:rPr>
        <w:tab/>
        <w:t>Leave of absence</w:t>
      </w:r>
      <w:bookmarkEnd w:id="569"/>
      <w:bookmarkEnd w:id="570"/>
      <w:r>
        <w:rPr>
          <w:snapToGrid w:val="0"/>
        </w:rPr>
        <w:t xml:space="preserve"> </w:t>
      </w:r>
    </w:p>
    <w:p>
      <w:pPr>
        <w:pStyle w:val="ySubsection"/>
        <w:rPr>
          <w:snapToGrid w:val="0"/>
        </w:rPr>
      </w:pPr>
      <w:r>
        <w:rPr>
          <w:snapToGrid w:val="0"/>
        </w:rPr>
        <w:tab/>
      </w:r>
      <w:r>
        <w:rPr>
          <w:snapToGrid w:val="0"/>
        </w:rPr>
        <w:tab/>
        <w:t>The board may, on such terms and conditions as it thinks fit, grant to a director leave of absence from a meeting, including the meeting at which it is intended to grant the leave.</w:t>
      </w:r>
    </w:p>
    <w:p>
      <w:pPr>
        <w:pStyle w:val="yHeading5"/>
        <w:outlineLvl w:val="9"/>
        <w:rPr>
          <w:snapToGrid w:val="0"/>
        </w:rPr>
      </w:pPr>
      <w:bookmarkStart w:id="571" w:name="_Toc278969689"/>
      <w:bookmarkStart w:id="572" w:name="_Toc274143539"/>
      <w:r>
        <w:rPr>
          <w:rStyle w:val="CharSClsNo"/>
        </w:rPr>
        <w:t>11</w:t>
      </w:r>
      <w:r>
        <w:rPr>
          <w:snapToGrid w:val="0"/>
        </w:rPr>
        <w:t>.</w:t>
      </w:r>
      <w:r>
        <w:rPr>
          <w:snapToGrid w:val="0"/>
        </w:rPr>
        <w:tab/>
        <w:t>Board to determine own procedures</w:t>
      </w:r>
      <w:bookmarkEnd w:id="571"/>
      <w:bookmarkEnd w:id="572"/>
      <w:r>
        <w:rPr>
          <w:snapToGrid w:val="0"/>
        </w:rPr>
        <w:t xml:space="preserve"> </w:t>
      </w:r>
    </w:p>
    <w:p>
      <w:pPr>
        <w:pStyle w:val="ySubsection"/>
        <w:rPr>
          <w:snapToGrid w:val="0"/>
        </w:rPr>
      </w:pPr>
      <w:r>
        <w:rPr>
          <w:snapToGrid w:val="0"/>
        </w:rPr>
        <w:tab/>
      </w:r>
      <w:r>
        <w:rPr>
          <w:snapToGrid w:val="0"/>
        </w:rPr>
        <w:tab/>
        <w:t>Subject to this Act, the board may determine its own procedures.</w:t>
      </w:r>
    </w:p>
    <w:p>
      <w:pPr>
        <w:pStyle w:val="yScheduleHeading"/>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bookmarkStart w:id="573" w:name="_Toc189883096"/>
    </w:p>
    <w:p>
      <w:pPr>
        <w:pStyle w:val="yScheduleHeading"/>
      </w:pPr>
      <w:bookmarkStart w:id="574" w:name="_Toc200259792"/>
      <w:bookmarkStart w:id="575" w:name="_Toc200259998"/>
      <w:bookmarkStart w:id="576" w:name="_Toc200260204"/>
      <w:bookmarkStart w:id="577" w:name="_Toc200422064"/>
      <w:bookmarkStart w:id="578" w:name="_Toc201975980"/>
      <w:bookmarkStart w:id="579" w:name="_Toc201982113"/>
      <w:bookmarkStart w:id="580" w:name="_Toc202080878"/>
      <w:bookmarkStart w:id="581" w:name="_Toc202168387"/>
      <w:bookmarkStart w:id="582" w:name="_Toc203453952"/>
      <w:bookmarkStart w:id="583" w:name="_Toc268269877"/>
      <w:bookmarkStart w:id="584" w:name="_Toc274143540"/>
      <w:bookmarkStart w:id="585" w:name="_Toc278969690"/>
      <w:r>
        <w:rPr>
          <w:rStyle w:val="CharSchNo"/>
        </w:rPr>
        <w:t>Schedule 2</w:t>
      </w:r>
      <w:bookmarkEnd w:id="573"/>
      <w:bookmarkEnd w:id="574"/>
      <w:bookmarkEnd w:id="575"/>
      <w:bookmarkEnd w:id="576"/>
      <w:bookmarkEnd w:id="577"/>
      <w:bookmarkEnd w:id="578"/>
      <w:bookmarkEnd w:id="579"/>
      <w:bookmarkEnd w:id="580"/>
      <w:bookmarkEnd w:id="581"/>
      <w:bookmarkEnd w:id="582"/>
      <w:r>
        <w:t> — </w:t>
      </w:r>
      <w:r>
        <w:rPr>
          <w:rStyle w:val="CharSchText"/>
        </w:rPr>
        <w:t>Provisions as to duties of directors and related provisions</w:t>
      </w:r>
      <w:bookmarkEnd w:id="583"/>
      <w:bookmarkEnd w:id="584"/>
      <w:bookmarkEnd w:id="585"/>
    </w:p>
    <w:p>
      <w:pPr>
        <w:pStyle w:val="yShoulderClause"/>
        <w:rPr>
          <w:snapToGrid w:val="0"/>
        </w:rPr>
      </w:pPr>
      <w:r>
        <w:rPr>
          <w:snapToGrid w:val="0"/>
        </w:rPr>
        <w:t>[s. 20, 21, 22 and 23]</w:t>
      </w:r>
    </w:p>
    <w:p>
      <w:pPr>
        <w:pStyle w:val="yFootnoteheading"/>
        <w:rPr>
          <w:rStyle w:val="CharSClsNo"/>
        </w:rPr>
      </w:pPr>
      <w:bookmarkStart w:id="586" w:name="_Toc189883098"/>
      <w:bookmarkStart w:id="587" w:name="_Toc200259794"/>
      <w:bookmarkStart w:id="588" w:name="_Toc200260000"/>
      <w:bookmarkStart w:id="589" w:name="_Toc200260206"/>
      <w:bookmarkStart w:id="590" w:name="_Toc200422066"/>
      <w:bookmarkStart w:id="591" w:name="_Toc201975982"/>
      <w:bookmarkStart w:id="592" w:name="_Toc201982115"/>
      <w:bookmarkStart w:id="593" w:name="_Toc202080880"/>
      <w:bookmarkStart w:id="594" w:name="_Toc202168389"/>
      <w:bookmarkStart w:id="595" w:name="_Toc203453954"/>
      <w:r>
        <w:tab/>
        <w:t>[Heading amended by No. 19 of 2010 s. 4.]</w:t>
      </w:r>
    </w:p>
    <w:p>
      <w:pPr>
        <w:pStyle w:val="yHeading3"/>
        <w:outlineLvl w:val="9"/>
        <w:rPr>
          <w:snapToGrid w:val="0"/>
        </w:rPr>
      </w:pPr>
      <w:bookmarkStart w:id="596" w:name="_Toc268269878"/>
      <w:bookmarkStart w:id="597" w:name="_Toc274143541"/>
      <w:bookmarkStart w:id="598" w:name="_Toc278969691"/>
      <w:r>
        <w:rPr>
          <w:rStyle w:val="CharSDivNo"/>
        </w:rPr>
        <w:t>Division 1</w:t>
      </w:r>
      <w:r>
        <w:rPr>
          <w:snapToGrid w:val="0"/>
        </w:rPr>
        <w:t> — </w:t>
      </w:r>
      <w:r>
        <w:rPr>
          <w:rStyle w:val="CharSDivText"/>
        </w:rPr>
        <w:t>Preliminary</w:t>
      </w:r>
      <w:bookmarkEnd w:id="586"/>
      <w:bookmarkEnd w:id="587"/>
      <w:bookmarkEnd w:id="588"/>
      <w:bookmarkEnd w:id="589"/>
      <w:bookmarkEnd w:id="590"/>
      <w:bookmarkEnd w:id="591"/>
      <w:bookmarkEnd w:id="592"/>
      <w:bookmarkEnd w:id="593"/>
      <w:bookmarkEnd w:id="594"/>
      <w:bookmarkEnd w:id="595"/>
      <w:bookmarkEnd w:id="596"/>
      <w:bookmarkEnd w:id="597"/>
      <w:bookmarkEnd w:id="598"/>
      <w:r>
        <w:rPr>
          <w:snapToGrid w:val="0"/>
        </w:rPr>
        <w:t xml:space="preserve"> </w:t>
      </w:r>
    </w:p>
    <w:p>
      <w:pPr>
        <w:pStyle w:val="yHeading5"/>
        <w:outlineLvl w:val="9"/>
        <w:rPr>
          <w:snapToGrid w:val="0"/>
        </w:rPr>
      </w:pPr>
      <w:bookmarkStart w:id="599" w:name="_Toc278969692"/>
      <w:bookmarkStart w:id="600" w:name="_Toc274143542"/>
      <w:r>
        <w:rPr>
          <w:rStyle w:val="CharSClsNo"/>
        </w:rPr>
        <w:t>1</w:t>
      </w:r>
      <w:r>
        <w:rPr>
          <w:snapToGrid w:val="0"/>
        </w:rPr>
        <w:t>.</w:t>
      </w:r>
      <w:r>
        <w:rPr>
          <w:snapToGrid w:val="0"/>
        </w:rPr>
        <w:tab/>
        <w:t>Interpretation</w:t>
      </w:r>
      <w:bookmarkEnd w:id="599"/>
      <w:bookmarkEnd w:id="600"/>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outlineLvl w:val="9"/>
        <w:rPr>
          <w:snapToGrid w:val="0"/>
        </w:rPr>
      </w:pPr>
      <w:bookmarkStart w:id="601" w:name="_Toc189883100"/>
      <w:bookmarkStart w:id="602" w:name="_Toc200259796"/>
      <w:bookmarkStart w:id="603" w:name="_Toc200260002"/>
      <w:bookmarkStart w:id="604" w:name="_Toc200260208"/>
      <w:bookmarkStart w:id="605" w:name="_Toc200422068"/>
      <w:bookmarkStart w:id="606" w:name="_Toc201975984"/>
      <w:bookmarkStart w:id="607" w:name="_Toc201982117"/>
      <w:bookmarkStart w:id="608" w:name="_Toc202080882"/>
      <w:bookmarkStart w:id="609" w:name="_Toc202168391"/>
      <w:bookmarkStart w:id="610" w:name="_Toc203453956"/>
      <w:bookmarkStart w:id="611" w:name="_Toc268269880"/>
      <w:bookmarkStart w:id="612" w:name="_Toc274143543"/>
      <w:bookmarkStart w:id="613" w:name="_Toc278969693"/>
      <w:r>
        <w:rPr>
          <w:rStyle w:val="CharSDivNo"/>
        </w:rPr>
        <w:t>Division 2</w:t>
      </w:r>
      <w:r>
        <w:rPr>
          <w:snapToGrid w:val="0"/>
        </w:rPr>
        <w:t> — </w:t>
      </w:r>
      <w:r>
        <w:rPr>
          <w:rStyle w:val="CharSDivText"/>
        </w:rPr>
        <w:t>Certain duties stated</w:t>
      </w:r>
      <w:bookmarkEnd w:id="601"/>
      <w:bookmarkEnd w:id="602"/>
      <w:bookmarkEnd w:id="603"/>
      <w:bookmarkEnd w:id="604"/>
      <w:bookmarkEnd w:id="605"/>
      <w:bookmarkEnd w:id="606"/>
      <w:bookmarkEnd w:id="607"/>
      <w:bookmarkEnd w:id="608"/>
      <w:bookmarkEnd w:id="609"/>
      <w:bookmarkEnd w:id="610"/>
      <w:bookmarkEnd w:id="611"/>
      <w:bookmarkEnd w:id="612"/>
      <w:bookmarkEnd w:id="613"/>
      <w:r>
        <w:rPr>
          <w:snapToGrid w:val="0"/>
        </w:rPr>
        <w:t xml:space="preserve"> </w:t>
      </w:r>
    </w:p>
    <w:p>
      <w:pPr>
        <w:pStyle w:val="yHeading5"/>
        <w:outlineLvl w:val="9"/>
        <w:rPr>
          <w:snapToGrid w:val="0"/>
        </w:rPr>
      </w:pPr>
      <w:bookmarkStart w:id="614" w:name="_Toc278969694"/>
      <w:bookmarkStart w:id="615" w:name="_Toc274143544"/>
      <w:r>
        <w:rPr>
          <w:rStyle w:val="CharSClsNo"/>
        </w:rPr>
        <w:t>2</w:t>
      </w:r>
      <w:r>
        <w:rPr>
          <w:snapToGrid w:val="0"/>
        </w:rPr>
        <w:t>.</w:t>
      </w:r>
      <w:r>
        <w:rPr>
          <w:snapToGrid w:val="0"/>
        </w:rPr>
        <w:tab/>
        <w:t>Duty to act honestly</w:t>
      </w:r>
      <w:bookmarkEnd w:id="614"/>
      <w:bookmarkEnd w:id="615"/>
      <w:r>
        <w:rPr>
          <w:snapToGrid w:val="0"/>
        </w:rPr>
        <w:t xml:space="preserve"> </w:t>
      </w:r>
    </w:p>
    <w:p>
      <w:pPr>
        <w:pStyle w:val="ySubsection"/>
        <w:rPr>
          <w:snapToGrid w:val="0"/>
        </w:rPr>
      </w:pPr>
      <w:r>
        <w:rPr>
          <w:snapToGrid w:val="0"/>
        </w:rPr>
        <w:tab/>
      </w:r>
      <w:r>
        <w:rPr>
          <w:snapToGrid w:val="0"/>
        </w:rPr>
        <w:tab/>
        <w:t>A director must at all times act honestly in the performance of the functions of his or her office, whether within or outside the State.</w:t>
      </w:r>
    </w:p>
    <w:p>
      <w:pPr>
        <w:pStyle w:val="yPenstart"/>
        <w:tabs>
          <w:tab w:val="left" w:pos="1680"/>
        </w:tabs>
        <w:ind w:left="2160" w:hanging="2160"/>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2160"/>
        <w:rPr>
          <w:snapToGrid w:val="0"/>
        </w:rPr>
      </w:pPr>
      <w:r>
        <w:rPr>
          <w:snapToGrid w:val="0"/>
        </w:rPr>
        <w:tab/>
      </w:r>
      <w:r>
        <w:rPr>
          <w:snapToGrid w:val="0"/>
        </w:rPr>
        <w:tab/>
        <w:t>(b)</w:t>
      </w:r>
      <w:r>
        <w:rPr>
          <w:snapToGrid w:val="0"/>
        </w:rPr>
        <w:tab/>
        <w:t>otherwise, $5 000.</w:t>
      </w:r>
    </w:p>
    <w:p>
      <w:pPr>
        <w:pStyle w:val="yHeading5"/>
        <w:outlineLvl w:val="9"/>
        <w:rPr>
          <w:snapToGrid w:val="0"/>
        </w:rPr>
      </w:pPr>
      <w:bookmarkStart w:id="616" w:name="_Toc278969695"/>
      <w:bookmarkStart w:id="617" w:name="_Toc274143545"/>
      <w:r>
        <w:rPr>
          <w:rStyle w:val="CharSClsNo"/>
        </w:rPr>
        <w:t>3</w:t>
      </w:r>
      <w:r>
        <w:rPr>
          <w:snapToGrid w:val="0"/>
        </w:rPr>
        <w:t>.</w:t>
      </w:r>
      <w:r>
        <w:rPr>
          <w:snapToGrid w:val="0"/>
        </w:rPr>
        <w:tab/>
        <w:t>Duty to exercise reasonable care and diligence</w:t>
      </w:r>
      <w:bookmarkEnd w:id="616"/>
      <w:bookmarkEnd w:id="617"/>
      <w:r>
        <w:rPr>
          <w:snapToGrid w:val="0"/>
        </w:rPr>
        <w:t xml:space="preserve"> </w:t>
      </w:r>
    </w:p>
    <w:p>
      <w:pPr>
        <w:pStyle w:val="ySubsection"/>
        <w:rPr>
          <w:snapToGrid w:val="0"/>
        </w:rPr>
      </w:pPr>
      <w:r>
        <w:rPr>
          <w:snapToGrid w:val="0"/>
        </w:rPr>
        <w:tab/>
      </w:r>
      <w:r>
        <w:rPr>
          <w:snapToGrid w:val="0"/>
        </w:rPr>
        <w:tab/>
        <w:t>A director 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Heading5"/>
        <w:outlineLvl w:val="9"/>
        <w:rPr>
          <w:snapToGrid w:val="0"/>
        </w:rPr>
      </w:pPr>
      <w:bookmarkStart w:id="618" w:name="_Toc278969696"/>
      <w:bookmarkStart w:id="619" w:name="_Toc274143546"/>
      <w:r>
        <w:rPr>
          <w:rStyle w:val="CharSClsNo"/>
        </w:rPr>
        <w:t>4</w:t>
      </w:r>
      <w:r>
        <w:rPr>
          <w:snapToGrid w:val="0"/>
        </w:rPr>
        <w:t>.</w:t>
      </w:r>
      <w:r>
        <w:rPr>
          <w:snapToGrid w:val="0"/>
        </w:rPr>
        <w:tab/>
        <w:t>Duty not to make improper use of information</w:t>
      </w:r>
      <w:bookmarkEnd w:id="618"/>
      <w:bookmarkEnd w:id="619"/>
      <w:r>
        <w:rPr>
          <w:snapToGrid w:val="0"/>
        </w:rPr>
        <w:t xml:space="preserve"> </w:t>
      </w:r>
    </w:p>
    <w:p>
      <w:pPr>
        <w:pStyle w:val="ySubsection"/>
        <w:rPr>
          <w:snapToGrid w:val="0"/>
        </w:rPr>
      </w:pPr>
      <w:r>
        <w:rPr>
          <w:snapToGrid w:val="0"/>
        </w:rPr>
        <w:tab/>
      </w:r>
      <w:r>
        <w:rPr>
          <w:snapToGrid w:val="0"/>
        </w:rPr>
        <w:tab/>
        <w:t>A director or a former director 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620" w:name="_Toc278969697"/>
      <w:bookmarkStart w:id="621" w:name="_Toc274143547"/>
      <w:r>
        <w:rPr>
          <w:rStyle w:val="CharSClsNo"/>
        </w:rPr>
        <w:t>5</w:t>
      </w:r>
      <w:r>
        <w:rPr>
          <w:snapToGrid w:val="0"/>
        </w:rPr>
        <w:t>.</w:t>
      </w:r>
      <w:r>
        <w:rPr>
          <w:snapToGrid w:val="0"/>
        </w:rPr>
        <w:tab/>
        <w:t>Duty not to make improper use of position</w:t>
      </w:r>
      <w:bookmarkEnd w:id="620"/>
      <w:bookmarkEnd w:id="621"/>
      <w:r>
        <w:rPr>
          <w:snapToGrid w:val="0"/>
        </w:rPr>
        <w:t xml:space="preserve"> </w:t>
      </w:r>
    </w:p>
    <w:p>
      <w:pPr>
        <w:pStyle w:val="ySubsection"/>
        <w:rPr>
          <w:snapToGrid w:val="0"/>
        </w:rPr>
      </w:pPr>
      <w:r>
        <w:rPr>
          <w:snapToGrid w:val="0"/>
        </w:rPr>
        <w:tab/>
      </w:r>
      <w:r>
        <w:rPr>
          <w:snapToGrid w:val="0"/>
        </w:rPr>
        <w:tab/>
        <w:t>A director must not, whether within or outside the State, make improper use of his or her position as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622" w:name="_Toc278969698"/>
      <w:bookmarkStart w:id="623" w:name="_Toc274143548"/>
      <w:r>
        <w:rPr>
          <w:rStyle w:val="CharSClsNo"/>
        </w:rPr>
        <w:t>6</w:t>
      </w:r>
      <w:r>
        <w:rPr>
          <w:snapToGrid w:val="0"/>
        </w:rPr>
        <w:t>.</w:t>
      </w:r>
      <w:r>
        <w:rPr>
          <w:snapToGrid w:val="0"/>
        </w:rPr>
        <w:tab/>
        <w:t>Fiduciary duty</w:t>
      </w:r>
      <w:bookmarkEnd w:id="622"/>
      <w:bookmarkEnd w:id="623"/>
      <w:r>
        <w:rPr>
          <w:snapToGrid w:val="0"/>
        </w:rPr>
        <w:t xml:space="preserve"> </w:t>
      </w:r>
    </w:p>
    <w:p>
      <w:pPr>
        <w:pStyle w:val="ySubsection"/>
        <w:rPr>
          <w:snapToGrid w:val="0"/>
        </w:rPr>
      </w:pPr>
      <w:r>
        <w:rPr>
          <w:snapToGrid w:val="0"/>
        </w:rPr>
        <w:tab/>
        <w:t>(1)</w:t>
      </w:r>
      <w:r>
        <w:rPr>
          <w:snapToGrid w:val="0"/>
        </w:rPr>
        <w:tab/>
        <w:t xml:space="preserve">A director 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w:t>
      </w:r>
    </w:p>
    <w:p>
      <w:pPr>
        <w:pStyle w:val="yHeading3"/>
        <w:outlineLvl w:val="9"/>
        <w:rPr>
          <w:snapToGrid w:val="0"/>
        </w:rPr>
      </w:pPr>
      <w:bookmarkStart w:id="624" w:name="_Toc189883106"/>
      <w:bookmarkStart w:id="625" w:name="_Toc200259802"/>
      <w:bookmarkStart w:id="626" w:name="_Toc200260008"/>
      <w:bookmarkStart w:id="627" w:name="_Toc200260214"/>
      <w:bookmarkStart w:id="628" w:name="_Toc200422074"/>
      <w:bookmarkStart w:id="629" w:name="_Toc201975990"/>
      <w:bookmarkStart w:id="630" w:name="_Toc201982123"/>
      <w:bookmarkStart w:id="631" w:name="_Toc202080888"/>
      <w:bookmarkStart w:id="632" w:name="_Toc202168397"/>
      <w:bookmarkStart w:id="633" w:name="_Toc203453962"/>
      <w:bookmarkStart w:id="634" w:name="_Toc268269886"/>
      <w:bookmarkStart w:id="635" w:name="_Toc274143549"/>
      <w:bookmarkStart w:id="636" w:name="_Toc278969699"/>
      <w:r>
        <w:rPr>
          <w:rStyle w:val="CharSDivNo"/>
        </w:rPr>
        <w:t>Division 3</w:t>
      </w:r>
      <w:r>
        <w:rPr>
          <w:snapToGrid w:val="0"/>
        </w:rPr>
        <w:t> — </w:t>
      </w:r>
      <w:r>
        <w:rPr>
          <w:rStyle w:val="CharSDivText"/>
        </w:rPr>
        <w:t>Recovery from director</w:t>
      </w:r>
      <w:bookmarkEnd w:id="624"/>
      <w:bookmarkEnd w:id="625"/>
      <w:bookmarkEnd w:id="626"/>
      <w:bookmarkEnd w:id="627"/>
      <w:bookmarkEnd w:id="628"/>
      <w:bookmarkEnd w:id="629"/>
      <w:bookmarkEnd w:id="630"/>
      <w:bookmarkEnd w:id="631"/>
      <w:bookmarkEnd w:id="632"/>
      <w:bookmarkEnd w:id="633"/>
      <w:bookmarkEnd w:id="634"/>
      <w:bookmarkEnd w:id="635"/>
      <w:bookmarkEnd w:id="636"/>
      <w:r>
        <w:rPr>
          <w:snapToGrid w:val="0"/>
        </w:rPr>
        <w:t xml:space="preserve"> </w:t>
      </w:r>
    </w:p>
    <w:p>
      <w:pPr>
        <w:pStyle w:val="yHeading5"/>
        <w:outlineLvl w:val="9"/>
        <w:rPr>
          <w:snapToGrid w:val="0"/>
        </w:rPr>
      </w:pPr>
      <w:bookmarkStart w:id="637" w:name="_Toc278969700"/>
      <w:bookmarkStart w:id="638" w:name="_Toc274143550"/>
      <w:r>
        <w:rPr>
          <w:rStyle w:val="CharSClsNo"/>
        </w:rPr>
        <w:t>7</w:t>
      </w:r>
      <w:r>
        <w:rPr>
          <w:snapToGrid w:val="0"/>
        </w:rPr>
        <w:t>.</w:t>
      </w:r>
      <w:r>
        <w:rPr>
          <w:snapToGrid w:val="0"/>
        </w:rPr>
        <w:tab/>
        <w:t>Payment of compensation may be ordered</w:t>
      </w:r>
      <w:bookmarkEnd w:id="637"/>
      <w:bookmarkEnd w:id="638"/>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the court is satisfied that the corporation 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Heading5"/>
        <w:outlineLvl w:val="9"/>
        <w:rPr>
          <w:snapToGrid w:val="0"/>
        </w:rPr>
      </w:pPr>
      <w:bookmarkStart w:id="639" w:name="_Toc278969701"/>
      <w:bookmarkStart w:id="640" w:name="_Toc274143551"/>
      <w:r>
        <w:rPr>
          <w:rStyle w:val="CharSClsNo"/>
        </w:rPr>
        <w:t>8</w:t>
      </w:r>
      <w:r>
        <w:rPr>
          <w:snapToGrid w:val="0"/>
        </w:rPr>
        <w:t>.</w:t>
      </w:r>
      <w:r>
        <w:rPr>
          <w:snapToGrid w:val="0"/>
        </w:rPr>
        <w:tab/>
        <w:t>Civil proceedings for recovery from director</w:t>
      </w:r>
      <w:bookmarkEnd w:id="639"/>
      <w:bookmarkEnd w:id="640"/>
      <w:r>
        <w:rPr>
          <w:snapToGrid w:val="0"/>
        </w:rPr>
        <w:t xml:space="preserve"> </w:t>
      </w:r>
    </w:p>
    <w:p>
      <w:pPr>
        <w:pStyle w:val="ySubsection"/>
        <w:rPr>
          <w:snapToGrid w:val="0"/>
        </w:rPr>
      </w:pPr>
      <w:r>
        <w:rPr>
          <w:snapToGrid w:val="0"/>
        </w:rPr>
        <w:tab/>
      </w:r>
      <w:r>
        <w:rPr>
          <w:snapToGrid w:val="0"/>
        </w:rPr>
        <w:tab/>
        <w:t>Where a person contravenes clause 2, 3, 4 or 5, the corporation 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Heading3"/>
        <w:outlineLvl w:val="9"/>
        <w:rPr>
          <w:snapToGrid w:val="0"/>
        </w:rPr>
      </w:pPr>
      <w:bookmarkStart w:id="641" w:name="_Toc189883109"/>
      <w:bookmarkStart w:id="642" w:name="_Toc200259805"/>
      <w:bookmarkStart w:id="643" w:name="_Toc200260011"/>
      <w:bookmarkStart w:id="644" w:name="_Toc200260217"/>
      <w:bookmarkStart w:id="645" w:name="_Toc200422077"/>
      <w:bookmarkStart w:id="646" w:name="_Toc201975993"/>
      <w:bookmarkStart w:id="647" w:name="_Toc201982126"/>
      <w:bookmarkStart w:id="648" w:name="_Toc202080891"/>
      <w:bookmarkStart w:id="649" w:name="_Toc202168400"/>
      <w:bookmarkStart w:id="650" w:name="_Toc203453965"/>
      <w:bookmarkStart w:id="651" w:name="_Toc268269889"/>
      <w:bookmarkStart w:id="652" w:name="_Toc274143552"/>
      <w:bookmarkStart w:id="653" w:name="_Toc278969702"/>
      <w:r>
        <w:rPr>
          <w:rStyle w:val="CharSDivNo"/>
        </w:rPr>
        <w:t>Division 4</w:t>
      </w:r>
      <w:r>
        <w:rPr>
          <w:snapToGrid w:val="0"/>
        </w:rPr>
        <w:t> — </w:t>
      </w:r>
      <w:r>
        <w:rPr>
          <w:rStyle w:val="CharSDivText"/>
        </w:rPr>
        <w:t>Relief of director</w:t>
      </w:r>
      <w:bookmarkEnd w:id="641"/>
      <w:bookmarkEnd w:id="642"/>
      <w:bookmarkEnd w:id="643"/>
      <w:bookmarkEnd w:id="644"/>
      <w:bookmarkEnd w:id="645"/>
      <w:bookmarkEnd w:id="646"/>
      <w:bookmarkEnd w:id="647"/>
      <w:bookmarkEnd w:id="648"/>
      <w:bookmarkEnd w:id="649"/>
      <w:bookmarkEnd w:id="650"/>
      <w:bookmarkEnd w:id="651"/>
      <w:bookmarkEnd w:id="652"/>
      <w:bookmarkEnd w:id="653"/>
      <w:r>
        <w:rPr>
          <w:snapToGrid w:val="0"/>
        </w:rPr>
        <w:t xml:space="preserve"> </w:t>
      </w:r>
    </w:p>
    <w:p>
      <w:pPr>
        <w:pStyle w:val="yHeading5"/>
        <w:outlineLvl w:val="9"/>
        <w:rPr>
          <w:snapToGrid w:val="0"/>
        </w:rPr>
      </w:pPr>
      <w:bookmarkStart w:id="654" w:name="_Toc278969703"/>
      <w:bookmarkStart w:id="655" w:name="_Toc274143553"/>
      <w:r>
        <w:rPr>
          <w:rStyle w:val="CharSClsNo"/>
        </w:rPr>
        <w:t>9</w:t>
      </w:r>
      <w:r>
        <w:rPr>
          <w:snapToGrid w:val="0"/>
        </w:rPr>
        <w:t>.</w:t>
      </w:r>
      <w:r>
        <w:rPr>
          <w:snapToGrid w:val="0"/>
        </w:rPr>
        <w:tab/>
        <w:t>Director etc. may be relieved from liability</w:t>
      </w:r>
      <w:bookmarkEnd w:id="654"/>
      <w:bookmarkEnd w:id="655"/>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656" w:name="_Toc278969704"/>
      <w:bookmarkStart w:id="657" w:name="_Toc274143554"/>
      <w:r>
        <w:rPr>
          <w:rStyle w:val="CharSClsNo"/>
        </w:rPr>
        <w:t>10</w:t>
      </w:r>
      <w:r>
        <w:rPr>
          <w:snapToGrid w:val="0"/>
        </w:rPr>
        <w:t>.</w:t>
      </w:r>
      <w:r>
        <w:rPr>
          <w:snapToGrid w:val="0"/>
        </w:rPr>
        <w:tab/>
        <w:t>Director etc. may apply for relief</w:t>
      </w:r>
      <w:bookmarkEnd w:id="656"/>
      <w:bookmarkEnd w:id="657"/>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658" w:name="_Toc278969705"/>
      <w:bookmarkStart w:id="659" w:name="_Toc274143555"/>
      <w:r>
        <w:rPr>
          <w:rStyle w:val="CharSClsNo"/>
        </w:rPr>
        <w:t>11</w:t>
      </w:r>
      <w:r>
        <w:rPr>
          <w:snapToGrid w:val="0"/>
        </w:rPr>
        <w:t>.</w:t>
      </w:r>
      <w:r>
        <w:rPr>
          <w:snapToGrid w:val="0"/>
        </w:rPr>
        <w:tab/>
        <w:t>Case may be withdrawn from jury</w:t>
      </w:r>
      <w:bookmarkEnd w:id="658"/>
      <w:bookmarkEnd w:id="659"/>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660" w:name="_Toc189883113"/>
      <w:bookmarkStart w:id="661" w:name="_Toc200259809"/>
      <w:bookmarkStart w:id="662" w:name="_Toc200260015"/>
      <w:bookmarkStart w:id="663" w:name="_Toc200260221"/>
      <w:bookmarkStart w:id="664" w:name="_Toc200422081"/>
      <w:bookmarkStart w:id="665" w:name="_Toc201975997"/>
      <w:bookmarkStart w:id="666" w:name="_Toc201982130"/>
      <w:bookmarkStart w:id="667" w:name="_Toc202080895"/>
      <w:bookmarkStart w:id="668" w:name="_Toc202168404"/>
      <w:bookmarkStart w:id="669" w:name="_Toc203453969"/>
      <w:bookmarkStart w:id="670" w:name="_Toc268269893"/>
      <w:bookmarkStart w:id="671" w:name="_Toc274143556"/>
      <w:bookmarkStart w:id="672" w:name="_Toc278969706"/>
      <w:r>
        <w:rPr>
          <w:rStyle w:val="CharSDivNo"/>
        </w:rPr>
        <w:t>Division 5</w:t>
      </w:r>
      <w:r>
        <w:rPr>
          <w:snapToGrid w:val="0"/>
        </w:rPr>
        <w:t> — </w:t>
      </w:r>
      <w:r>
        <w:rPr>
          <w:rStyle w:val="CharSDivText"/>
        </w:rPr>
        <w:t>Disclosure etc. of personal interests</w:t>
      </w:r>
      <w:bookmarkEnd w:id="660"/>
      <w:bookmarkEnd w:id="661"/>
      <w:bookmarkEnd w:id="662"/>
      <w:bookmarkEnd w:id="663"/>
      <w:bookmarkEnd w:id="664"/>
      <w:bookmarkEnd w:id="665"/>
      <w:bookmarkEnd w:id="666"/>
      <w:bookmarkEnd w:id="667"/>
      <w:bookmarkEnd w:id="668"/>
      <w:bookmarkEnd w:id="669"/>
      <w:bookmarkEnd w:id="670"/>
      <w:bookmarkEnd w:id="671"/>
      <w:bookmarkEnd w:id="672"/>
      <w:r>
        <w:rPr>
          <w:snapToGrid w:val="0"/>
        </w:rPr>
        <w:t xml:space="preserve"> </w:t>
      </w:r>
    </w:p>
    <w:p>
      <w:pPr>
        <w:pStyle w:val="yHeading5"/>
        <w:outlineLvl w:val="9"/>
        <w:rPr>
          <w:snapToGrid w:val="0"/>
        </w:rPr>
      </w:pPr>
      <w:bookmarkStart w:id="673" w:name="_Toc278969707"/>
      <w:bookmarkStart w:id="674" w:name="_Toc274143557"/>
      <w:r>
        <w:rPr>
          <w:rStyle w:val="CharSClsNo"/>
        </w:rPr>
        <w:t>12</w:t>
      </w:r>
      <w:r>
        <w:rPr>
          <w:snapToGrid w:val="0"/>
        </w:rPr>
        <w:t>.</w:t>
      </w:r>
      <w:r>
        <w:rPr>
          <w:snapToGrid w:val="0"/>
        </w:rPr>
        <w:tab/>
        <w:t>Disclosure of interests in contracts</w:t>
      </w:r>
      <w:bookmarkEnd w:id="673"/>
      <w:bookmarkEnd w:id="674"/>
      <w:r>
        <w:rPr>
          <w:snapToGrid w:val="0"/>
        </w:rPr>
        <w:t xml:space="preserve"> </w:t>
      </w:r>
    </w:p>
    <w:p>
      <w:pPr>
        <w:pStyle w:val="ySubsection"/>
        <w:rPr>
          <w:snapToGrid w:val="0"/>
        </w:rPr>
      </w:pPr>
      <w:r>
        <w:rPr>
          <w:snapToGrid w:val="0"/>
        </w:rPr>
        <w:tab/>
        <w:t>(1)</w:t>
      </w:r>
      <w:r>
        <w:rPr>
          <w:snapToGrid w:val="0"/>
        </w:rPr>
        <w:tab/>
        <w:t>A director who has a material personal interest in a matter involving the corporation must, as soon as possible after the relevant facts have come to the director’s knowledge, disclose the nature of the interest at a meeting of the board.</w:t>
      </w:r>
    </w:p>
    <w:p>
      <w:pPr>
        <w:pStyle w:val="yPenstart"/>
        <w:rPr>
          <w:snapToGrid w:val="0"/>
        </w:rPr>
      </w:pPr>
      <w:r>
        <w:rPr>
          <w:snapToGrid w:val="0"/>
        </w:rPr>
        <w:tab/>
        <w:t>Penalty: $1 000.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w:t>
      </w:r>
    </w:p>
    <w:p>
      <w:pPr>
        <w:pStyle w:val="yHeading5"/>
        <w:outlineLvl w:val="9"/>
        <w:rPr>
          <w:snapToGrid w:val="0"/>
        </w:rPr>
      </w:pPr>
      <w:bookmarkStart w:id="675" w:name="_Toc278969708"/>
      <w:bookmarkStart w:id="676" w:name="_Toc274143558"/>
      <w:r>
        <w:rPr>
          <w:rStyle w:val="CharSClsNo"/>
        </w:rPr>
        <w:t>13</w:t>
      </w:r>
      <w:r>
        <w:rPr>
          <w:snapToGrid w:val="0"/>
        </w:rPr>
        <w:t>.</w:t>
      </w:r>
      <w:r>
        <w:rPr>
          <w:snapToGrid w:val="0"/>
        </w:rPr>
        <w:tab/>
        <w:t>Voting by interested directors</w:t>
      </w:r>
      <w:bookmarkEnd w:id="675"/>
      <w:bookmarkEnd w:id="676"/>
      <w:r>
        <w:rPr>
          <w:snapToGrid w:val="0"/>
        </w:rPr>
        <w:t xml:space="preserve"> </w:t>
      </w:r>
    </w:p>
    <w:p>
      <w:pPr>
        <w:pStyle w:val="ySubsection"/>
        <w:rPr>
          <w:snapToGrid w:val="0"/>
        </w:rPr>
      </w:pPr>
      <w:r>
        <w:rPr>
          <w:snapToGrid w:val="0"/>
        </w:rPr>
        <w:tab/>
        <w:t>(1)</w:t>
      </w:r>
      <w:r>
        <w:rPr>
          <w:snapToGrid w:val="0"/>
        </w:rPr>
        <w:tab/>
        <w:t>A director who has a material personal interest in a matter that is being considered by the board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For the purpose of subclause (1), a director 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Despite clause 6(5) of Schedule 1, if a director 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The Minister may deal with a matter in so far as the board 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Heading3"/>
        <w:outlineLvl w:val="9"/>
        <w:rPr>
          <w:snapToGrid w:val="0"/>
        </w:rPr>
      </w:pPr>
      <w:bookmarkStart w:id="677" w:name="_Toc189883116"/>
      <w:bookmarkStart w:id="678" w:name="_Toc200259812"/>
      <w:bookmarkStart w:id="679" w:name="_Toc200260018"/>
      <w:bookmarkStart w:id="680" w:name="_Toc200260224"/>
      <w:bookmarkStart w:id="681" w:name="_Toc200422084"/>
      <w:bookmarkStart w:id="682" w:name="_Toc201976000"/>
      <w:bookmarkStart w:id="683" w:name="_Toc201982133"/>
      <w:bookmarkStart w:id="684" w:name="_Toc202080898"/>
      <w:bookmarkStart w:id="685" w:name="_Toc202168407"/>
      <w:bookmarkStart w:id="686" w:name="_Toc203453972"/>
      <w:bookmarkStart w:id="687" w:name="_Toc268269896"/>
      <w:bookmarkStart w:id="688" w:name="_Toc274143559"/>
      <w:bookmarkStart w:id="689" w:name="_Toc278969709"/>
      <w:r>
        <w:rPr>
          <w:rStyle w:val="CharSDivNo"/>
        </w:rPr>
        <w:t>Division 6</w:t>
      </w:r>
      <w:r>
        <w:rPr>
          <w:snapToGrid w:val="0"/>
        </w:rPr>
        <w:t> — </w:t>
      </w:r>
      <w:r>
        <w:rPr>
          <w:rStyle w:val="CharSDivText"/>
        </w:rPr>
        <w:t>Other prohibited conduct</w:t>
      </w:r>
      <w:bookmarkEnd w:id="677"/>
      <w:bookmarkEnd w:id="678"/>
      <w:bookmarkEnd w:id="679"/>
      <w:bookmarkEnd w:id="680"/>
      <w:bookmarkEnd w:id="681"/>
      <w:bookmarkEnd w:id="682"/>
      <w:bookmarkEnd w:id="683"/>
      <w:bookmarkEnd w:id="684"/>
      <w:bookmarkEnd w:id="685"/>
      <w:bookmarkEnd w:id="686"/>
      <w:bookmarkEnd w:id="687"/>
      <w:bookmarkEnd w:id="688"/>
      <w:bookmarkEnd w:id="689"/>
      <w:r>
        <w:rPr>
          <w:snapToGrid w:val="0"/>
        </w:rPr>
        <w:t xml:space="preserve"> </w:t>
      </w:r>
    </w:p>
    <w:p>
      <w:pPr>
        <w:pStyle w:val="yHeading5"/>
        <w:outlineLvl w:val="9"/>
      </w:pPr>
      <w:bookmarkStart w:id="690" w:name="_Toc278969710"/>
      <w:bookmarkStart w:id="691" w:name="_Toc274143560"/>
      <w:r>
        <w:rPr>
          <w:rStyle w:val="CharSClsNo"/>
        </w:rPr>
        <w:t>14</w:t>
      </w:r>
      <w:r>
        <w:t>.</w:t>
      </w:r>
      <w:r>
        <w:tab/>
        <w:t>Prohibition on loans to directors and related person</w:t>
      </w:r>
      <w:bookmarkEnd w:id="690"/>
      <w:bookmarkEnd w:id="691"/>
      <w:r>
        <w:t xml:space="preserve"> </w:t>
      </w:r>
    </w:p>
    <w:p>
      <w:pPr>
        <w:pStyle w:val="ySubsection"/>
        <w:rPr>
          <w:snapToGrid w:val="0"/>
        </w:rPr>
      </w:pPr>
      <w:r>
        <w:rPr>
          <w:snapToGrid w:val="0"/>
        </w:rPr>
        <w:tab/>
        <w:t>(1)</w:t>
      </w:r>
      <w:r>
        <w:rPr>
          <w:snapToGrid w:val="0"/>
        </w:rPr>
        <w:tab/>
        <w:t>The corporation 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keepNext/>
        <w:rPr>
          <w:snapToGrid w:val="0"/>
        </w:rPr>
      </w:pPr>
      <w:r>
        <w:rPr>
          <w:snapToGrid w:val="0"/>
        </w:rPr>
        <w:tab/>
        <w:t>(2)</w:t>
      </w:r>
      <w:r>
        <w:rPr>
          <w:snapToGrid w:val="0"/>
        </w:rPr>
        <w:tab/>
        <w:t>A director who is knowingly concerned in a contravention of subclause (1) by the corporation (whether or not in relation to the director) commits an offence.</w:t>
      </w:r>
    </w:p>
    <w:p>
      <w:pPr>
        <w:pStyle w:val="yPenstart"/>
        <w:tabs>
          <w:tab w:val="left" w:pos="1680"/>
        </w:tabs>
        <w:ind w:left="2160" w:hanging="1735"/>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1735"/>
        <w:rPr>
          <w:snapToGrid w:val="0"/>
        </w:rPr>
      </w:pPr>
      <w:r>
        <w:rPr>
          <w:snapToGrid w:val="0"/>
        </w:rPr>
        <w:tab/>
      </w:r>
      <w:r>
        <w:rPr>
          <w:snapToGrid w:val="0"/>
        </w:rPr>
        <w:tab/>
        <w:t>(b)</w:t>
      </w:r>
      <w:r>
        <w:rPr>
          <w:snapToGrid w:val="0"/>
        </w:rPr>
        <w:tab/>
        <w:t>otherwise, $5 000.</w:t>
      </w:r>
    </w:p>
    <w:p>
      <w:pPr>
        <w:pStyle w:val="ySubsection"/>
        <w:rPr>
          <w:snapToGrid w:val="0"/>
        </w:rPr>
      </w:pPr>
      <w:r>
        <w:rPr>
          <w:snapToGrid w:val="0"/>
        </w:rPr>
        <w:tab/>
        <w:t>(3)</w:t>
      </w:r>
      <w:r>
        <w:rPr>
          <w:snapToGrid w:val="0"/>
        </w:rPr>
        <w:tab/>
        <w:t>In subclause (1) — </w:t>
      </w:r>
    </w:p>
    <w:p>
      <w:pPr>
        <w:pStyle w:val="yDefstart"/>
      </w:pPr>
      <w:r>
        <w:rPr>
          <w:b/>
        </w:rPr>
        <w:tab/>
      </w:r>
      <w:r>
        <w:rPr>
          <w:rStyle w:val="CharDefText"/>
        </w:rPr>
        <w:t>relative</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w:t>
      </w:r>
    </w:p>
    <w:p>
      <w:pPr>
        <w:pStyle w:val="yHeading5"/>
        <w:outlineLvl w:val="9"/>
        <w:rPr>
          <w:snapToGrid w:val="0"/>
        </w:rPr>
      </w:pPr>
      <w:bookmarkStart w:id="692" w:name="_Toc278969711"/>
      <w:bookmarkStart w:id="693" w:name="_Toc274143561"/>
      <w:r>
        <w:rPr>
          <w:rStyle w:val="CharSClsNo"/>
        </w:rPr>
        <w:t>15</w:t>
      </w:r>
      <w:r>
        <w:rPr>
          <w:snapToGrid w:val="0"/>
        </w:rPr>
        <w:t>.</w:t>
      </w:r>
      <w:r>
        <w:rPr>
          <w:snapToGrid w:val="0"/>
        </w:rPr>
        <w:tab/>
        <w:t>Directors or auditor not to be indemnified for certain matters</w:t>
      </w:r>
      <w:bookmarkEnd w:id="692"/>
      <w:bookmarkEnd w:id="693"/>
      <w:r>
        <w:rPr>
          <w:snapToGrid w:val="0"/>
        </w:rPr>
        <w:t xml:space="preserve"> </w:t>
      </w:r>
    </w:p>
    <w:p>
      <w:pPr>
        <w:pStyle w:val="ySubsection"/>
        <w:rPr>
          <w:snapToGrid w:val="0"/>
        </w:rPr>
      </w:pPr>
      <w:r>
        <w:rPr>
          <w:snapToGrid w:val="0"/>
        </w:rPr>
        <w:tab/>
        <w:t>(1)</w:t>
      </w:r>
      <w:r>
        <w:rPr>
          <w:snapToGrid w:val="0"/>
        </w:rPr>
        <w:tab/>
        <w:t>The corporation or a subsidiary 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Any agreement or arrangement is void so far as it provides for the corporation or a subsidiary to do anything that subclause (1) prohibits.</w:t>
      </w:r>
    </w:p>
    <w:p>
      <w:pPr>
        <w:pStyle w:val="ySubsection"/>
        <w:rPr>
          <w:snapToGrid w:val="0"/>
        </w:rPr>
      </w:pPr>
      <w:r>
        <w:rPr>
          <w:snapToGrid w:val="0"/>
        </w:rPr>
        <w:tab/>
        <w:t>(3)</w:t>
      </w:r>
      <w:r>
        <w:rPr>
          <w:snapToGrid w:val="0"/>
        </w:rPr>
        <w:tab/>
        <w:t>Subclause (1) does not prevent a person from being indemnified against a civil liability to a person, other than the corporation or a subsidiary,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t>The corporation or a subsidiary 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r>
      <w:r>
        <w:rPr>
          <w:rStyle w:val="CharDefText"/>
        </w:rPr>
        <w:t>pay</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Heading5"/>
        <w:outlineLvl w:val="9"/>
        <w:rPr>
          <w:snapToGrid w:val="0"/>
        </w:rPr>
      </w:pPr>
      <w:bookmarkStart w:id="694" w:name="_Toc278969712"/>
      <w:bookmarkStart w:id="695" w:name="_Toc274143562"/>
      <w:r>
        <w:rPr>
          <w:rStyle w:val="CharSClsNo"/>
        </w:rPr>
        <w:t>16</w:t>
      </w:r>
      <w:r>
        <w:rPr>
          <w:snapToGrid w:val="0"/>
        </w:rPr>
        <w:t>.</w:t>
      </w:r>
      <w:r>
        <w:rPr>
          <w:snapToGrid w:val="0"/>
        </w:rPr>
        <w:tab/>
        <w:t>False information etc.</w:t>
      </w:r>
      <w:bookmarkEnd w:id="694"/>
      <w:bookmarkEnd w:id="695"/>
      <w:r>
        <w:rPr>
          <w:snapToGrid w:val="0"/>
        </w:rPr>
        <w:t xml:space="preserve"> </w:t>
      </w:r>
    </w:p>
    <w:p>
      <w:pPr>
        <w:pStyle w:val="ySubsection"/>
        <w:rPr>
          <w:snapToGrid w:val="0"/>
        </w:rPr>
      </w:pPr>
      <w:r>
        <w:rPr>
          <w:snapToGrid w:val="0"/>
        </w:rPr>
        <w:tab/>
        <w:t>(1)</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The references in subclauses (1) and (2) to a director 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sectPr>
          <w:headerReference w:type="even" r:id="rId24"/>
          <w:headerReference w:type="default" r:id="rId25"/>
          <w:pgSz w:w="11906" w:h="16838" w:code="9"/>
          <w:pgMar w:top="2381" w:right="2409" w:bottom="3543" w:left="2409" w:header="720" w:footer="3380" w:gutter="0"/>
          <w:cols w:space="720"/>
          <w:noEndnote/>
          <w:docGrid w:linePitch="326"/>
        </w:sectPr>
      </w:pPr>
      <w:r>
        <w:tab/>
      </w:r>
    </w:p>
    <w:p>
      <w:pPr>
        <w:pStyle w:val="yScheduleHeading"/>
      </w:pPr>
      <w:bookmarkStart w:id="696" w:name="_Toc189883120"/>
      <w:bookmarkStart w:id="697" w:name="_Toc200259816"/>
      <w:bookmarkStart w:id="698" w:name="_Toc200260022"/>
      <w:bookmarkStart w:id="699" w:name="_Toc200260228"/>
      <w:bookmarkStart w:id="700" w:name="_Toc200422088"/>
      <w:bookmarkStart w:id="701" w:name="_Toc201976004"/>
      <w:bookmarkStart w:id="702" w:name="_Toc201982137"/>
      <w:bookmarkStart w:id="703" w:name="_Toc202080902"/>
      <w:bookmarkStart w:id="704" w:name="_Toc202168411"/>
      <w:bookmarkStart w:id="705" w:name="_Toc203453976"/>
      <w:bookmarkStart w:id="706" w:name="_Toc268269900"/>
      <w:bookmarkStart w:id="707" w:name="_Toc274143563"/>
      <w:bookmarkStart w:id="708" w:name="_Toc278969713"/>
      <w:r>
        <w:rPr>
          <w:rStyle w:val="CharSchNo"/>
        </w:rPr>
        <w:t>Schedule 3</w:t>
      </w:r>
      <w:r>
        <w:t xml:space="preserve"> — </w:t>
      </w:r>
      <w:r>
        <w:rPr>
          <w:rStyle w:val="CharSchText"/>
        </w:rPr>
        <w:t>Financial administration and audit</w:t>
      </w:r>
      <w:bookmarkEnd w:id="696"/>
      <w:bookmarkEnd w:id="697"/>
      <w:bookmarkEnd w:id="698"/>
      <w:bookmarkEnd w:id="699"/>
      <w:bookmarkEnd w:id="700"/>
      <w:bookmarkEnd w:id="701"/>
      <w:bookmarkEnd w:id="702"/>
      <w:bookmarkEnd w:id="703"/>
      <w:bookmarkEnd w:id="704"/>
      <w:bookmarkEnd w:id="705"/>
      <w:bookmarkEnd w:id="706"/>
      <w:bookmarkEnd w:id="707"/>
      <w:bookmarkEnd w:id="708"/>
    </w:p>
    <w:p>
      <w:pPr>
        <w:pStyle w:val="yShoulderClause"/>
      </w:pPr>
      <w:r>
        <w:t>[section 86(1)]</w:t>
      </w:r>
    </w:p>
    <w:p>
      <w:pPr>
        <w:pStyle w:val="yFootnotesection"/>
        <w:keepLines w:val="0"/>
        <w:rPr>
          <w:snapToGrid w:val="0"/>
        </w:rPr>
      </w:pPr>
      <w:r>
        <w:tab/>
      </w:r>
      <w:r>
        <w:rPr>
          <w:snapToGrid w:val="0"/>
        </w:rPr>
        <w:t>[</w:t>
      </w:r>
      <w:r>
        <w:t>Heading</w:t>
      </w:r>
      <w:r>
        <w:rPr>
          <w:snapToGrid w:val="0"/>
        </w:rPr>
        <w:t xml:space="preserve"> inserted in Gazette 24 May 2002 p. 2605.]</w:t>
      </w:r>
    </w:p>
    <w:p>
      <w:pPr>
        <w:pStyle w:val="yHeading3"/>
        <w:keepNext w:val="0"/>
        <w:outlineLvl w:val="9"/>
      </w:pPr>
      <w:bookmarkStart w:id="709" w:name="_Toc189883121"/>
      <w:bookmarkStart w:id="710" w:name="_Toc200259817"/>
      <w:bookmarkStart w:id="711" w:name="_Toc200260023"/>
      <w:bookmarkStart w:id="712" w:name="_Toc200260229"/>
      <w:bookmarkStart w:id="713" w:name="_Toc200422089"/>
      <w:bookmarkStart w:id="714" w:name="_Toc201976005"/>
      <w:bookmarkStart w:id="715" w:name="_Toc201982138"/>
      <w:bookmarkStart w:id="716" w:name="_Toc202080903"/>
      <w:bookmarkStart w:id="717" w:name="_Toc202168412"/>
      <w:bookmarkStart w:id="718" w:name="_Toc203453977"/>
      <w:bookmarkStart w:id="719" w:name="_Toc268269901"/>
      <w:bookmarkStart w:id="720" w:name="_Toc274143564"/>
      <w:bookmarkStart w:id="721" w:name="_Toc278969714"/>
      <w:r>
        <w:rPr>
          <w:rStyle w:val="CharSDivNo"/>
        </w:rPr>
        <w:t>Division 1</w:t>
      </w:r>
      <w:r>
        <w:t xml:space="preserve"> — </w:t>
      </w:r>
      <w:r>
        <w:rPr>
          <w:rStyle w:val="CharSDivText"/>
        </w:rPr>
        <w:t>Preliminary</w:t>
      </w:r>
      <w:bookmarkEnd w:id="709"/>
      <w:bookmarkEnd w:id="710"/>
      <w:bookmarkEnd w:id="711"/>
      <w:bookmarkEnd w:id="712"/>
      <w:bookmarkEnd w:id="713"/>
      <w:bookmarkEnd w:id="714"/>
      <w:bookmarkEnd w:id="715"/>
      <w:bookmarkEnd w:id="716"/>
      <w:bookmarkEnd w:id="717"/>
      <w:bookmarkEnd w:id="718"/>
      <w:bookmarkEnd w:id="719"/>
      <w:bookmarkEnd w:id="720"/>
      <w:bookmarkEnd w:id="721"/>
    </w:p>
    <w:p>
      <w:pPr>
        <w:pStyle w:val="yFootnotesection"/>
        <w:rPr>
          <w:snapToGrid w:val="0"/>
        </w:rPr>
      </w:pPr>
      <w:r>
        <w:tab/>
      </w:r>
      <w:r>
        <w:rPr>
          <w:snapToGrid w:val="0"/>
        </w:rPr>
        <w:t>[</w:t>
      </w:r>
      <w:r>
        <w:t>Heading</w:t>
      </w:r>
      <w:r>
        <w:rPr>
          <w:snapToGrid w:val="0"/>
        </w:rPr>
        <w:t xml:space="preserve"> inserted in Gazette 24 May 2002 p. 2605.]</w:t>
      </w:r>
    </w:p>
    <w:p>
      <w:pPr>
        <w:pStyle w:val="yHeading5"/>
        <w:outlineLvl w:val="9"/>
      </w:pPr>
      <w:bookmarkStart w:id="722" w:name="_Toc278969715"/>
      <w:bookmarkStart w:id="723" w:name="_Toc274143565"/>
      <w:r>
        <w:rPr>
          <w:rStyle w:val="CharSClsNo"/>
        </w:rPr>
        <w:t>1</w:t>
      </w:r>
      <w:r>
        <w:t>.</w:t>
      </w:r>
      <w:r>
        <w:tab/>
        <w:t>Terms used in this Schedule</w:t>
      </w:r>
      <w:bookmarkEnd w:id="722"/>
      <w:bookmarkEnd w:id="723"/>
    </w:p>
    <w:p>
      <w:pPr>
        <w:pStyle w:val="ySubsection"/>
      </w:pPr>
      <w:r>
        <w:tab/>
        <w:t>(1)</w:t>
      </w:r>
      <w:r>
        <w:tab/>
        <w:t xml:space="preserve">In this Schedule, unless the contrary intention appears — </w:t>
      </w:r>
    </w:p>
    <w:p>
      <w:pPr>
        <w:pStyle w:val="yDefstart"/>
      </w:pPr>
      <w:r>
        <w:tab/>
      </w:r>
      <w:r>
        <w:rPr>
          <w:rStyle w:val="CharDefText"/>
        </w:rPr>
        <w:t>financial year</w:t>
      </w:r>
      <w:r>
        <w:t xml:space="preserve"> has the meaning given by clause 23(1);</w:t>
      </w:r>
    </w:p>
    <w:p>
      <w:pPr>
        <w:pStyle w:val="yDefstart"/>
      </w:pPr>
      <w:r>
        <w:tab/>
      </w:r>
      <w:r>
        <w:rPr>
          <w:rStyle w:val="CharDefText"/>
        </w:rPr>
        <w:t>regulations</w:t>
      </w:r>
      <w:r>
        <w:t xml:space="preserve"> means regulations made under the Corporations Act.</w:t>
      </w:r>
    </w:p>
    <w:p>
      <w:pPr>
        <w:pStyle w:val="ySubsection"/>
      </w:pPr>
      <w:r>
        <w:tab/>
        <w:t>(2)</w:t>
      </w:r>
      <w:r>
        <w:tab/>
        <w:t xml:space="preserve">In this Schedule, unless the contrary intention appears, expressions (including the expressions </w:t>
      </w:r>
      <w:r>
        <w:rPr>
          <w:rStyle w:val="CharDefText"/>
        </w:rPr>
        <w:t>accounting standard</w:t>
      </w:r>
      <w:r>
        <w:t>,</w:t>
      </w:r>
      <w:r>
        <w:rPr>
          <w:b/>
        </w:rPr>
        <w:t xml:space="preserve"> </w:t>
      </w:r>
      <w:r>
        <w:rPr>
          <w:rStyle w:val="CharDefText"/>
        </w:rPr>
        <w:t>company</w:t>
      </w:r>
      <w:r>
        <w:t xml:space="preserve"> and </w:t>
      </w:r>
      <w:r>
        <w:rPr>
          <w:rStyle w:val="CharDefText"/>
        </w:rPr>
        <w:t>financial records</w:t>
      </w:r>
      <w:r>
        <w:t>) have the respective meanings given to them by Part 1.2 of the Corporations Act.</w:t>
      </w:r>
    </w:p>
    <w:p>
      <w:pPr>
        <w:pStyle w:val="yFootnotesection"/>
      </w:pPr>
      <w:r>
        <w:tab/>
        <w:t>[Clause 1 inserted in Gazette 24 May 2002 p. 2605.]</w:t>
      </w:r>
    </w:p>
    <w:p>
      <w:pPr>
        <w:pStyle w:val="yHeading3"/>
        <w:outlineLvl w:val="9"/>
      </w:pPr>
      <w:bookmarkStart w:id="724" w:name="_Toc189883123"/>
      <w:bookmarkStart w:id="725" w:name="_Toc200259819"/>
      <w:bookmarkStart w:id="726" w:name="_Toc200260025"/>
      <w:bookmarkStart w:id="727" w:name="_Toc200260231"/>
      <w:bookmarkStart w:id="728" w:name="_Toc200422091"/>
      <w:bookmarkStart w:id="729" w:name="_Toc201976007"/>
      <w:bookmarkStart w:id="730" w:name="_Toc201982140"/>
      <w:bookmarkStart w:id="731" w:name="_Toc202080905"/>
      <w:bookmarkStart w:id="732" w:name="_Toc202168414"/>
      <w:bookmarkStart w:id="733" w:name="_Toc203453979"/>
      <w:bookmarkStart w:id="734" w:name="_Toc268269903"/>
      <w:bookmarkStart w:id="735" w:name="_Toc274143566"/>
      <w:bookmarkStart w:id="736" w:name="_Toc278969716"/>
      <w:r>
        <w:rPr>
          <w:rStyle w:val="CharSDivNo"/>
        </w:rPr>
        <w:t>Division 2</w:t>
      </w:r>
      <w:r>
        <w:t xml:space="preserve"> — </w:t>
      </w:r>
      <w:r>
        <w:rPr>
          <w:rStyle w:val="CharSDivText"/>
        </w:rPr>
        <w:t>Financial records</w:t>
      </w:r>
      <w:bookmarkEnd w:id="724"/>
      <w:bookmarkEnd w:id="725"/>
      <w:bookmarkEnd w:id="726"/>
      <w:bookmarkEnd w:id="727"/>
      <w:bookmarkEnd w:id="728"/>
      <w:bookmarkEnd w:id="729"/>
      <w:bookmarkEnd w:id="730"/>
      <w:bookmarkEnd w:id="731"/>
      <w:bookmarkEnd w:id="732"/>
      <w:bookmarkEnd w:id="733"/>
      <w:bookmarkEnd w:id="734"/>
      <w:bookmarkEnd w:id="735"/>
      <w:bookmarkEnd w:id="736"/>
    </w:p>
    <w:p>
      <w:pPr>
        <w:pStyle w:val="yFootnotesection"/>
      </w:pPr>
      <w:r>
        <w:rPr>
          <w:snapToGrid w:val="0"/>
        </w:rPr>
        <w:tab/>
        <w:t>[Heading inserted in Gazette 24 May 2002 p. 2606.]</w:t>
      </w:r>
    </w:p>
    <w:p>
      <w:pPr>
        <w:pStyle w:val="yHeading5"/>
        <w:outlineLvl w:val="9"/>
      </w:pPr>
      <w:bookmarkStart w:id="737" w:name="_Toc278969717"/>
      <w:bookmarkStart w:id="738" w:name="_Toc274143567"/>
      <w:r>
        <w:rPr>
          <w:rStyle w:val="CharSClsNo"/>
        </w:rPr>
        <w:t>2</w:t>
      </w:r>
      <w:r>
        <w:t>.</w:t>
      </w:r>
      <w:r>
        <w:tab/>
        <w:t xml:space="preserve">Duty to keep financial records </w:t>
      </w:r>
      <w:r>
        <w:rPr>
          <w:i/>
        </w:rPr>
        <w:t>(cf. Corporations Act s. 286)</w:t>
      </w:r>
      <w:bookmarkEnd w:id="737"/>
      <w:bookmarkEnd w:id="738"/>
    </w:p>
    <w:p>
      <w:pPr>
        <w:pStyle w:val="ySubsection"/>
      </w:pPr>
      <w:r>
        <w:tab/>
        <w:t>(1)</w:t>
      </w:r>
      <w:r>
        <w:tab/>
        <w:t xml:space="preserve">The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Footnotesection"/>
      </w:pPr>
      <w:r>
        <w:tab/>
        <w:t>[Clause 2 inserted in Gazette 24 May 2002 p. 2606.]</w:t>
      </w:r>
    </w:p>
    <w:p>
      <w:pPr>
        <w:pStyle w:val="yHeading5"/>
        <w:outlineLvl w:val="9"/>
      </w:pPr>
      <w:bookmarkStart w:id="739" w:name="_Toc278969718"/>
      <w:bookmarkStart w:id="740" w:name="_Toc274143568"/>
      <w:r>
        <w:rPr>
          <w:rStyle w:val="CharSClsNo"/>
        </w:rPr>
        <w:t>3</w:t>
      </w:r>
      <w:r>
        <w:t>.</w:t>
      </w:r>
      <w:r>
        <w:tab/>
        <w:t xml:space="preserve">Physical format </w:t>
      </w:r>
      <w:r>
        <w:rPr>
          <w:i/>
        </w:rPr>
        <w:t>(cf. Corporations Act s. 288)</w:t>
      </w:r>
      <w:bookmarkEnd w:id="739"/>
      <w:bookmarkEnd w:id="740"/>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Footnotesection"/>
      </w:pPr>
      <w:r>
        <w:tab/>
        <w:t>[Clause 3 inserted in Gazette 24 May 2002 p. 2606.]</w:t>
      </w:r>
    </w:p>
    <w:p>
      <w:pPr>
        <w:pStyle w:val="yHeading5"/>
        <w:outlineLvl w:val="9"/>
      </w:pPr>
      <w:bookmarkStart w:id="741" w:name="_Toc278969719"/>
      <w:bookmarkStart w:id="742" w:name="_Toc274143569"/>
      <w:r>
        <w:rPr>
          <w:rStyle w:val="CharSClsNo"/>
        </w:rPr>
        <w:t>4</w:t>
      </w:r>
      <w:r>
        <w:t>.</w:t>
      </w:r>
      <w:r>
        <w:tab/>
        <w:t xml:space="preserve">Place where records are kept </w:t>
      </w:r>
      <w:r>
        <w:rPr>
          <w:i/>
        </w:rPr>
        <w:t>(cf. Corporations Act s. 289)</w:t>
      </w:r>
      <w:bookmarkEnd w:id="741"/>
      <w:bookmarkEnd w:id="742"/>
    </w:p>
    <w:p>
      <w:pPr>
        <w:pStyle w:val="ySubsection"/>
      </w:pPr>
      <w:r>
        <w:tab/>
        <w:t>(1)</w:t>
      </w:r>
      <w:r>
        <w:tab/>
        <w:t>The corporation may decide where to keep the financial records.</w:t>
      </w:r>
    </w:p>
    <w:p>
      <w:pPr>
        <w:pStyle w:val="ySubsection"/>
      </w:pPr>
      <w:r>
        <w:tab/>
        <w:t>(2)</w:t>
      </w:r>
      <w:r>
        <w:tab/>
        <w:t>If financial records about particular matters are kept outside Australia, sufficient written information about those matters must be kept in Australia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The Minister may direct the corporation to produce specified financial records that are kept outside Australia.</w:t>
      </w:r>
    </w:p>
    <w:p>
      <w:pPr>
        <w:pStyle w:val="ySubsection"/>
      </w:pPr>
      <w:r>
        <w:tab/>
        <w:t>(5)</w:t>
      </w:r>
      <w:r>
        <w:tab/>
        <w:t xml:space="preserve">The direction must — </w:t>
      </w:r>
    </w:p>
    <w:p>
      <w:pPr>
        <w:pStyle w:val="yIndenta"/>
      </w:pPr>
      <w:r>
        <w:tab/>
        <w:t>(a)</w:t>
      </w:r>
      <w:r>
        <w:tab/>
        <w:t>be in writing;</w:t>
      </w:r>
    </w:p>
    <w:p>
      <w:pPr>
        <w:pStyle w:val="yIndenta"/>
      </w:pPr>
      <w:r>
        <w:tab/>
        <w:t>(b)</w:t>
      </w:r>
      <w:r>
        <w:tab/>
        <w:t>specify a place in Australia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Footnotesection"/>
      </w:pPr>
      <w:r>
        <w:tab/>
        <w:t>[Clause 4 inserted in Gazette 24 May 2002 p. 2606.]</w:t>
      </w:r>
    </w:p>
    <w:p>
      <w:pPr>
        <w:pStyle w:val="yHeading5"/>
        <w:outlineLvl w:val="9"/>
      </w:pPr>
      <w:bookmarkStart w:id="743" w:name="_Toc278969720"/>
      <w:bookmarkStart w:id="744" w:name="_Toc274143570"/>
      <w:r>
        <w:rPr>
          <w:rStyle w:val="CharSClsNo"/>
        </w:rPr>
        <w:t>5</w:t>
      </w:r>
      <w:r>
        <w:t>.</w:t>
      </w:r>
      <w:r>
        <w:tab/>
        <w:t xml:space="preserve">Director’s right of access </w:t>
      </w:r>
      <w:r>
        <w:rPr>
          <w:i/>
        </w:rPr>
        <w:t>(cf. Corporations Act s. 290)</w:t>
      </w:r>
      <w:bookmarkEnd w:id="743"/>
      <w:bookmarkEnd w:id="744"/>
    </w:p>
    <w:p>
      <w:pPr>
        <w:pStyle w:val="ySubsection"/>
      </w:pPr>
      <w:r>
        <w:tab/>
        <w:t>(1)</w:t>
      </w:r>
      <w:r>
        <w:tab/>
        <w:t>A director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keepNext/>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Footnotesection"/>
      </w:pPr>
      <w:r>
        <w:tab/>
        <w:t>[Clause 5 inserted in Gazette 24 May 2002 p. 2606-7.]</w:t>
      </w:r>
    </w:p>
    <w:p>
      <w:pPr>
        <w:pStyle w:val="yHeading3"/>
        <w:outlineLvl w:val="9"/>
      </w:pPr>
      <w:bookmarkStart w:id="745" w:name="_Toc189883128"/>
      <w:bookmarkStart w:id="746" w:name="_Toc200259824"/>
      <w:bookmarkStart w:id="747" w:name="_Toc200260030"/>
      <w:bookmarkStart w:id="748" w:name="_Toc200260236"/>
      <w:bookmarkStart w:id="749" w:name="_Toc200422096"/>
      <w:bookmarkStart w:id="750" w:name="_Toc201976012"/>
      <w:bookmarkStart w:id="751" w:name="_Toc201982145"/>
      <w:bookmarkStart w:id="752" w:name="_Toc202080910"/>
      <w:bookmarkStart w:id="753" w:name="_Toc202168419"/>
      <w:bookmarkStart w:id="754" w:name="_Toc203453984"/>
      <w:bookmarkStart w:id="755" w:name="_Toc268269908"/>
      <w:bookmarkStart w:id="756" w:name="_Toc274143571"/>
      <w:bookmarkStart w:id="757" w:name="_Toc278969721"/>
      <w:r>
        <w:rPr>
          <w:rStyle w:val="CharSDivNo"/>
        </w:rPr>
        <w:t>Division 3</w:t>
      </w:r>
      <w:r>
        <w:t xml:space="preserve"> — </w:t>
      </w:r>
      <w:r>
        <w:rPr>
          <w:rStyle w:val="CharSDivText"/>
        </w:rPr>
        <w:t>Financial reporting</w:t>
      </w:r>
      <w:bookmarkEnd w:id="745"/>
      <w:bookmarkEnd w:id="746"/>
      <w:bookmarkEnd w:id="747"/>
      <w:bookmarkEnd w:id="748"/>
      <w:bookmarkEnd w:id="749"/>
      <w:bookmarkEnd w:id="750"/>
      <w:bookmarkEnd w:id="751"/>
      <w:bookmarkEnd w:id="752"/>
      <w:bookmarkEnd w:id="753"/>
      <w:bookmarkEnd w:id="754"/>
      <w:bookmarkEnd w:id="755"/>
      <w:bookmarkEnd w:id="756"/>
      <w:bookmarkEnd w:id="757"/>
    </w:p>
    <w:p>
      <w:pPr>
        <w:pStyle w:val="yFootnoteheading"/>
      </w:pPr>
      <w:r>
        <w:rPr>
          <w:snapToGrid w:val="0"/>
        </w:rPr>
        <w:tab/>
        <w:t>[Heading inserted in Gazette 24 May 2002 p. 2607.]</w:t>
      </w:r>
    </w:p>
    <w:p>
      <w:pPr>
        <w:pStyle w:val="yHeading4"/>
        <w:outlineLvl w:val="9"/>
      </w:pPr>
      <w:bookmarkStart w:id="758" w:name="_Toc189883129"/>
      <w:bookmarkStart w:id="759" w:name="_Toc200259825"/>
      <w:bookmarkStart w:id="760" w:name="_Toc200260031"/>
      <w:bookmarkStart w:id="761" w:name="_Toc200260237"/>
      <w:bookmarkStart w:id="762" w:name="_Toc200422097"/>
      <w:bookmarkStart w:id="763" w:name="_Toc201976013"/>
      <w:bookmarkStart w:id="764" w:name="_Toc201982146"/>
      <w:bookmarkStart w:id="765" w:name="_Toc202080911"/>
      <w:bookmarkStart w:id="766" w:name="_Toc202168420"/>
      <w:bookmarkStart w:id="767" w:name="_Toc203453985"/>
      <w:bookmarkStart w:id="768" w:name="_Toc268269909"/>
      <w:bookmarkStart w:id="769" w:name="_Toc274143572"/>
      <w:bookmarkStart w:id="770" w:name="_Toc278969722"/>
      <w:r>
        <w:t>Subdivision 1 — Annual financial reports and directors’ reports</w:t>
      </w:r>
      <w:bookmarkEnd w:id="758"/>
      <w:bookmarkEnd w:id="759"/>
      <w:bookmarkEnd w:id="760"/>
      <w:bookmarkEnd w:id="761"/>
      <w:bookmarkEnd w:id="762"/>
      <w:bookmarkEnd w:id="763"/>
      <w:bookmarkEnd w:id="764"/>
      <w:bookmarkEnd w:id="765"/>
      <w:bookmarkEnd w:id="766"/>
      <w:bookmarkEnd w:id="767"/>
      <w:bookmarkEnd w:id="768"/>
      <w:bookmarkEnd w:id="769"/>
      <w:bookmarkEnd w:id="770"/>
    </w:p>
    <w:p>
      <w:pPr>
        <w:pStyle w:val="yFootnoteheading"/>
      </w:pPr>
      <w:r>
        <w:rPr>
          <w:snapToGrid w:val="0"/>
        </w:rPr>
        <w:tab/>
        <w:t>[Heading inserted in Gazette 24 May 2002 p. 2607.]</w:t>
      </w:r>
    </w:p>
    <w:p>
      <w:pPr>
        <w:pStyle w:val="yHeading5"/>
        <w:outlineLvl w:val="9"/>
      </w:pPr>
      <w:bookmarkStart w:id="771" w:name="_Toc278969723"/>
      <w:bookmarkStart w:id="772" w:name="_Toc274143573"/>
      <w:r>
        <w:rPr>
          <w:rStyle w:val="CharSClsNo"/>
        </w:rPr>
        <w:t>6</w:t>
      </w:r>
      <w:r>
        <w:t>.</w:t>
      </w:r>
      <w:r>
        <w:tab/>
        <w:t>Preparation of annual financial reports and directors’ reports</w:t>
      </w:r>
      <w:r>
        <w:br/>
      </w:r>
      <w:r>
        <w:rPr>
          <w:i/>
        </w:rPr>
        <w:t>(cf. Corporations Act s. 292)</w:t>
      </w:r>
      <w:bookmarkEnd w:id="771"/>
      <w:bookmarkEnd w:id="772"/>
    </w:p>
    <w:p>
      <w:pPr>
        <w:pStyle w:val="ySubsection"/>
      </w:pPr>
      <w:r>
        <w:tab/>
      </w:r>
      <w:r>
        <w:tab/>
        <w:t>A financial report and a directors’ report must be prepared for each financial year by the corporation before 30 September.</w:t>
      </w:r>
    </w:p>
    <w:p>
      <w:pPr>
        <w:pStyle w:val="yFootnotesection"/>
      </w:pPr>
      <w:r>
        <w:tab/>
        <w:t>[Clause 6 inserted in Gazette 24 May 2002 p. 2607.]</w:t>
      </w:r>
    </w:p>
    <w:p>
      <w:pPr>
        <w:pStyle w:val="yHeading5"/>
        <w:outlineLvl w:val="9"/>
      </w:pPr>
      <w:bookmarkStart w:id="773" w:name="_Toc278969724"/>
      <w:bookmarkStart w:id="774" w:name="_Toc274143574"/>
      <w:r>
        <w:rPr>
          <w:rStyle w:val="CharSClsNo"/>
        </w:rPr>
        <w:t>7</w:t>
      </w:r>
      <w:r>
        <w:t>.</w:t>
      </w:r>
      <w:r>
        <w:tab/>
        <w:t xml:space="preserve">Contents of annual financial report </w:t>
      </w:r>
      <w:r>
        <w:rPr>
          <w:i/>
        </w:rPr>
        <w:t>(cf. Corporations Act s. 295)</w:t>
      </w:r>
      <w:bookmarkEnd w:id="773"/>
      <w:bookmarkEnd w:id="774"/>
    </w:p>
    <w:p>
      <w:pPr>
        <w:pStyle w:val="ySubsection"/>
      </w:pPr>
      <w:r>
        <w:tab/>
        <w:t>(1)</w:t>
      </w:r>
      <w:r>
        <w:tab/>
        <w:t xml:space="preserve">The financial report for a financial year consists of — </w:t>
      </w:r>
    </w:p>
    <w:p>
      <w:pPr>
        <w:pStyle w:val="yIndenta"/>
      </w:pPr>
      <w:r>
        <w:tab/>
        <w:t>(a)</w:t>
      </w:r>
      <w:r>
        <w:tab/>
        <w:t>the financial statements for the year;</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 xml:space="preserve">The financial statements for the year are — </w:t>
      </w:r>
    </w:p>
    <w:p>
      <w:pPr>
        <w:pStyle w:val="yIndenta"/>
      </w:pPr>
      <w:r>
        <w:tab/>
        <w:t>(a)</w:t>
      </w:r>
      <w:r>
        <w:tab/>
        <w:t>a profit and loss statement for the year;</w:t>
      </w:r>
    </w:p>
    <w:p>
      <w:pPr>
        <w:pStyle w:val="yIndenta"/>
      </w:pPr>
      <w:r>
        <w:tab/>
        <w:t>(b)</w:t>
      </w:r>
      <w:r>
        <w:tab/>
        <w:t>a balance sheet as at the end of the year;</w:t>
      </w:r>
    </w:p>
    <w:p>
      <w:pPr>
        <w:pStyle w:val="yIndenta"/>
      </w:pPr>
      <w:r>
        <w:tab/>
        <w:t>(c)</w:t>
      </w:r>
      <w:r>
        <w:tab/>
        <w:t>a statement of cash flows for the year; and</w:t>
      </w:r>
    </w:p>
    <w:p>
      <w:pPr>
        <w:pStyle w:val="yIndenta"/>
      </w:pPr>
      <w:r>
        <w:tab/>
        <w:t>(d)</w:t>
      </w:r>
      <w:r>
        <w:tab/>
        <w:t>if required by the accounting standards — a consolidated profit and loss statement, balance sheet and statement of cash flows.</w:t>
      </w:r>
    </w:p>
    <w:p>
      <w:pPr>
        <w:pStyle w:val="ySubsection"/>
        <w:keepNext/>
      </w:pPr>
      <w:r>
        <w:tab/>
        <w:t>(3)</w:t>
      </w:r>
      <w:r>
        <w:tab/>
        <w:t xml:space="preserve">The notes to the financial statements are — </w:t>
      </w:r>
    </w:p>
    <w:p>
      <w:pPr>
        <w:pStyle w:val="yIndenta"/>
      </w:pPr>
      <w:r>
        <w:tab/>
        <w:t>(a)</w:t>
      </w:r>
      <w:r>
        <w:tab/>
        <w:t>disclosures required by the regulations;</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w:t>
      </w:r>
    </w:p>
    <w:p>
      <w:pPr>
        <w:pStyle w:val="yIndenta"/>
      </w:pPr>
      <w:r>
        <w:tab/>
        <w:t>(b)</w:t>
      </w:r>
      <w:r>
        <w:tab/>
        <w:t>that the financial statements and notes give a true and fair view;</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w:t>
      </w:r>
    </w:p>
    <w:p>
      <w:pPr>
        <w:pStyle w:val="yIndenta"/>
      </w:pPr>
      <w:r>
        <w:tab/>
        <w:t>(b)</w:t>
      </w:r>
      <w:r>
        <w:tab/>
        <w:t>specify the date on which the declaration is made; and</w:t>
      </w:r>
    </w:p>
    <w:p>
      <w:pPr>
        <w:pStyle w:val="yIndenta"/>
      </w:pPr>
      <w:r>
        <w:tab/>
        <w:t>(c)</w:t>
      </w:r>
      <w:r>
        <w:tab/>
        <w:t>be signed by at least 2 directors.</w:t>
      </w:r>
    </w:p>
    <w:p>
      <w:pPr>
        <w:pStyle w:val="yFootnotesection"/>
      </w:pPr>
      <w:r>
        <w:tab/>
        <w:t>[Clause 7 inserted in Gazette 24 May 2002 p. 2607-8.]</w:t>
      </w:r>
    </w:p>
    <w:p>
      <w:pPr>
        <w:pStyle w:val="yHeading5"/>
        <w:outlineLvl w:val="9"/>
        <w:rPr>
          <w:i/>
        </w:rPr>
      </w:pPr>
      <w:bookmarkStart w:id="775" w:name="_Toc278969725"/>
      <w:bookmarkStart w:id="776" w:name="_Toc274143575"/>
      <w:r>
        <w:rPr>
          <w:rStyle w:val="CharSClsNo"/>
        </w:rPr>
        <w:t>8</w:t>
      </w:r>
      <w:r>
        <w:t>.</w:t>
      </w:r>
      <w:r>
        <w:tab/>
        <w:t>Compliance with accounting standards and regulations</w:t>
      </w:r>
      <w:r>
        <w:br/>
      </w:r>
      <w:r>
        <w:rPr>
          <w:i/>
        </w:rPr>
        <w:t>(cf. Corporations Act s. 296)</w:t>
      </w:r>
      <w:bookmarkEnd w:id="775"/>
      <w:bookmarkEnd w:id="776"/>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Footnotesection"/>
      </w:pPr>
      <w:r>
        <w:tab/>
        <w:t>[Clause 8 inserted in Gazette 24 May 2002 p. 2608.]</w:t>
      </w:r>
    </w:p>
    <w:p>
      <w:pPr>
        <w:pStyle w:val="yHeading5"/>
        <w:outlineLvl w:val="9"/>
      </w:pPr>
      <w:bookmarkStart w:id="777" w:name="_Toc278969726"/>
      <w:bookmarkStart w:id="778" w:name="_Toc274143576"/>
      <w:r>
        <w:rPr>
          <w:rStyle w:val="CharSClsNo"/>
        </w:rPr>
        <w:t>9</w:t>
      </w:r>
      <w:r>
        <w:t>.</w:t>
      </w:r>
      <w:r>
        <w:tab/>
        <w:t xml:space="preserve">True and fair view </w:t>
      </w:r>
      <w:r>
        <w:rPr>
          <w:i/>
        </w:rPr>
        <w:t>(cf. Corporations Act s. 297)</w:t>
      </w:r>
      <w:bookmarkEnd w:id="777"/>
      <w:bookmarkEnd w:id="778"/>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Footnotesection"/>
      </w:pPr>
      <w:r>
        <w:tab/>
        <w:t>[Clause 9 inserted in Gazette 24 May 2002 p. 2608.]</w:t>
      </w:r>
    </w:p>
    <w:p>
      <w:pPr>
        <w:pStyle w:val="yHeading5"/>
        <w:outlineLvl w:val="9"/>
      </w:pPr>
      <w:bookmarkStart w:id="779" w:name="_Toc278969727"/>
      <w:bookmarkStart w:id="780" w:name="_Toc274143577"/>
      <w:r>
        <w:rPr>
          <w:rStyle w:val="CharSClsNo"/>
        </w:rPr>
        <w:t>10</w:t>
      </w:r>
      <w:r>
        <w:t>.</w:t>
      </w:r>
      <w:r>
        <w:tab/>
        <w:t xml:space="preserve">Annual directors’ report </w:t>
      </w:r>
      <w:r>
        <w:rPr>
          <w:i/>
        </w:rPr>
        <w:t>(cf. Corporations Act s. 298)</w:t>
      </w:r>
      <w:bookmarkEnd w:id="779"/>
      <w:bookmarkEnd w:id="780"/>
    </w:p>
    <w:p>
      <w:pPr>
        <w:pStyle w:val="ySubsection"/>
      </w:pPr>
      <w:r>
        <w:tab/>
        <w:t>(1)</w:t>
      </w:r>
      <w:r>
        <w:tab/>
        <w:t>The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w:t>
      </w:r>
    </w:p>
    <w:p>
      <w:pPr>
        <w:pStyle w:val="yIndenta"/>
      </w:pPr>
      <w:r>
        <w:tab/>
        <w:t>(b)</w:t>
      </w:r>
      <w:r>
        <w:tab/>
        <w:t>specify the date on which the report is made; and</w:t>
      </w:r>
    </w:p>
    <w:p>
      <w:pPr>
        <w:pStyle w:val="yIndenta"/>
      </w:pPr>
      <w:r>
        <w:tab/>
        <w:t>(c)</w:t>
      </w:r>
      <w:r>
        <w:tab/>
        <w:t>be signed by at least 2 directors.</w:t>
      </w:r>
    </w:p>
    <w:p>
      <w:pPr>
        <w:pStyle w:val="yFootnotesection"/>
      </w:pPr>
      <w:r>
        <w:tab/>
        <w:t>[Clause 10 inserted in Gazette 24 May 2002 p. 2608.]</w:t>
      </w:r>
    </w:p>
    <w:p>
      <w:pPr>
        <w:pStyle w:val="yHeading5"/>
        <w:outlineLvl w:val="9"/>
      </w:pPr>
      <w:bookmarkStart w:id="781" w:name="_Toc278969728"/>
      <w:bookmarkStart w:id="782" w:name="_Toc274143578"/>
      <w:r>
        <w:rPr>
          <w:rStyle w:val="CharSClsNo"/>
        </w:rPr>
        <w:t>11</w:t>
      </w:r>
      <w:r>
        <w:t>.</w:t>
      </w:r>
      <w:r>
        <w:tab/>
        <w:t xml:space="preserve">Annual directors’ report, general matters </w:t>
      </w:r>
      <w:r>
        <w:rPr>
          <w:i/>
        </w:rPr>
        <w:t>(cf. Corporations</w:t>
      </w:r>
      <w:r>
        <w:rPr>
          <w:i/>
        </w:rPr>
        <w:br/>
        <w:t>Act s. 299)</w:t>
      </w:r>
      <w:bookmarkEnd w:id="781"/>
      <w:bookmarkEnd w:id="782"/>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w:t>
      </w:r>
    </w:p>
    <w:p>
      <w:pPr>
        <w:pStyle w:val="yIndenta"/>
      </w:pPr>
      <w:r>
        <w:tab/>
        <w:t>(b)</w:t>
      </w:r>
      <w:r>
        <w:tab/>
        <w:t>give details of any significant changes in the corporation’s state of affairs during the year;</w:t>
      </w:r>
    </w:p>
    <w:p>
      <w:pPr>
        <w:pStyle w:val="yIndenta"/>
      </w:pPr>
      <w:r>
        <w:tab/>
        <w:t>(c)</w:t>
      </w:r>
      <w:r>
        <w:tab/>
        <w:t>state the corporation’s principal activities during the year and any significant changes in the nature of those activities during the year;</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Footnotesection"/>
      </w:pPr>
      <w:r>
        <w:tab/>
        <w:t>[Clause 11 inserted in Gazette 24 May 2002 p. 2608-9.]</w:t>
      </w:r>
    </w:p>
    <w:p>
      <w:pPr>
        <w:pStyle w:val="yHeading5"/>
        <w:outlineLvl w:val="9"/>
      </w:pPr>
      <w:bookmarkStart w:id="783" w:name="_Toc278969729"/>
      <w:bookmarkStart w:id="784" w:name="_Toc274143579"/>
      <w:r>
        <w:rPr>
          <w:rStyle w:val="CharSClsNo"/>
        </w:rPr>
        <w:t>12</w:t>
      </w:r>
      <w:r>
        <w:t>.</w:t>
      </w:r>
      <w:r>
        <w:tab/>
        <w:t xml:space="preserve">Annual directors’ report, specific matters </w:t>
      </w:r>
      <w:r>
        <w:rPr>
          <w:i/>
        </w:rPr>
        <w:t>(cf. Corporations Act s. 300)</w:t>
      </w:r>
      <w:bookmarkEnd w:id="783"/>
      <w:bookmarkEnd w:id="784"/>
    </w:p>
    <w:p>
      <w:pPr>
        <w:pStyle w:val="ySubsection"/>
      </w:pPr>
      <w:r>
        <w:tab/>
        <w:t>(1)</w:t>
      </w:r>
      <w:r>
        <w:tab/>
        <w:t xml:space="preserve">The directors’ report for a financial year must include details of — </w:t>
      </w:r>
    </w:p>
    <w:p>
      <w:pPr>
        <w:pStyle w:val="yIndenta"/>
      </w:pPr>
      <w:r>
        <w:tab/>
        <w:t>(a)</w:t>
      </w:r>
      <w:r>
        <w:tab/>
        <w:t>dividends or distributions paid during the year;</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pPr>
      <w:r>
        <w:tab/>
      </w:r>
      <w:r>
        <w:tab/>
        <w:t xml:space="preserve">the report must set out particulars of the relevant agreement, including — </w:t>
      </w:r>
    </w:p>
    <w:p>
      <w:pPr>
        <w:pStyle w:val="yIndenta"/>
      </w:pPr>
      <w:r>
        <w:tab/>
        <w:t>(c)</w:t>
      </w:r>
      <w:r>
        <w:tab/>
        <w:t>the person’s name;</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keepNext/>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pPr>
      <w:r>
        <w:tab/>
      </w:r>
      <w:r>
        <w:tab/>
        <w:t xml:space="preserve">the report must — </w:t>
      </w:r>
    </w:p>
    <w:p>
      <w:pPr>
        <w:pStyle w:val="yIndenta"/>
      </w:pPr>
      <w:r>
        <w:tab/>
        <w:t>(c)</w:t>
      </w:r>
      <w:r>
        <w:tab/>
        <w:t>name the person and state that the corporation has paid, or agreed to pay, a premium in respect of a contract insuring the person against a liability; and</w:t>
      </w:r>
    </w:p>
    <w:p>
      <w:pPr>
        <w:pStyle w:val="yIndenta"/>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pPr>
      <w:r>
        <w:tab/>
        <w:t>(a)</w:t>
      </w:r>
      <w:r>
        <w:tab/>
        <w:t>each director’s qualifications, experience and special responsibilities;</w:t>
      </w:r>
    </w:p>
    <w:p>
      <w:pPr>
        <w:pStyle w:val="yIndenta"/>
      </w:pPr>
      <w:r>
        <w:tab/>
        <w:t>(b)</w:t>
      </w:r>
      <w:r>
        <w:tab/>
        <w:t>the number of meetings of the board held during the year and each director’s attendance at those meetings; and</w:t>
      </w:r>
    </w:p>
    <w:p>
      <w:pPr>
        <w:pStyle w:val="yIndenta"/>
      </w:pPr>
      <w:r>
        <w:tab/>
        <w:t>(c)</w:t>
      </w:r>
      <w:r>
        <w:tab/>
        <w:t>the number of meetings of each board committee held during the year and each director’s attendance at those meetings.</w:t>
      </w:r>
    </w:p>
    <w:p>
      <w:pPr>
        <w:pStyle w:val="yFootnotesection"/>
      </w:pPr>
      <w:r>
        <w:tab/>
        <w:t>[Clause 12 inserted in Gazette 24 May 2002 p. 2609-11.]</w:t>
      </w:r>
    </w:p>
    <w:p>
      <w:pPr>
        <w:pStyle w:val="yHeading5"/>
        <w:outlineLvl w:val="9"/>
      </w:pPr>
      <w:bookmarkStart w:id="785" w:name="_Toc278969730"/>
      <w:bookmarkStart w:id="786" w:name="_Toc274143580"/>
      <w:r>
        <w:rPr>
          <w:rStyle w:val="CharSClsNo"/>
        </w:rPr>
        <w:t>13</w:t>
      </w:r>
      <w:r>
        <w:t>.</w:t>
      </w:r>
      <w:r>
        <w:tab/>
        <w:t xml:space="preserve">Annual directors’ report, other specific matters </w:t>
      </w:r>
      <w:r>
        <w:rPr>
          <w:i/>
        </w:rPr>
        <w:t>(cf. Corporations Act s. 300A)</w:t>
      </w:r>
      <w:bookmarkEnd w:id="785"/>
      <w:bookmarkEnd w:id="786"/>
    </w:p>
    <w:p>
      <w:pPr>
        <w:pStyle w:val="ySubsection"/>
      </w:pPr>
      <w:r>
        <w:tab/>
      </w:r>
      <w:r>
        <w:tab/>
        <w:t xml:space="preserve">The directors’ report for a financial year must also include — </w:t>
      </w:r>
    </w:p>
    <w:p>
      <w:pPr>
        <w:pStyle w:val="yIndenta"/>
      </w:pPr>
      <w:r>
        <w:tab/>
        <w:t>(a)</w:t>
      </w:r>
      <w:r>
        <w:tab/>
        <w:t>discussion of board policy for determining the nature and amount of emoluments of board members and senior executives of the corporation;</w:t>
      </w:r>
    </w:p>
    <w:p>
      <w:pPr>
        <w:pStyle w:val="yIndenta"/>
      </w:pPr>
      <w:r>
        <w:tab/>
        <w:t>(b)</w:t>
      </w:r>
      <w:r>
        <w:tab/>
        <w:t>discussion of the relationship between such policy and the corporation’s performance; and</w:t>
      </w:r>
    </w:p>
    <w:p>
      <w:pPr>
        <w:pStyle w:val="yIndenta"/>
      </w:pPr>
      <w:r>
        <w:tab/>
        <w:t>(c)</w:t>
      </w:r>
      <w:r>
        <w:tab/>
        <w:t>details of the nature and amount of each element of the emolument of each director and each of the 5 named officers of the corporation receiving the highest emolument.</w:t>
      </w:r>
    </w:p>
    <w:p>
      <w:pPr>
        <w:pStyle w:val="yFootnotesection"/>
      </w:pPr>
      <w:r>
        <w:tab/>
        <w:t>[Clause 13 inserted in Gazette 24 May 2002 p. 2611.]</w:t>
      </w:r>
    </w:p>
    <w:p>
      <w:pPr>
        <w:pStyle w:val="yHeading5"/>
        <w:outlineLvl w:val="9"/>
      </w:pPr>
      <w:bookmarkStart w:id="787" w:name="_Toc278969731"/>
      <w:bookmarkStart w:id="788" w:name="_Toc274143581"/>
      <w:r>
        <w:rPr>
          <w:rStyle w:val="CharSClsNo"/>
        </w:rPr>
        <w:t>14</w:t>
      </w:r>
      <w:r>
        <w:t>.</w:t>
      </w:r>
      <w:r>
        <w:tab/>
        <w:t>Audit of annual financial report</w:t>
      </w:r>
      <w:r>
        <w:rPr>
          <w:i/>
        </w:rPr>
        <w:t xml:space="preserve"> (cf. Corporations Act s. 301)</w:t>
      </w:r>
      <w:bookmarkEnd w:id="787"/>
      <w:bookmarkEnd w:id="788"/>
    </w:p>
    <w:p>
      <w:pPr>
        <w:pStyle w:val="ySubsection"/>
      </w:pPr>
      <w:r>
        <w:tab/>
      </w:r>
      <w:r>
        <w:tab/>
        <w:t>The corporation must have the financial report for a financial year audited by the Auditor General in accordance with Subdivision 2 and clauses 38 and 45 and obtain an auditor’s report.</w:t>
      </w:r>
    </w:p>
    <w:p>
      <w:pPr>
        <w:pStyle w:val="yFootnotesection"/>
      </w:pPr>
      <w:r>
        <w:tab/>
        <w:t>[Clause 14 inserted in Gazette 24 May 2002 p. 2611.]</w:t>
      </w:r>
    </w:p>
    <w:p>
      <w:pPr>
        <w:pStyle w:val="yHeading4"/>
        <w:outlineLvl w:val="9"/>
      </w:pPr>
      <w:bookmarkStart w:id="789" w:name="_Toc189883139"/>
      <w:bookmarkStart w:id="790" w:name="_Toc200259835"/>
      <w:bookmarkStart w:id="791" w:name="_Toc200260041"/>
      <w:bookmarkStart w:id="792" w:name="_Toc200260247"/>
      <w:bookmarkStart w:id="793" w:name="_Toc200422107"/>
      <w:bookmarkStart w:id="794" w:name="_Toc201976023"/>
      <w:bookmarkStart w:id="795" w:name="_Toc201982156"/>
      <w:bookmarkStart w:id="796" w:name="_Toc202080921"/>
      <w:bookmarkStart w:id="797" w:name="_Toc202168430"/>
      <w:bookmarkStart w:id="798" w:name="_Toc203453995"/>
      <w:bookmarkStart w:id="799" w:name="_Toc268269919"/>
      <w:bookmarkStart w:id="800" w:name="_Toc274143582"/>
      <w:bookmarkStart w:id="801" w:name="_Toc278969732"/>
      <w:r>
        <w:t>Subdivision 2 — Audit and auditor’s report</w:t>
      </w:r>
      <w:bookmarkEnd w:id="789"/>
      <w:bookmarkEnd w:id="790"/>
      <w:bookmarkEnd w:id="791"/>
      <w:bookmarkEnd w:id="792"/>
      <w:bookmarkEnd w:id="793"/>
      <w:bookmarkEnd w:id="794"/>
      <w:bookmarkEnd w:id="795"/>
      <w:bookmarkEnd w:id="796"/>
      <w:bookmarkEnd w:id="797"/>
      <w:bookmarkEnd w:id="798"/>
      <w:bookmarkEnd w:id="799"/>
      <w:bookmarkEnd w:id="800"/>
      <w:bookmarkEnd w:id="801"/>
    </w:p>
    <w:p>
      <w:pPr>
        <w:pStyle w:val="yFootnoteheading"/>
      </w:pPr>
      <w:r>
        <w:tab/>
        <w:t>[Heading inserted in Gazette 24 May 2002 p. 2611.]</w:t>
      </w:r>
    </w:p>
    <w:p>
      <w:pPr>
        <w:pStyle w:val="yHeading5"/>
        <w:outlineLvl w:val="9"/>
      </w:pPr>
      <w:bookmarkStart w:id="802" w:name="_Toc278969733"/>
      <w:bookmarkStart w:id="803" w:name="_Toc274143583"/>
      <w:r>
        <w:rPr>
          <w:rStyle w:val="CharSClsNo"/>
        </w:rPr>
        <w:t>15</w:t>
      </w:r>
      <w:r>
        <w:t>.</w:t>
      </w:r>
      <w:r>
        <w:tab/>
        <w:t>Auditor General to form opinion</w:t>
      </w:r>
      <w:r>
        <w:rPr>
          <w:i/>
        </w:rPr>
        <w:t xml:space="preserve"> (cf. Corporations Act s. 307)</w:t>
      </w:r>
      <w:bookmarkEnd w:id="802"/>
      <w:bookmarkEnd w:id="803"/>
    </w:p>
    <w:p>
      <w:pPr>
        <w:pStyle w:val="ySubsection"/>
      </w:pPr>
      <w:r>
        <w:tab/>
      </w:r>
      <w:r>
        <w:tab/>
        <w:t xml:space="preserve">The Auditor General must form an opinion about — </w:t>
      </w:r>
    </w:p>
    <w:p>
      <w:pPr>
        <w:pStyle w:val="yIndenta"/>
      </w:pPr>
      <w:r>
        <w:tab/>
        <w:t>(a)</w:t>
      </w:r>
      <w:r>
        <w:tab/>
        <w:t xml:space="preserve">whether the financial report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t>(b)</w:t>
      </w:r>
      <w:r>
        <w:tab/>
        <w:t>whether he or she has been given all information, explanation and assistance necessary for the conduct of the audit;</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Footnotesection"/>
      </w:pPr>
      <w:r>
        <w:tab/>
        <w:t>[Clause 15 inserted in Gazette 24 May 2002 p. 2611.]</w:t>
      </w:r>
    </w:p>
    <w:p>
      <w:pPr>
        <w:pStyle w:val="yHeading5"/>
        <w:outlineLvl w:val="9"/>
      </w:pPr>
      <w:bookmarkStart w:id="804" w:name="_Toc278969734"/>
      <w:bookmarkStart w:id="805" w:name="_Toc274143584"/>
      <w:r>
        <w:rPr>
          <w:rStyle w:val="CharSClsNo"/>
        </w:rPr>
        <w:t>16</w:t>
      </w:r>
      <w:r>
        <w:t>.</w:t>
      </w:r>
      <w:r>
        <w:tab/>
        <w:t>Auditor General to report on annual financial report</w:t>
      </w:r>
      <w:r>
        <w:br/>
      </w:r>
      <w:r>
        <w:rPr>
          <w:i/>
        </w:rPr>
        <w:t>(cf. Corporations Act s. 308)</w:t>
      </w:r>
      <w:bookmarkEnd w:id="804"/>
      <w:bookmarkEnd w:id="805"/>
    </w:p>
    <w:p>
      <w:pPr>
        <w:pStyle w:val="ySubsection"/>
      </w:pPr>
      <w:r>
        <w:tab/>
        <w:t>(1)</w:t>
      </w:r>
      <w:r>
        <w:tab/>
        <w:t xml:space="preserve">The Auditor General must report to the Minister on whether he or she is of the opinion that the financial report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Footnotesection"/>
      </w:pPr>
      <w:r>
        <w:tab/>
        <w:t>[Clause 16 inserted in Gazette 24 May 2002 p. 2611-12.]</w:t>
      </w:r>
    </w:p>
    <w:p>
      <w:pPr>
        <w:pStyle w:val="yHeading5"/>
        <w:outlineLvl w:val="9"/>
      </w:pPr>
      <w:bookmarkStart w:id="806" w:name="_Toc278969735"/>
      <w:bookmarkStart w:id="807" w:name="_Toc274143585"/>
      <w:r>
        <w:rPr>
          <w:rStyle w:val="CharSClsNo"/>
        </w:rPr>
        <w:t>17</w:t>
      </w:r>
      <w:r>
        <w:t>.</w:t>
      </w:r>
      <w:r>
        <w:tab/>
        <w:t xml:space="preserve">Auditor General’s power to obtain information </w:t>
      </w:r>
      <w:r>
        <w:rPr>
          <w:i/>
        </w:rPr>
        <w:t>(cf. Corporations Act s. 310)</w:t>
      </w:r>
      <w:bookmarkEnd w:id="806"/>
      <w:bookmarkEnd w:id="807"/>
    </w:p>
    <w:p>
      <w:pPr>
        <w:pStyle w:val="ySubsection"/>
      </w:pPr>
      <w:r>
        <w:tab/>
      </w:r>
      <w:r>
        <w:tab/>
        <w:t xml:space="preserve">The Auditor General — </w:t>
      </w:r>
    </w:p>
    <w:p>
      <w:pPr>
        <w:pStyle w:val="yIndenta"/>
      </w:pPr>
      <w:r>
        <w:tab/>
        <w:t>(a)</w:t>
      </w:r>
      <w:r>
        <w:tab/>
        <w:t>has a right of access at all reasonable times to the books of the corporation; and</w:t>
      </w:r>
    </w:p>
    <w:p>
      <w:pPr>
        <w:pStyle w:val="yIndenta"/>
      </w:pPr>
      <w:r>
        <w:tab/>
        <w:t>(b)</w:t>
      </w:r>
      <w:r>
        <w:tab/>
        <w:t>may require any officer to give the Auditor General information, explanations or other assistance for the purposes of the audit or review.</w:t>
      </w:r>
    </w:p>
    <w:p>
      <w:pPr>
        <w:pStyle w:val="yFootnotesection"/>
      </w:pPr>
      <w:r>
        <w:tab/>
        <w:t>[Clause 17 inserted in Gazette 24 May 2002 p. 2612.]</w:t>
      </w:r>
    </w:p>
    <w:p>
      <w:pPr>
        <w:pStyle w:val="yHeading5"/>
        <w:outlineLvl w:val="9"/>
      </w:pPr>
      <w:bookmarkStart w:id="808" w:name="_Toc278969736"/>
      <w:bookmarkStart w:id="809" w:name="_Toc274143586"/>
      <w:r>
        <w:rPr>
          <w:rStyle w:val="CharSClsNo"/>
        </w:rPr>
        <w:t>18</w:t>
      </w:r>
      <w:r>
        <w:t>.</w:t>
      </w:r>
      <w:r>
        <w:tab/>
        <w:t xml:space="preserve">Corporation’s officers to assist Auditor General </w:t>
      </w:r>
      <w:r>
        <w:rPr>
          <w:i/>
        </w:rPr>
        <w:t>(cf. Corporations Act s. 312)</w:t>
      </w:r>
      <w:bookmarkEnd w:id="808"/>
      <w:bookmarkEnd w:id="809"/>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Footnotesection"/>
      </w:pPr>
      <w:r>
        <w:tab/>
        <w:t>[Clause 18 inserted in Gazette 24 May 2002 p. 2612.]</w:t>
      </w:r>
    </w:p>
    <w:p>
      <w:pPr>
        <w:pStyle w:val="yHeading4"/>
        <w:outlineLvl w:val="9"/>
      </w:pPr>
      <w:bookmarkStart w:id="810" w:name="_Toc189883144"/>
      <w:bookmarkStart w:id="811" w:name="_Toc200259840"/>
      <w:bookmarkStart w:id="812" w:name="_Toc200260046"/>
      <w:bookmarkStart w:id="813" w:name="_Toc200260252"/>
      <w:bookmarkStart w:id="814" w:name="_Toc200422112"/>
      <w:bookmarkStart w:id="815" w:name="_Toc201976028"/>
      <w:bookmarkStart w:id="816" w:name="_Toc201982161"/>
      <w:bookmarkStart w:id="817" w:name="_Toc202080926"/>
      <w:bookmarkStart w:id="818" w:name="_Toc202168435"/>
      <w:bookmarkStart w:id="819" w:name="_Toc203454000"/>
      <w:bookmarkStart w:id="820" w:name="_Toc268269924"/>
      <w:bookmarkStart w:id="821" w:name="_Toc274143587"/>
      <w:bookmarkStart w:id="822" w:name="_Toc278969737"/>
      <w:r>
        <w:t>Subdivision 3 — Special provisions about consolidated financial statements</w:t>
      </w:r>
      <w:bookmarkEnd w:id="810"/>
      <w:bookmarkEnd w:id="811"/>
      <w:bookmarkEnd w:id="812"/>
      <w:bookmarkEnd w:id="813"/>
      <w:bookmarkEnd w:id="814"/>
      <w:bookmarkEnd w:id="815"/>
      <w:bookmarkEnd w:id="816"/>
      <w:bookmarkEnd w:id="817"/>
      <w:bookmarkEnd w:id="818"/>
      <w:bookmarkEnd w:id="819"/>
      <w:bookmarkEnd w:id="820"/>
      <w:bookmarkEnd w:id="821"/>
      <w:bookmarkEnd w:id="822"/>
    </w:p>
    <w:p>
      <w:pPr>
        <w:pStyle w:val="yFootnoteheading"/>
      </w:pPr>
      <w:r>
        <w:rPr>
          <w:snapToGrid w:val="0"/>
        </w:rPr>
        <w:tab/>
        <w:t>[Heading inserted in Gazette 24 May 2002 p. 2612.]</w:t>
      </w:r>
    </w:p>
    <w:p>
      <w:pPr>
        <w:pStyle w:val="yHeading5"/>
        <w:outlineLvl w:val="9"/>
      </w:pPr>
      <w:bookmarkStart w:id="823" w:name="_Toc278969738"/>
      <w:bookmarkStart w:id="824" w:name="_Toc274143588"/>
      <w:r>
        <w:rPr>
          <w:rStyle w:val="CharSClsNo"/>
        </w:rPr>
        <w:t>19</w:t>
      </w:r>
      <w:r>
        <w:t>.</w:t>
      </w:r>
      <w:r>
        <w:tab/>
        <w:t>Directors and officers of controlled entity to give information</w:t>
      </w:r>
      <w:r>
        <w:br/>
      </w:r>
      <w:r>
        <w:rPr>
          <w:i/>
        </w:rPr>
        <w:t>(cf. Corporations Act s. 323)</w:t>
      </w:r>
      <w:bookmarkEnd w:id="823"/>
      <w:bookmarkEnd w:id="824"/>
    </w:p>
    <w:p>
      <w:pPr>
        <w:pStyle w:val="ySubsection"/>
        <w:spacing w:before="120"/>
      </w:pPr>
      <w:r>
        <w:tab/>
      </w:r>
      <w:r>
        <w:tab/>
        <w:t>If the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Footnotesection"/>
      </w:pPr>
      <w:r>
        <w:tab/>
        <w:t>[Clause 19 inserted in Gazette 24 May 2002 p. 2612.]</w:t>
      </w:r>
    </w:p>
    <w:p>
      <w:pPr>
        <w:pStyle w:val="yHeading5"/>
        <w:outlineLvl w:val="9"/>
      </w:pPr>
      <w:bookmarkStart w:id="825" w:name="_Toc278969739"/>
      <w:bookmarkStart w:id="826" w:name="_Toc274143589"/>
      <w:r>
        <w:rPr>
          <w:rStyle w:val="CharSClsNo"/>
        </w:rPr>
        <w:t>20</w:t>
      </w:r>
      <w:r>
        <w:t>.</w:t>
      </w:r>
      <w:r>
        <w:tab/>
        <w:t xml:space="preserve">Auditor General’s power to obtain information from controlled entity </w:t>
      </w:r>
      <w:r>
        <w:rPr>
          <w:i/>
        </w:rPr>
        <w:t>(cf. Corporations Act s. 323A)</w:t>
      </w:r>
      <w:bookmarkEnd w:id="825"/>
      <w:bookmarkEnd w:id="826"/>
    </w:p>
    <w:p>
      <w:pPr>
        <w:pStyle w:val="ySubsection"/>
        <w:spacing w:before="120"/>
      </w:pPr>
      <w:r>
        <w:tab/>
        <w:t>(1)</w:t>
      </w:r>
      <w:r>
        <w:tab/>
        <w:t xml:space="preserve">Where the financial report includes consolidated financial statements, the Auditor General — </w:t>
      </w:r>
    </w:p>
    <w:p>
      <w:pPr>
        <w:pStyle w:val="yIndenta"/>
      </w:pPr>
      <w:r>
        <w:tab/>
        <w:t>(a)</w:t>
      </w:r>
      <w:r>
        <w:tab/>
        <w:t>has a right of access at all reasonable times to the books of any controlled entity; and</w:t>
      </w:r>
    </w:p>
    <w:p>
      <w:pPr>
        <w:pStyle w:val="yIndenta"/>
      </w:pPr>
      <w:r>
        <w:tab/>
        <w:t>(b)</w:t>
      </w:r>
      <w:r>
        <w:tab/>
        <w:t>may require any officer of the entity to give the Auditor General information, explanations or other assistance for the purposes of the audit or review.</w:t>
      </w:r>
    </w:p>
    <w:p>
      <w:pPr>
        <w:pStyle w:val="ySubsection"/>
      </w:pPr>
      <w:r>
        <w:tab/>
        <w:t>(2)</w:t>
      </w:r>
      <w:r>
        <w:tab/>
        <w:t>The information, explanations or other assistance required under subclause (1)(b) is to be given at the expense of the corporation.</w:t>
      </w:r>
    </w:p>
    <w:p>
      <w:pPr>
        <w:pStyle w:val="yFootnotesection"/>
      </w:pPr>
      <w:r>
        <w:tab/>
        <w:t>[Clause 20 inserted in Gazette 24 May 2002 p. 2613.]</w:t>
      </w:r>
    </w:p>
    <w:p>
      <w:pPr>
        <w:pStyle w:val="yHeading5"/>
        <w:outlineLvl w:val="9"/>
      </w:pPr>
      <w:bookmarkStart w:id="827" w:name="_Toc278969740"/>
      <w:bookmarkStart w:id="828" w:name="_Toc274143590"/>
      <w:r>
        <w:rPr>
          <w:rStyle w:val="CharSClsNo"/>
        </w:rPr>
        <w:t>21</w:t>
      </w:r>
      <w:r>
        <w:t>.</w:t>
      </w:r>
      <w:r>
        <w:tab/>
        <w:t xml:space="preserve">Controlled entity to assist the Auditor General </w:t>
      </w:r>
      <w:r>
        <w:rPr>
          <w:i/>
        </w:rPr>
        <w:t>(cf. Corporations Act s. 323B)</w:t>
      </w:r>
      <w:bookmarkEnd w:id="827"/>
      <w:bookmarkEnd w:id="828"/>
    </w:p>
    <w:p>
      <w:pPr>
        <w:pStyle w:val="ySubsection"/>
      </w:pPr>
      <w:r>
        <w:tab/>
      </w:r>
      <w:r>
        <w:tab/>
        <w:t xml:space="preserve">If the corporation has to prepare a financial report that includes consolidated financial statements, an officer or auditor of a controlled entity must — </w:t>
      </w:r>
    </w:p>
    <w:p>
      <w:pPr>
        <w:pStyle w:val="yIndenta"/>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Footnotesection"/>
      </w:pPr>
      <w:r>
        <w:tab/>
        <w:t>[Clause 21 inserted in Gazette 24 May 2002 p. 2613.]</w:t>
      </w:r>
    </w:p>
    <w:p>
      <w:pPr>
        <w:pStyle w:val="yHeading5"/>
        <w:outlineLvl w:val="9"/>
      </w:pPr>
      <w:bookmarkStart w:id="829" w:name="_Toc278969741"/>
      <w:bookmarkStart w:id="830" w:name="_Toc274143591"/>
      <w:r>
        <w:rPr>
          <w:rStyle w:val="CharSClsNo"/>
        </w:rPr>
        <w:t>22</w:t>
      </w:r>
      <w:r>
        <w:t>.</w:t>
      </w:r>
      <w:r>
        <w:tab/>
        <w:t xml:space="preserve">Application of subdivision to entity that has ceased to be controlled </w:t>
      </w:r>
      <w:r>
        <w:rPr>
          <w:i/>
        </w:rPr>
        <w:t>(cf. Corporations Act s. 323C)</w:t>
      </w:r>
      <w:bookmarkEnd w:id="829"/>
      <w:bookmarkEnd w:id="830"/>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Footnotesection"/>
      </w:pPr>
      <w:r>
        <w:tab/>
        <w:t>[Clause 22 inserted in Gazette 24 May 2002 p. 2613.]</w:t>
      </w:r>
    </w:p>
    <w:p>
      <w:pPr>
        <w:pStyle w:val="yHeading4"/>
        <w:outlineLvl w:val="9"/>
      </w:pPr>
      <w:bookmarkStart w:id="831" w:name="_Toc189883149"/>
      <w:bookmarkStart w:id="832" w:name="_Toc200259845"/>
      <w:bookmarkStart w:id="833" w:name="_Toc200260051"/>
      <w:bookmarkStart w:id="834" w:name="_Toc200260257"/>
      <w:bookmarkStart w:id="835" w:name="_Toc200422117"/>
      <w:bookmarkStart w:id="836" w:name="_Toc201976033"/>
      <w:bookmarkStart w:id="837" w:name="_Toc201982166"/>
      <w:bookmarkStart w:id="838" w:name="_Toc202080931"/>
      <w:bookmarkStart w:id="839" w:name="_Toc202168440"/>
      <w:bookmarkStart w:id="840" w:name="_Toc203454005"/>
      <w:bookmarkStart w:id="841" w:name="_Toc268269929"/>
      <w:bookmarkStart w:id="842" w:name="_Toc274143592"/>
      <w:bookmarkStart w:id="843" w:name="_Toc278969742"/>
      <w:r>
        <w:t>Subdivision 4 — Financial years of the corporation and the entities it controls</w:t>
      </w:r>
      <w:bookmarkEnd w:id="831"/>
      <w:bookmarkEnd w:id="832"/>
      <w:bookmarkEnd w:id="833"/>
      <w:bookmarkEnd w:id="834"/>
      <w:bookmarkEnd w:id="835"/>
      <w:bookmarkEnd w:id="836"/>
      <w:bookmarkEnd w:id="837"/>
      <w:bookmarkEnd w:id="838"/>
      <w:bookmarkEnd w:id="839"/>
      <w:bookmarkEnd w:id="840"/>
      <w:bookmarkEnd w:id="841"/>
      <w:bookmarkEnd w:id="842"/>
      <w:bookmarkEnd w:id="843"/>
    </w:p>
    <w:p>
      <w:pPr>
        <w:pStyle w:val="yFootnoteheading"/>
      </w:pPr>
      <w:r>
        <w:rPr>
          <w:snapToGrid w:val="0"/>
        </w:rPr>
        <w:tab/>
        <w:t>[Heading inserted in Gazette 24 May 2002 p. 2613.]</w:t>
      </w:r>
    </w:p>
    <w:p>
      <w:pPr>
        <w:pStyle w:val="yHeading5"/>
        <w:outlineLvl w:val="9"/>
      </w:pPr>
      <w:bookmarkStart w:id="844" w:name="_Toc278969743"/>
      <w:bookmarkStart w:id="845" w:name="_Toc274143593"/>
      <w:r>
        <w:rPr>
          <w:rStyle w:val="CharSClsNo"/>
        </w:rPr>
        <w:t>23</w:t>
      </w:r>
      <w:r>
        <w:t>.</w:t>
      </w:r>
      <w:r>
        <w:tab/>
        <w:t xml:space="preserve">Financial years </w:t>
      </w:r>
      <w:r>
        <w:rPr>
          <w:i/>
        </w:rPr>
        <w:t>(cf. Corporations Act s. 323D)</w:t>
      </w:r>
      <w:bookmarkEnd w:id="844"/>
      <w:bookmarkEnd w:id="845"/>
    </w:p>
    <w:p>
      <w:pPr>
        <w:pStyle w:val="ySubsection"/>
      </w:pPr>
      <w:r>
        <w:tab/>
        <w:t>(1)</w:t>
      </w:r>
      <w:r>
        <w:tab/>
        <w:t>The financial year of the corporation is the 12 month period ending on 30 June.</w:t>
      </w:r>
    </w:p>
    <w:p>
      <w:pPr>
        <w:pStyle w:val="ySubsection"/>
      </w:pPr>
      <w:r>
        <w:tab/>
        <w:t>(2)</w:t>
      </w:r>
      <w:r>
        <w:tab/>
        <w:t>Where the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Footnotesection"/>
      </w:pPr>
      <w:r>
        <w:tab/>
        <w:t>[Clause 23 inserted in Gazette 24 May 2002 p. 2613.]</w:t>
      </w:r>
    </w:p>
    <w:p>
      <w:pPr>
        <w:pStyle w:val="yHeading3"/>
        <w:outlineLvl w:val="9"/>
      </w:pPr>
      <w:bookmarkStart w:id="846" w:name="_Toc189883151"/>
      <w:bookmarkStart w:id="847" w:name="_Toc200259847"/>
      <w:bookmarkStart w:id="848" w:name="_Toc200260053"/>
      <w:bookmarkStart w:id="849" w:name="_Toc200260259"/>
      <w:bookmarkStart w:id="850" w:name="_Toc200422119"/>
      <w:bookmarkStart w:id="851" w:name="_Toc201976035"/>
      <w:bookmarkStart w:id="852" w:name="_Toc201982168"/>
      <w:bookmarkStart w:id="853" w:name="_Toc202080933"/>
      <w:bookmarkStart w:id="854" w:name="_Toc202168442"/>
      <w:bookmarkStart w:id="855" w:name="_Toc203454007"/>
      <w:bookmarkStart w:id="856" w:name="_Toc268269931"/>
      <w:bookmarkStart w:id="857" w:name="_Toc274143594"/>
      <w:bookmarkStart w:id="858" w:name="_Toc278969744"/>
      <w:r>
        <w:rPr>
          <w:rStyle w:val="CharSDivNo"/>
        </w:rPr>
        <w:t>Division 4</w:t>
      </w:r>
      <w:r>
        <w:t xml:space="preserve"> — </w:t>
      </w:r>
      <w:r>
        <w:rPr>
          <w:rStyle w:val="CharSDivText"/>
        </w:rPr>
        <w:t>Accounting standards</w:t>
      </w:r>
      <w:bookmarkEnd w:id="846"/>
      <w:bookmarkEnd w:id="847"/>
      <w:bookmarkEnd w:id="848"/>
      <w:bookmarkEnd w:id="849"/>
      <w:bookmarkEnd w:id="850"/>
      <w:bookmarkEnd w:id="851"/>
      <w:bookmarkEnd w:id="852"/>
      <w:bookmarkEnd w:id="853"/>
      <w:bookmarkEnd w:id="854"/>
      <w:bookmarkEnd w:id="855"/>
      <w:bookmarkEnd w:id="856"/>
      <w:bookmarkEnd w:id="857"/>
      <w:bookmarkEnd w:id="858"/>
    </w:p>
    <w:p>
      <w:pPr>
        <w:pStyle w:val="yFootnoteheading"/>
      </w:pPr>
      <w:r>
        <w:rPr>
          <w:snapToGrid w:val="0"/>
        </w:rPr>
        <w:tab/>
        <w:t>[Heading inserted in Gazette 24 May 2002 p. 2613.]</w:t>
      </w:r>
    </w:p>
    <w:p>
      <w:pPr>
        <w:pStyle w:val="yHeading5"/>
        <w:outlineLvl w:val="9"/>
      </w:pPr>
      <w:bookmarkStart w:id="859" w:name="_Toc278969745"/>
      <w:bookmarkStart w:id="860" w:name="_Toc274143595"/>
      <w:r>
        <w:rPr>
          <w:rStyle w:val="CharSClsNo"/>
        </w:rPr>
        <w:t>24</w:t>
      </w:r>
      <w:r>
        <w:t>.</w:t>
      </w:r>
      <w:r>
        <w:tab/>
        <w:t xml:space="preserve">Accounting standards </w:t>
      </w:r>
      <w:r>
        <w:rPr>
          <w:i/>
        </w:rPr>
        <w:t>(cf. Corporations Act s. 334)</w:t>
      </w:r>
      <w:bookmarkEnd w:id="859"/>
      <w:bookmarkEnd w:id="860"/>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The corporation may elect to apply the accounting standard to an earlier period unless the standard says otherwise.</w:t>
      </w:r>
    </w:p>
    <w:p>
      <w:pPr>
        <w:pStyle w:val="ySubsection"/>
        <w:keepNext/>
      </w:pPr>
      <w:r>
        <w:tab/>
        <w:t>(3)</w:t>
      </w:r>
      <w:r>
        <w:tab/>
        <w:t>The election must be made in writing by the directors.</w:t>
      </w:r>
    </w:p>
    <w:p>
      <w:pPr>
        <w:pStyle w:val="yFootnotesection"/>
      </w:pPr>
      <w:r>
        <w:tab/>
        <w:t>[Clause 24 inserted in Gazette 24 May 2002 p. 2613-14.]</w:t>
      </w:r>
    </w:p>
    <w:p>
      <w:pPr>
        <w:pStyle w:val="yHeading5"/>
        <w:spacing w:before="180"/>
        <w:outlineLvl w:val="9"/>
      </w:pPr>
      <w:bookmarkStart w:id="861" w:name="_Toc278969746"/>
      <w:bookmarkStart w:id="862" w:name="_Toc274143596"/>
      <w:r>
        <w:rPr>
          <w:rStyle w:val="CharSClsNo"/>
        </w:rPr>
        <w:t>25</w:t>
      </w:r>
      <w:r>
        <w:t>.</w:t>
      </w:r>
      <w:r>
        <w:tab/>
        <w:t xml:space="preserve">Equity accounting </w:t>
      </w:r>
      <w:r>
        <w:rPr>
          <w:i/>
        </w:rPr>
        <w:t>(cf. Corporations Act s. 335)</w:t>
      </w:r>
      <w:bookmarkEnd w:id="861"/>
      <w:bookmarkEnd w:id="862"/>
    </w:p>
    <w:p>
      <w:pPr>
        <w:pStyle w:val="ySubsection"/>
      </w:pPr>
      <w:r>
        <w:tab/>
      </w:r>
      <w:r>
        <w:tab/>
        <w:t>This Schedule (and, in particular, the provisions on consolidation of financial statements) does not prevent accounting standards from incorporating equity accounting principles.</w:t>
      </w:r>
    </w:p>
    <w:p>
      <w:pPr>
        <w:pStyle w:val="yFootnotesection"/>
      </w:pPr>
      <w:r>
        <w:tab/>
        <w:t>[Clause 25 inserted in Gazette 24 May 2002 p. 2614.]</w:t>
      </w:r>
    </w:p>
    <w:p>
      <w:pPr>
        <w:pStyle w:val="yHeading5"/>
        <w:spacing w:before="180"/>
        <w:outlineLvl w:val="9"/>
      </w:pPr>
      <w:bookmarkStart w:id="863" w:name="_Toc278969747"/>
      <w:bookmarkStart w:id="864" w:name="_Toc274143597"/>
      <w:r>
        <w:rPr>
          <w:rStyle w:val="CharSClsNo"/>
        </w:rPr>
        <w:t>26</w:t>
      </w:r>
      <w:r>
        <w:t>.</w:t>
      </w:r>
      <w:r>
        <w:tab/>
        <w:t xml:space="preserve">Interpretation of accounting standards </w:t>
      </w:r>
      <w:r>
        <w:rPr>
          <w:i/>
        </w:rPr>
        <w:t>(cf. Corporations Act s. 337)</w:t>
      </w:r>
      <w:bookmarkEnd w:id="863"/>
      <w:bookmarkEnd w:id="864"/>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Footnotesection"/>
      </w:pPr>
      <w:r>
        <w:tab/>
        <w:t>[Clause 26 inserted in Gazette 24 May 2002 p. 2614.]</w:t>
      </w:r>
    </w:p>
    <w:p>
      <w:pPr>
        <w:pStyle w:val="yHeading5"/>
        <w:spacing w:before="180"/>
        <w:outlineLvl w:val="9"/>
      </w:pPr>
      <w:bookmarkStart w:id="865" w:name="_Toc278969748"/>
      <w:bookmarkStart w:id="866" w:name="_Toc274143598"/>
      <w:r>
        <w:rPr>
          <w:rStyle w:val="CharSClsNo"/>
        </w:rPr>
        <w:t>27</w:t>
      </w:r>
      <w:r>
        <w:t>.</w:t>
      </w:r>
      <w:r>
        <w:tab/>
        <w:t xml:space="preserve">Evidence of text of accounting standard </w:t>
      </w:r>
      <w:r>
        <w:rPr>
          <w:i/>
        </w:rPr>
        <w:t>(cf. Corporations Act s. 339)</w:t>
      </w:r>
      <w:bookmarkEnd w:id="865"/>
      <w:bookmarkEnd w:id="866"/>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Footnotesection"/>
        <w:spacing w:before="60"/>
      </w:pPr>
      <w:r>
        <w:tab/>
        <w:t>[Clause 27 inserted in Gazette 24 May 2002 p. 2614.]</w:t>
      </w:r>
    </w:p>
    <w:p>
      <w:pPr>
        <w:pStyle w:val="yHeading3"/>
        <w:outlineLvl w:val="9"/>
      </w:pPr>
      <w:bookmarkStart w:id="867" w:name="_Toc189883156"/>
      <w:bookmarkStart w:id="868" w:name="_Toc200259852"/>
      <w:bookmarkStart w:id="869" w:name="_Toc200260058"/>
      <w:bookmarkStart w:id="870" w:name="_Toc200260264"/>
      <w:bookmarkStart w:id="871" w:name="_Toc200422124"/>
      <w:bookmarkStart w:id="872" w:name="_Toc201976040"/>
      <w:bookmarkStart w:id="873" w:name="_Toc201982173"/>
      <w:bookmarkStart w:id="874" w:name="_Toc202080938"/>
      <w:bookmarkStart w:id="875" w:name="_Toc202168447"/>
      <w:bookmarkStart w:id="876" w:name="_Toc203454012"/>
      <w:bookmarkStart w:id="877" w:name="_Toc268269936"/>
      <w:bookmarkStart w:id="878" w:name="_Toc274143599"/>
      <w:bookmarkStart w:id="879" w:name="_Toc278969749"/>
      <w:r>
        <w:rPr>
          <w:rStyle w:val="CharSDivNo"/>
        </w:rPr>
        <w:t>Division 5</w:t>
      </w:r>
      <w:r>
        <w:t xml:space="preserve"> — </w:t>
      </w:r>
      <w:r>
        <w:rPr>
          <w:rStyle w:val="CharSDivText"/>
        </w:rPr>
        <w:t>Exemptions and modifications</w:t>
      </w:r>
      <w:bookmarkEnd w:id="867"/>
      <w:bookmarkEnd w:id="868"/>
      <w:bookmarkEnd w:id="869"/>
      <w:bookmarkEnd w:id="870"/>
      <w:bookmarkEnd w:id="871"/>
      <w:bookmarkEnd w:id="872"/>
      <w:bookmarkEnd w:id="873"/>
      <w:bookmarkEnd w:id="874"/>
      <w:bookmarkEnd w:id="875"/>
      <w:bookmarkEnd w:id="876"/>
      <w:bookmarkEnd w:id="877"/>
      <w:bookmarkEnd w:id="878"/>
      <w:bookmarkEnd w:id="879"/>
    </w:p>
    <w:p>
      <w:pPr>
        <w:pStyle w:val="yFootnoteheading"/>
      </w:pPr>
      <w:r>
        <w:rPr>
          <w:snapToGrid w:val="0"/>
        </w:rPr>
        <w:tab/>
        <w:t>[Heading inserted in Gazette 24 May 2002 p. 2614.]</w:t>
      </w:r>
    </w:p>
    <w:p>
      <w:pPr>
        <w:pStyle w:val="yHeading5"/>
        <w:spacing w:before="180"/>
        <w:outlineLvl w:val="9"/>
      </w:pPr>
      <w:bookmarkStart w:id="880" w:name="_Toc278969750"/>
      <w:bookmarkStart w:id="881" w:name="_Toc274143600"/>
      <w:r>
        <w:rPr>
          <w:rStyle w:val="CharSClsNo"/>
        </w:rPr>
        <w:t>28</w:t>
      </w:r>
      <w:r>
        <w:t>.</w:t>
      </w:r>
      <w:r>
        <w:tab/>
        <w:t xml:space="preserve">Treasurer’s power to exempt directors etc. from Div. 2 and 5 </w:t>
      </w:r>
      <w:r>
        <w:rPr>
          <w:i/>
        </w:rPr>
        <w:t>(cf. Corporations Act s. 340)</w:t>
      </w:r>
      <w:bookmarkEnd w:id="880"/>
      <w:bookmarkEnd w:id="881"/>
    </w:p>
    <w:p>
      <w:pPr>
        <w:pStyle w:val="ySubsection"/>
        <w:spacing w:before="120"/>
      </w:pPr>
      <w:r>
        <w:tab/>
        <w:t>(1)</w:t>
      </w:r>
      <w:r>
        <w:tab/>
        <w:t xml:space="preserve">On an application made in accordance with subclause (3) in relation to the corporation, the Treasurer may make an order in writing relieving any of the following from all or specified requirements of Divisions 2 and 3 — </w:t>
      </w:r>
    </w:p>
    <w:p>
      <w:pPr>
        <w:pStyle w:val="yIndenta"/>
      </w:pPr>
      <w:r>
        <w:tab/>
        <w:t>(a)</w:t>
      </w:r>
      <w:r>
        <w:tab/>
        <w:t>the directors;</w:t>
      </w:r>
    </w:p>
    <w:p>
      <w:pPr>
        <w:pStyle w:val="yIndenta"/>
      </w:pPr>
      <w:r>
        <w:tab/>
        <w:t>(b)</w:t>
      </w:r>
      <w:r>
        <w:tab/>
        <w:t>the corporation;</w:t>
      </w:r>
    </w:p>
    <w:p>
      <w:pPr>
        <w:pStyle w:val="yIndenta"/>
      </w:pPr>
      <w:r>
        <w:tab/>
        <w:t>(c)</w:t>
      </w:r>
      <w:r>
        <w:tab/>
        <w:t>the Auditor General.</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pPr>
      <w:r>
        <w:tab/>
        <w:t>(3)</w:t>
      </w:r>
      <w:r>
        <w:tab/>
        <w:t xml:space="preserve">The application must be — </w:t>
      </w:r>
    </w:p>
    <w:p>
      <w:pPr>
        <w:pStyle w:val="yIndenta"/>
      </w:pPr>
      <w:r>
        <w:tab/>
        <w:t>(a)</w:t>
      </w:r>
      <w:r>
        <w:tab/>
        <w:t>authorised by a resolution of the directors;</w:t>
      </w:r>
    </w:p>
    <w:p>
      <w:pPr>
        <w:pStyle w:val="yIndenta"/>
      </w:pPr>
      <w:r>
        <w:tab/>
        <w:t>(b)</w:t>
      </w:r>
      <w:r>
        <w:tab/>
        <w:t>in writing and signed by a director; and</w:t>
      </w:r>
    </w:p>
    <w:p>
      <w:pPr>
        <w:pStyle w:val="yIndenta"/>
      </w:pPr>
      <w:r>
        <w:tab/>
        <w:t>(c)</w:t>
      </w:r>
      <w:r>
        <w:tab/>
        <w:t>lodged with the Treasurer.</w:t>
      </w:r>
    </w:p>
    <w:p>
      <w:pPr>
        <w:pStyle w:val="ySubsection"/>
        <w:spacing w:before="120"/>
      </w:pPr>
      <w:r>
        <w:tab/>
        <w:t>(4)</w:t>
      </w:r>
      <w:r>
        <w:tab/>
        <w:t>The Treasurer must give the corporation written notice of the making, revocation or suspension of the order.</w:t>
      </w:r>
    </w:p>
    <w:p>
      <w:pPr>
        <w:pStyle w:val="ySubsection"/>
        <w:spacing w:before="120"/>
      </w:pPr>
      <w:r>
        <w:tab/>
        <w:t>(5)</w:t>
      </w:r>
      <w:r>
        <w:tab/>
        <w:t>If the Treasurer makes an order under subclause (1) the Treasurer is to cause the text of the order to be laid before each House of Parliament within 14 days after the order is made.</w:t>
      </w:r>
    </w:p>
    <w:p>
      <w:pPr>
        <w:pStyle w:val="ySubsection"/>
        <w:spacing w:before="120"/>
      </w:pPr>
      <w:r>
        <w:tab/>
        <w:t>(6)</w:t>
      </w:r>
      <w:r>
        <w:tab/>
        <w:t>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taken to have been laid before that House.</w:t>
      </w:r>
    </w:p>
    <w:p>
      <w:pPr>
        <w:pStyle w:val="ySubsection"/>
      </w:pPr>
      <w:r>
        <w:tab/>
        <w:t>(7)</w:t>
      </w:r>
      <w:r>
        <w:tab/>
        <w:t>The laying of a copy of a document that is taken to have occurred because of subclause (6) is to be recorded in the Minutes, or Votes and Proceedings, of the House on the first sitting day of the House after the receipt of the copy by the Clerk.</w:t>
      </w:r>
    </w:p>
    <w:p>
      <w:pPr>
        <w:pStyle w:val="yFootnotesection"/>
      </w:pPr>
      <w:r>
        <w:tab/>
        <w:t>[Clause 28 inserted in Gazette 24 May 2002 p. 2614-15; amended by No. 8 of 2009 s. 132(6) and (7).]</w:t>
      </w:r>
    </w:p>
    <w:p>
      <w:pPr>
        <w:pStyle w:val="yHeading5"/>
        <w:outlineLvl w:val="9"/>
      </w:pPr>
      <w:bookmarkStart w:id="882" w:name="_Toc278969751"/>
      <w:bookmarkStart w:id="883" w:name="_Toc274143601"/>
      <w:r>
        <w:rPr>
          <w:rStyle w:val="CharSClsNo"/>
        </w:rPr>
        <w:t>29</w:t>
      </w:r>
      <w:r>
        <w:t>.</w:t>
      </w:r>
      <w:r>
        <w:tab/>
        <w:t xml:space="preserve">Criteria for exemption under cl. 28 </w:t>
      </w:r>
      <w:r>
        <w:rPr>
          <w:i/>
        </w:rPr>
        <w:t>(cf. Corporations Act s. 342)</w:t>
      </w:r>
      <w:bookmarkEnd w:id="882"/>
      <w:bookmarkEnd w:id="883"/>
    </w:p>
    <w:p>
      <w:pPr>
        <w:pStyle w:val="ySubsection"/>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w:t>
      </w:r>
    </w:p>
    <w:p>
      <w:pPr>
        <w:pStyle w:val="yIndenta"/>
      </w:pPr>
      <w:r>
        <w:tab/>
        <w:t>(b)</w:t>
      </w:r>
      <w:r>
        <w:tab/>
        <w:t>be inappropriate in the circumstances; or</w:t>
      </w:r>
    </w:p>
    <w:p>
      <w:pPr>
        <w:pStyle w:val="yIndenta"/>
      </w:pPr>
      <w:r>
        <w:tab/>
        <w:t>(c)</w:t>
      </w:r>
      <w:r>
        <w:tab/>
        <w:t>impose unreasonable burdens.</w:t>
      </w:r>
    </w:p>
    <w:p>
      <w:pPr>
        <w:pStyle w:val="yFootnotesection"/>
      </w:pPr>
      <w:r>
        <w:tab/>
        <w:t>[Clause 29 inserted in Gazette 24 May 2002 p. 2615.]</w:t>
      </w:r>
    </w:p>
    <w:p>
      <w:pPr>
        <w:pStyle w:val="yHeading5"/>
        <w:outlineLvl w:val="9"/>
      </w:pPr>
      <w:bookmarkStart w:id="884" w:name="_Toc278969752"/>
      <w:bookmarkStart w:id="885" w:name="_Toc274143602"/>
      <w:r>
        <w:rPr>
          <w:rStyle w:val="CharSClsNo"/>
        </w:rPr>
        <w:t>30</w:t>
      </w:r>
      <w:r>
        <w:t>.</w:t>
      </w:r>
      <w:r>
        <w:tab/>
        <w:t>Extension of time</w:t>
      </w:r>
      <w:bookmarkEnd w:id="884"/>
      <w:bookmarkEnd w:id="885"/>
    </w:p>
    <w:p>
      <w:pPr>
        <w:pStyle w:val="ySubsection"/>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Footnotesection"/>
      </w:pPr>
      <w:r>
        <w:tab/>
        <w:t>[Clause 30 inserted in Gazette 24 May 2002 p. 2615-16.]</w:t>
      </w:r>
    </w:p>
    <w:p>
      <w:pPr>
        <w:pStyle w:val="yHeading3"/>
        <w:keepLines/>
        <w:outlineLvl w:val="9"/>
      </w:pPr>
      <w:bookmarkStart w:id="886" w:name="_Toc189883160"/>
      <w:bookmarkStart w:id="887" w:name="_Toc200259856"/>
      <w:bookmarkStart w:id="888" w:name="_Toc200260062"/>
      <w:bookmarkStart w:id="889" w:name="_Toc200260268"/>
      <w:bookmarkStart w:id="890" w:name="_Toc200422128"/>
      <w:bookmarkStart w:id="891" w:name="_Toc201976044"/>
      <w:bookmarkStart w:id="892" w:name="_Toc201982177"/>
      <w:bookmarkStart w:id="893" w:name="_Toc202080942"/>
      <w:bookmarkStart w:id="894" w:name="_Toc202168451"/>
      <w:bookmarkStart w:id="895" w:name="_Toc203454016"/>
      <w:bookmarkStart w:id="896" w:name="_Toc268269940"/>
      <w:bookmarkStart w:id="897" w:name="_Toc274143603"/>
      <w:bookmarkStart w:id="898" w:name="_Toc278969753"/>
      <w:r>
        <w:rPr>
          <w:rStyle w:val="CharSDivNo"/>
        </w:rPr>
        <w:t>Division 6</w:t>
      </w:r>
      <w:r>
        <w:t xml:space="preserve"> — </w:t>
      </w:r>
      <w:r>
        <w:rPr>
          <w:rStyle w:val="CharSDivText"/>
        </w:rPr>
        <w:t>Sanctions for contraventions of this Schedule</w:t>
      </w:r>
      <w:bookmarkEnd w:id="886"/>
      <w:bookmarkEnd w:id="887"/>
      <w:bookmarkEnd w:id="888"/>
      <w:bookmarkEnd w:id="889"/>
      <w:bookmarkEnd w:id="890"/>
      <w:bookmarkEnd w:id="891"/>
      <w:bookmarkEnd w:id="892"/>
      <w:bookmarkEnd w:id="893"/>
      <w:bookmarkEnd w:id="894"/>
      <w:bookmarkEnd w:id="895"/>
      <w:bookmarkEnd w:id="896"/>
      <w:bookmarkEnd w:id="897"/>
      <w:bookmarkEnd w:id="898"/>
    </w:p>
    <w:p>
      <w:pPr>
        <w:pStyle w:val="yFootnoteheading"/>
        <w:keepNext/>
        <w:keepLines/>
      </w:pPr>
      <w:r>
        <w:rPr>
          <w:snapToGrid w:val="0"/>
        </w:rPr>
        <w:tab/>
        <w:t>[Heading inserted in Gazette 24 May 2002 p. 2616.]</w:t>
      </w:r>
    </w:p>
    <w:p>
      <w:pPr>
        <w:pStyle w:val="yHeading5"/>
        <w:outlineLvl w:val="9"/>
      </w:pPr>
      <w:bookmarkStart w:id="899" w:name="_Toc278969754"/>
      <w:bookmarkStart w:id="900" w:name="_Toc274143604"/>
      <w:r>
        <w:rPr>
          <w:rStyle w:val="CharSClsNo"/>
        </w:rPr>
        <w:t>31</w:t>
      </w:r>
      <w:r>
        <w:t>.</w:t>
      </w:r>
      <w:r>
        <w:tab/>
        <w:t xml:space="preserve">Contravention of Div. 2 or 3 </w:t>
      </w:r>
      <w:r>
        <w:rPr>
          <w:i/>
        </w:rPr>
        <w:t>(cf. Corporations Act s. 344)</w:t>
      </w:r>
      <w:bookmarkEnd w:id="899"/>
      <w:bookmarkEnd w:id="900"/>
    </w:p>
    <w:p>
      <w:pPr>
        <w:pStyle w:val="ySubsection"/>
      </w:pPr>
      <w:r>
        <w:tab/>
        <w:t>(1)</w:t>
      </w:r>
      <w:r>
        <w:tab/>
        <w:t>A director of the corporation contravenes this subclause if he or she fails to take all reasonable steps to comply with, or to secure compliance with, Division 2 or 3.</w:t>
      </w:r>
    </w:p>
    <w:p>
      <w:pPr>
        <w:pStyle w:val="ySubsection"/>
      </w:pPr>
      <w:r>
        <w:tab/>
        <w:t>(2)</w:t>
      </w:r>
      <w:r>
        <w:tab/>
        <w:t xml:space="preserve">The penalty applicable to a contravention of subclause (1) is — </w:t>
      </w:r>
    </w:p>
    <w:p>
      <w:pPr>
        <w:pStyle w:val="yIndenta"/>
        <w:spacing w:before="60"/>
      </w:pPr>
      <w:r>
        <w:tab/>
        <w:t>(a)</w:t>
      </w:r>
      <w:r>
        <w:tab/>
        <w:t>in a case to which paragraph (b) does not apply, $5 000; or</w:t>
      </w:r>
    </w:p>
    <w:p>
      <w:pPr>
        <w:pStyle w:val="yIndenta"/>
        <w:spacing w:before="60"/>
      </w:pPr>
      <w:r>
        <w:tab/>
        <w:t>(b)</w:t>
      </w:r>
      <w:r>
        <w:tab/>
        <w:t>if the offence was committed with intent to deceive or defraud the Minister or the Treasurer or creditors of the corporation, $20 000 or imprisonment for 5 years or both.</w:t>
      </w:r>
    </w:p>
    <w:p>
      <w:pPr>
        <w:pStyle w:val="ySubsection"/>
      </w:pPr>
      <w:r>
        <w:tab/>
        <w:t>(3)</w:t>
      </w:r>
      <w:r>
        <w:tab/>
        <w:t>Subclause (1) does not apply to clause 17, 18, 20 or 21.</w:t>
      </w:r>
    </w:p>
    <w:p>
      <w:pPr>
        <w:pStyle w:val="yFootnotesection"/>
      </w:pPr>
      <w:r>
        <w:tab/>
        <w:t>[Clause 31 inserted in Gazette 24 May 2002 p. 2616.]</w:t>
      </w:r>
    </w:p>
    <w:p>
      <w:pPr>
        <w:pStyle w:val="yHeading3"/>
        <w:outlineLvl w:val="9"/>
      </w:pPr>
      <w:bookmarkStart w:id="901" w:name="_Toc189883162"/>
      <w:bookmarkStart w:id="902" w:name="_Toc200259858"/>
      <w:bookmarkStart w:id="903" w:name="_Toc200260064"/>
      <w:bookmarkStart w:id="904" w:name="_Toc200260270"/>
      <w:bookmarkStart w:id="905" w:name="_Toc200422130"/>
      <w:bookmarkStart w:id="906" w:name="_Toc201976046"/>
      <w:bookmarkStart w:id="907" w:name="_Toc201982179"/>
      <w:bookmarkStart w:id="908" w:name="_Toc202080944"/>
      <w:bookmarkStart w:id="909" w:name="_Toc202168453"/>
      <w:bookmarkStart w:id="910" w:name="_Toc203454018"/>
      <w:bookmarkStart w:id="911" w:name="_Toc268269942"/>
      <w:bookmarkStart w:id="912" w:name="_Toc274143605"/>
      <w:bookmarkStart w:id="913" w:name="_Toc278969755"/>
      <w:r>
        <w:rPr>
          <w:rStyle w:val="CharSDivNo"/>
        </w:rPr>
        <w:t>Division 7</w:t>
      </w:r>
      <w:r>
        <w:t xml:space="preserve"> — </w:t>
      </w:r>
      <w:r>
        <w:rPr>
          <w:rStyle w:val="CharSDivText"/>
        </w:rPr>
        <w:t>Miscellaneous</w:t>
      </w:r>
      <w:bookmarkEnd w:id="901"/>
      <w:bookmarkEnd w:id="902"/>
      <w:bookmarkEnd w:id="903"/>
      <w:bookmarkEnd w:id="904"/>
      <w:bookmarkEnd w:id="905"/>
      <w:bookmarkEnd w:id="906"/>
      <w:bookmarkEnd w:id="907"/>
      <w:bookmarkEnd w:id="908"/>
      <w:bookmarkEnd w:id="909"/>
      <w:bookmarkEnd w:id="910"/>
      <w:bookmarkEnd w:id="911"/>
      <w:bookmarkEnd w:id="912"/>
      <w:bookmarkEnd w:id="913"/>
    </w:p>
    <w:p>
      <w:pPr>
        <w:pStyle w:val="yFootnoteheading"/>
      </w:pPr>
      <w:r>
        <w:rPr>
          <w:snapToGrid w:val="0"/>
        </w:rPr>
        <w:tab/>
        <w:t>[Heading inserted in Gazette 24 May 2002 p. 2616.]</w:t>
      </w:r>
    </w:p>
    <w:p>
      <w:pPr>
        <w:pStyle w:val="yHeading5"/>
        <w:outlineLvl w:val="9"/>
      </w:pPr>
      <w:bookmarkStart w:id="914" w:name="_Toc278969756"/>
      <w:bookmarkStart w:id="915" w:name="_Toc274143606"/>
      <w:r>
        <w:rPr>
          <w:rStyle w:val="CharSClsNo"/>
        </w:rPr>
        <w:t>35</w:t>
      </w:r>
      <w:r>
        <w:t>.</w:t>
      </w:r>
      <w:r>
        <w:tab/>
        <w:t xml:space="preserve">Deadline for reporting to the Minister </w:t>
      </w:r>
      <w:r>
        <w:rPr>
          <w:i/>
        </w:rPr>
        <w:t>(cf. Corporations Act s. 315)</w:t>
      </w:r>
      <w:bookmarkEnd w:id="914"/>
      <w:bookmarkEnd w:id="915"/>
    </w:p>
    <w:p>
      <w:pPr>
        <w:pStyle w:val="ySubsection"/>
      </w:pPr>
      <w:r>
        <w:tab/>
        <w:t>(1)</w:t>
      </w:r>
      <w:r>
        <w:tab/>
        <w:t xml:space="preserve">In subclause (2) — </w:t>
      </w:r>
    </w:p>
    <w:p>
      <w:pPr>
        <w:pStyle w:val="yDefstart"/>
      </w:pPr>
      <w:r>
        <w:tab/>
      </w:r>
      <w:r>
        <w:rPr>
          <w:rStyle w:val="CharDefText"/>
        </w:rPr>
        <w:t>the prescribed day</w:t>
      </w:r>
      <w:r>
        <w:tab/>
      </w:r>
      <w:r>
        <w:rPr>
          <w:b/>
        </w:rPr>
        <w:t xml:space="preserve"> </w:t>
      </w:r>
      <w:r>
        <w:t>means the 5th working day after receipt by the directors under clause 16 of the Auditor General’s report.</w:t>
      </w:r>
    </w:p>
    <w:p>
      <w:pPr>
        <w:pStyle w:val="ySubsection"/>
      </w:pPr>
      <w:r>
        <w:tab/>
        <w:t>(2)</w:t>
      </w:r>
      <w:r>
        <w:tab/>
        <w:t>The corporation shall as soon as practicable but not later than the close of business on the prescribed day in each year send to the Minister a copy of the annual report required by section 60.</w:t>
      </w:r>
    </w:p>
    <w:p>
      <w:pPr>
        <w:pStyle w:val="yFootnotesection"/>
      </w:pPr>
      <w:r>
        <w:tab/>
        <w:t>[Clause 35 inserted in Gazette 24 May 2002 p. 2616.]</w:t>
      </w:r>
    </w:p>
    <w:p>
      <w:pPr>
        <w:pStyle w:val="yHeading5"/>
        <w:outlineLvl w:val="9"/>
      </w:pPr>
      <w:bookmarkStart w:id="916" w:name="_Toc278969757"/>
      <w:bookmarkStart w:id="917" w:name="_Toc274143607"/>
      <w:r>
        <w:rPr>
          <w:rStyle w:val="CharSClsNo"/>
        </w:rPr>
        <w:t>36</w:t>
      </w:r>
      <w:r>
        <w:t>.</w:t>
      </w:r>
      <w:r>
        <w:tab/>
        <w:t xml:space="preserve">Annual financial reporting to the Minister </w:t>
      </w:r>
      <w:r>
        <w:rPr>
          <w:i/>
        </w:rPr>
        <w:t>(cf. Corporations Act s. 314)</w:t>
      </w:r>
      <w:bookmarkEnd w:id="916"/>
      <w:bookmarkEnd w:id="917"/>
    </w:p>
    <w:p>
      <w:pPr>
        <w:pStyle w:val="ySubsection"/>
      </w:pPr>
      <w:r>
        <w:tab/>
      </w:r>
      <w:r>
        <w:tab/>
        <w:t xml:space="preserve">The annual report of the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Footnotesection"/>
      </w:pPr>
      <w:r>
        <w:tab/>
        <w:t>[Clause 36 inserted in Gazette 24 May 2002 p. 2616.]</w:t>
      </w:r>
    </w:p>
    <w:p>
      <w:pPr>
        <w:pStyle w:val="yHeading5"/>
        <w:outlineLvl w:val="9"/>
      </w:pPr>
      <w:bookmarkStart w:id="918" w:name="_Toc278969758"/>
      <w:bookmarkStart w:id="919" w:name="_Toc274143608"/>
      <w:r>
        <w:rPr>
          <w:rStyle w:val="CharSClsNo"/>
        </w:rPr>
        <w:t>38</w:t>
      </w:r>
      <w:r>
        <w:t>.</w:t>
      </w:r>
      <w:r>
        <w:tab/>
        <w:t>Auditor General may submit interim report</w:t>
      </w:r>
      <w:bookmarkEnd w:id="918"/>
      <w:bookmarkEnd w:id="919"/>
    </w:p>
    <w:p>
      <w:pPr>
        <w:pStyle w:val="ySubsection"/>
      </w:pPr>
      <w:r>
        <w:tab/>
        <w:t>(1)</w:t>
      </w:r>
      <w:r>
        <w:tab/>
        <w:t>If the Auditor General cannot complete the audit of the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the corporation.</w:t>
      </w:r>
    </w:p>
    <w:p>
      <w:pPr>
        <w:pStyle w:val="yFootnotesection"/>
      </w:pPr>
      <w:r>
        <w:tab/>
        <w:t>[Clause 38 inserted in Gazette 24 May 2002 p. 2616-17; amended by  No. 77 of 2006 s. 17.]</w:t>
      </w:r>
    </w:p>
    <w:p>
      <w:pPr>
        <w:pStyle w:val="yHeading5"/>
        <w:outlineLvl w:val="9"/>
      </w:pPr>
      <w:bookmarkStart w:id="920" w:name="_Toc278969759"/>
      <w:bookmarkStart w:id="921" w:name="_Toc274143609"/>
      <w:r>
        <w:rPr>
          <w:rStyle w:val="CharSClsNo"/>
        </w:rPr>
        <w:t>45</w:t>
      </w:r>
      <w:r>
        <w:t>.</w:t>
      </w:r>
      <w:r>
        <w:tab/>
        <w:t>Auditor General’s duty to report breach of Sch. 3 and powers</w:t>
      </w:r>
      <w:bookmarkEnd w:id="920"/>
      <w:bookmarkEnd w:id="921"/>
    </w:p>
    <w:p>
      <w:pPr>
        <w:pStyle w:val="ySubsection"/>
        <w:keepNext/>
      </w:pPr>
      <w:r>
        <w:tab/>
        <w:t>(1)</w:t>
      </w:r>
      <w:r>
        <w:tab/>
        <w:t xml:space="preserve">If the Auditor General in the course of the performance of duties as auditor of the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the corporation as if it were a statutory authority named in Schedule 1 to the </w:t>
      </w:r>
      <w:r>
        <w:rPr>
          <w:i/>
          <w:iCs/>
        </w:rPr>
        <w:t>Financial Management Act 2006</w:t>
      </w:r>
      <w:r>
        <w:t>.</w:t>
      </w:r>
    </w:p>
    <w:p>
      <w:pPr>
        <w:pStyle w:val="yFootnotesection"/>
      </w:pPr>
      <w:r>
        <w:tab/>
        <w:t>[Clause 45 inserted in Gazette 24 May 2002 p. 2617; amended by No. 77 of 2006 s. 17.]</w:t>
      </w:r>
    </w:p>
    <w:p>
      <w:pPr>
        <w:pStyle w:val="yScheduleHeading"/>
        <w:sectPr>
          <w:headerReference w:type="even" r:id="rId26"/>
          <w:headerReference w:type="default" r:id="rId27"/>
          <w:pgSz w:w="11906" w:h="16838" w:code="9"/>
          <w:pgMar w:top="2381" w:right="2409" w:bottom="3543" w:left="2409" w:header="720" w:footer="3380" w:gutter="0"/>
          <w:cols w:space="720"/>
          <w:noEndnote/>
          <w:docGrid w:linePitch="326"/>
        </w:sectPr>
      </w:pPr>
      <w:bookmarkStart w:id="922" w:name="_Toc189883167"/>
    </w:p>
    <w:p>
      <w:pPr>
        <w:pStyle w:val="yScheduleHeading"/>
      </w:pPr>
      <w:bookmarkStart w:id="923" w:name="_Toc200259863"/>
      <w:bookmarkStart w:id="924" w:name="_Toc200260069"/>
      <w:bookmarkStart w:id="925" w:name="_Toc200260275"/>
      <w:bookmarkStart w:id="926" w:name="_Toc200422135"/>
      <w:bookmarkStart w:id="927" w:name="_Toc201976051"/>
      <w:bookmarkStart w:id="928" w:name="_Toc201982184"/>
      <w:bookmarkStart w:id="929" w:name="_Toc202080949"/>
      <w:bookmarkStart w:id="930" w:name="_Toc202168458"/>
      <w:bookmarkStart w:id="931" w:name="_Toc203454023"/>
      <w:bookmarkStart w:id="932" w:name="_Toc268269947"/>
      <w:bookmarkStart w:id="933" w:name="_Toc274143610"/>
      <w:bookmarkStart w:id="934" w:name="_Toc278969760"/>
      <w:r>
        <w:rPr>
          <w:rStyle w:val="CharSchNo"/>
        </w:rPr>
        <w:t>Schedule 4</w:t>
      </w:r>
      <w:bookmarkEnd w:id="922"/>
      <w:bookmarkEnd w:id="923"/>
      <w:bookmarkEnd w:id="924"/>
      <w:bookmarkEnd w:id="925"/>
      <w:bookmarkEnd w:id="926"/>
      <w:bookmarkEnd w:id="927"/>
      <w:bookmarkEnd w:id="928"/>
      <w:bookmarkEnd w:id="929"/>
      <w:bookmarkEnd w:id="930"/>
      <w:bookmarkEnd w:id="931"/>
      <w:r>
        <w:t> — </w:t>
      </w:r>
      <w:r>
        <w:rPr>
          <w:rStyle w:val="CharSchText"/>
        </w:rPr>
        <w:t>Provisions to be included in articles of association of subsidiaries</w:t>
      </w:r>
      <w:bookmarkEnd w:id="932"/>
      <w:bookmarkEnd w:id="933"/>
      <w:bookmarkEnd w:id="934"/>
    </w:p>
    <w:p>
      <w:pPr>
        <w:pStyle w:val="yShoulderClause"/>
        <w:rPr>
          <w:snapToGrid w:val="0"/>
        </w:rPr>
      </w:pPr>
      <w:r>
        <w:rPr>
          <w:snapToGrid w:val="0"/>
        </w:rPr>
        <w:t>[s. 31]</w:t>
      </w:r>
    </w:p>
    <w:p>
      <w:pPr>
        <w:pStyle w:val="yFootnoteheading"/>
        <w:rPr>
          <w:rStyle w:val="CharSClsNo"/>
        </w:rPr>
      </w:pPr>
      <w:r>
        <w:tab/>
        <w:t>[Heading amended by No. 19 of 2010 s. 4.]</w:t>
      </w:r>
    </w:p>
    <w:p>
      <w:pPr>
        <w:pStyle w:val="yHeading5"/>
        <w:outlineLvl w:val="9"/>
        <w:rPr>
          <w:snapToGrid w:val="0"/>
        </w:rPr>
      </w:pPr>
      <w:bookmarkStart w:id="935" w:name="_Toc278969761"/>
      <w:bookmarkStart w:id="936" w:name="_Toc274143611"/>
      <w:r>
        <w:rPr>
          <w:rStyle w:val="CharSClsNo"/>
        </w:rPr>
        <w:t>1</w:t>
      </w:r>
      <w:r>
        <w:rPr>
          <w:snapToGrid w:val="0"/>
        </w:rPr>
        <w:t>.</w:t>
      </w:r>
      <w:r>
        <w:rPr>
          <w:snapToGrid w:val="0"/>
        </w:rPr>
        <w:tab/>
        <w:t>Disposal of shares</w:t>
      </w:r>
      <w:bookmarkEnd w:id="935"/>
      <w:bookmarkEnd w:id="936"/>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937" w:name="_Toc278969762"/>
      <w:bookmarkStart w:id="938" w:name="_Toc274143612"/>
      <w:r>
        <w:rPr>
          <w:rStyle w:val="CharSClsNo"/>
        </w:rPr>
        <w:t>2</w:t>
      </w:r>
      <w:r>
        <w:rPr>
          <w:snapToGrid w:val="0"/>
        </w:rPr>
        <w:t>.</w:t>
      </w:r>
      <w:r>
        <w:rPr>
          <w:snapToGrid w:val="0"/>
        </w:rPr>
        <w:tab/>
        <w:t>Directors</w:t>
      </w:r>
      <w:bookmarkEnd w:id="937"/>
      <w:bookmarkEnd w:id="938"/>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The board of the subsidiary is accountable to the Minister in the manner set out in Part 4 and in the memorandum and articles of association of the subsidiary.</w:t>
      </w:r>
    </w:p>
    <w:p>
      <w:pPr>
        <w:pStyle w:val="yHeading5"/>
        <w:outlineLvl w:val="9"/>
        <w:rPr>
          <w:snapToGrid w:val="0"/>
        </w:rPr>
      </w:pPr>
      <w:bookmarkStart w:id="939" w:name="_Toc278969763"/>
      <w:bookmarkStart w:id="940" w:name="_Toc274143613"/>
      <w:r>
        <w:rPr>
          <w:rStyle w:val="CharSClsNo"/>
        </w:rPr>
        <w:t>3</w:t>
      </w:r>
      <w:r>
        <w:rPr>
          <w:snapToGrid w:val="0"/>
        </w:rPr>
        <w:t>.</w:t>
      </w:r>
      <w:r>
        <w:rPr>
          <w:snapToGrid w:val="0"/>
        </w:rPr>
        <w:tab/>
        <w:t>Further shares</w:t>
      </w:r>
      <w:bookmarkEnd w:id="939"/>
      <w:bookmarkEnd w:id="940"/>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941" w:name="_Toc278969764"/>
      <w:bookmarkStart w:id="942" w:name="_Toc274143614"/>
      <w:r>
        <w:rPr>
          <w:rStyle w:val="CharSClsNo"/>
        </w:rPr>
        <w:t>4</w:t>
      </w:r>
      <w:r>
        <w:rPr>
          <w:snapToGrid w:val="0"/>
        </w:rPr>
        <w:t>.</w:t>
      </w:r>
      <w:r>
        <w:rPr>
          <w:snapToGrid w:val="0"/>
        </w:rPr>
        <w:tab/>
        <w:t>Subsidiaries of subsidiary</w:t>
      </w:r>
      <w:bookmarkEnd w:id="941"/>
      <w:bookmarkEnd w:id="942"/>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The subsidiary must ensure that the memorandum and articles of association of each of its subsidiaries at all times comply with this Act.</w:t>
      </w:r>
    </w:p>
    <w:p>
      <w:pPr>
        <w:pStyle w:val="ySubsection"/>
        <w:rPr>
          <w:snapToGrid w:val="0"/>
        </w:rPr>
      </w:pPr>
      <w:r>
        <w:rPr>
          <w:snapToGrid w:val="0"/>
        </w:rPr>
        <w:tab/>
        <w:t>(3)</w:t>
      </w:r>
      <w:r>
        <w:rPr>
          <w:snapToGrid w:val="0"/>
        </w:rPr>
        <w:tab/>
        <w:t>The subsidiary must, to the maximum extent practicable, ensure that each of its subsidiaries complies with its memorandum and articles of association and with the requirements of this Act.</w:t>
      </w:r>
    </w:p>
    <w:p>
      <w:pPr>
        <w:sectPr>
          <w:headerReference w:type="even" r:id="rId28"/>
          <w:headerReference w:type="default" r:id="rId29"/>
          <w:pgSz w:w="11906" w:h="16838" w:code="9"/>
          <w:pgMar w:top="2381" w:right="2409" w:bottom="3543" w:left="2409" w:header="720" w:footer="3380" w:gutter="0"/>
          <w:cols w:space="720"/>
          <w:noEndnote/>
          <w:docGrid w:linePitch="326"/>
        </w:sectPr>
      </w:pPr>
    </w:p>
    <w:p>
      <w:pPr>
        <w:pStyle w:val="nHeading2"/>
      </w:pPr>
      <w:bookmarkStart w:id="943" w:name="_Toc189883173"/>
      <w:bookmarkStart w:id="944" w:name="_Toc200259869"/>
      <w:bookmarkStart w:id="945" w:name="_Toc200260075"/>
      <w:bookmarkStart w:id="946" w:name="_Toc200260281"/>
      <w:bookmarkStart w:id="947" w:name="_Toc200422141"/>
      <w:bookmarkStart w:id="948" w:name="_Toc201976057"/>
      <w:bookmarkStart w:id="949" w:name="_Toc201982190"/>
      <w:bookmarkStart w:id="950" w:name="_Toc202080955"/>
      <w:bookmarkStart w:id="951" w:name="_Toc202168464"/>
      <w:bookmarkStart w:id="952" w:name="_Toc203454029"/>
      <w:bookmarkStart w:id="953" w:name="_Toc268269952"/>
      <w:bookmarkStart w:id="954" w:name="_Toc274143615"/>
      <w:bookmarkStart w:id="955" w:name="_Toc278969765"/>
      <w:r>
        <w:t>Notes</w:t>
      </w:r>
      <w:bookmarkEnd w:id="943"/>
      <w:bookmarkEnd w:id="944"/>
      <w:bookmarkEnd w:id="945"/>
      <w:bookmarkEnd w:id="946"/>
      <w:bookmarkEnd w:id="947"/>
      <w:bookmarkEnd w:id="948"/>
      <w:bookmarkEnd w:id="949"/>
      <w:bookmarkEnd w:id="950"/>
      <w:bookmarkEnd w:id="951"/>
      <w:bookmarkEnd w:id="952"/>
      <w:bookmarkEnd w:id="953"/>
      <w:bookmarkEnd w:id="954"/>
      <w:bookmarkEnd w:id="955"/>
    </w:p>
    <w:p>
      <w:pPr>
        <w:pStyle w:val="nSubsection"/>
        <w:rPr>
          <w:snapToGrid w:val="0"/>
        </w:rPr>
      </w:pPr>
      <w:r>
        <w:rPr>
          <w:snapToGrid w:val="0"/>
          <w:vertAlign w:val="superscript"/>
        </w:rPr>
        <w:t>1</w:t>
      </w:r>
      <w:r>
        <w:rPr>
          <w:snapToGrid w:val="0"/>
        </w:rPr>
        <w:tab/>
        <w:t xml:space="preserve">This is a compilation of the </w:t>
      </w:r>
      <w:r>
        <w:rPr>
          <w:i/>
          <w:noProof/>
          <w:snapToGrid w:val="0"/>
        </w:rPr>
        <w:t>Water Corporation Act 1995</w:t>
      </w:r>
      <w:r>
        <w:rPr>
          <w:snapToGrid w:val="0"/>
        </w:rPr>
        <w:t xml:space="preserve"> and includes the amendments made by the other written laws referred to in the following table</w:t>
      </w:r>
      <w:del w:id="956" w:author="svcMRProcess" w:date="2018-09-09T23:54:00Z">
        <w:r>
          <w:rPr>
            <w:snapToGrid w:val="0"/>
          </w:rPr>
          <w:delText xml:space="preserve"> </w:delText>
        </w:r>
        <w:r>
          <w:rPr>
            <w:snapToGrid w:val="0"/>
            <w:vertAlign w:val="superscript"/>
          </w:rPr>
          <w:delText>1a</w:delText>
        </w:r>
      </w:del>
      <w:r>
        <w:rPr>
          <w:snapToGrid w:val="0"/>
        </w:rPr>
        <w:t>.  The table also contains information about any reprint.</w:t>
      </w:r>
    </w:p>
    <w:p>
      <w:pPr>
        <w:pStyle w:val="nHeading3"/>
        <w:rPr>
          <w:snapToGrid w:val="0"/>
        </w:rPr>
      </w:pPr>
      <w:bookmarkStart w:id="957" w:name="_Toc278969766"/>
      <w:bookmarkStart w:id="958" w:name="_Toc274143616"/>
      <w:r>
        <w:rPr>
          <w:snapToGrid w:val="0"/>
        </w:rPr>
        <w:t>Compilation table</w:t>
      </w:r>
      <w:bookmarkEnd w:id="957"/>
      <w:bookmarkEnd w:id="958"/>
    </w:p>
    <w:tbl>
      <w:tblPr>
        <w:tblW w:w="0" w:type="auto"/>
        <w:tblInd w:w="28" w:type="dxa"/>
        <w:tblLayout w:type="fixed"/>
        <w:tblCellMar>
          <w:left w:w="56" w:type="dxa"/>
          <w:right w:w="56" w:type="dxa"/>
        </w:tblCellMar>
        <w:tblLook w:val="0000" w:firstRow="0" w:lastRow="0" w:firstColumn="0" w:lastColumn="0" w:noHBand="0" w:noVBand="0"/>
      </w:tblPr>
      <w:tblGrid>
        <w:gridCol w:w="2278"/>
        <w:gridCol w:w="1139"/>
        <w:gridCol w:w="1136"/>
        <w:gridCol w:w="2572"/>
      </w:tblGrid>
      <w:tr>
        <w:trPr>
          <w:cantSplit/>
          <w:tblHeader/>
        </w:trPr>
        <w:tc>
          <w:tcPr>
            <w:tcW w:w="227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9"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7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78" w:type="dxa"/>
          </w:tcPr>
          <w:p>
            <w:pPr>
              <w:pStyle w:val="nTable"/>
              <w:spacing w:after="40"/>
              <w:ind w:right="113"/>
              <w:rPr>
                <w:sz w:val="19"/>
              </w:rPr>
            </w:pPr>
            <w:r>
              <w:rPr>
                <w:i/>
                <w:sz w:val="19"/>
              </w:rPr>
              <w:t>Water Corporation Act 1995</w:t>
            </w:r>
          </w:p>
        </w:tc>
        <w:tc>
          <w:tcPr>
            <w:tcW w:w="1139" w:type="dxa"/>
          </w:tcPr>
          <w:p>
            <w:pPr>
              <w:pStyle w:val="nTable"/>
              <w:spacing w:after="40"/>
              <w:rPr>
                <w:sz w:val="19"/>
              </w:rPr>
            </w:pPr>
            <w:r>
              <w:rPr>
                <w:sz w:val="19"/>
              </w:rPr>
              <w:t>70 of 1995</w:t>
            </w:r>
          </w:p>
        </w:tc>
        <w:tc>
          <w:tcPr>
            <w:tcW w:w="1136" w:type="dxa"/>
          </w:tcPr>
          <w:p>
            <w:pPr>
              <w:pStyle w:val="nTable"/>
              <w:spacing w:after="40"/>
              <w:rPr>
                <w:sz w:val="19"/>
              </w:rPr>
            </w:pPr>
            <w:r>
              <w:rPr>
                <w:sz w:val="19"/>
              </w:rPr>
              <w:t>27 Dec 1995</w:t>
            </w:r>
          </w:p>
        </w:tc>
        <w:tc>
          <w:tcPr>
            <w:tcW w:w="2572" w:type="dxa"/>
          </w:tcPr>
          <w:p>
            <w:pPr>
              <w:pStyle w:val="nTable"/>
              <w:spacing w:after="40"/>
              <w:rPr>
                <w:sz w:val="19"/>
              </w:rPr>
            </w:pPr>
            <w:r>
              <w:rPr>
                <w:sz w:val="19"/>
              </w:rPr>
              <w:t xml:space="preserve">1 Jan 1996 (see s. 2 and </w:t>
            </w:r>
            <w:r>
              <w:rPr>
                <w:i/>
                <w:sz w:val="19"/>
              </w:rPr>
              <w:t>Gazette</w:t>
            </w:r>
            <w:r>
              <w:rPr>
                <w:sz w:val="19"/>
              </w:rPr>
              <w:t xml:space="preserve"> 29 Dec 1995 p. 6291)</w:t>
            </w:r>
          </w:p>
        </w:tc>
      </w:tr>
      <w:tr>
        <w:trPr>
          <w:cantSplit/>
        </w:trPr>
        <w:tc>
          <w:tcPr>
            <w:tcW w:w="2278" w:type="dxa"/>
          </w:tcPr>
          <w:p>
            <w:pPr>
              <w:pStyle w:val="nTable"/>
              <w:spacing w:after="40"/>
              <w:ind w:right="113"/>
              <w:rPr>
                <w:sz w:val="19"/>
              </w:rPr>
            </w:pPr>
            <w:r>
              <w:rPr>
                <w:i/>
                <w:sz w:val="19"/>
              </w:rPr>
              <w:t>State Enterprises (Commonwealth Tax Equivalents) Act 1996</w:t>
            </w:r>
            <w:r>
              <w:rPr>
                <w:sz w:val="19"/>
              </w:rPr>
              <w:t xml:space="preserve"> s. 10(4)</w:t>
            </w:r>
          </w:p>
        </w:tc>
        <w:tc>
          <w:tcPr>
            <w:tcW w:w="1139" w:type="dxa"/>
          </w:tcPr>
          <w:p>
            <w:pPr>
              <w:pStyle w:val="nTable"/>
              <w:spacing w:after="40"/>
              <w:rPr>
                <w:sz w:val="19"/>
              </w:rPr>
            </w:pPr>
            <w:r>
              <w:rPr>
                <w:sz w:val="19"/>
              </w:rPr>
              <w:t>55 of 1996</w:t>
            </w:r>
          </w:p>
        </w:tc>
        <w:tc>
          <w:tcPr>
            <w:tcW w:w="1136" w:type="dxa"/>
          </w:tcPr>
          <w:p>
            <w:pPr>
              <w:pStyle w:val="nTable"/>
              <w:spacing w:after="40"/>
              <w:rPr>
                <w:sz w:val="19"/>
              </w:rPr>
            </w:pPr>
            <w:r>
              <w:rPr>
                <w:sz w:val="19"/>
              </w:rPr>
              <w:t>11 Nov 1996</w:t>
            </w:r>
          </w:p>
        </w:tc>
        <w:tc>
          <w:tcPr>
            <w:tcW w:w="2572" w:type="dxa"/>
          </w:tcPr>
          <w:p>
            <w:pPr>
              <w:pStyle w:val="nTable"/>
              <w:spacing w:after="40"/>
              <w:rPr>
                <w:sz w:val="19"/>
              </w:rPr>
            </w:pPr>
            <w:r>
              <w:rPr>
                <w:sz w:val="19"/>
              </w:rPr>
              <w:t>1 Jul 1996 (see s. 2 and 3(3))</w:t>
            </w:r>
          </w:p>
        </w:tc>
      </w:tr>
      <w:tr>
        <w:trPr>
          <w:cantSplit/>
        </w:trPr>
        <w:tc>
          <w:tcPr>
            <w:tcW w:w="2278" w:type="dxa"/>
          </w:tcPr>
          <w:p>
            <w:pPr>
              <w:pStyle w:val="nTable"/>
              <w:spacing w:after="40"/>
              <w:ind w:right="113"/>
              <w:rPr>
                <w:sz w:val="19"/>
              </w:rPr>
            </w:pPr>
            <w:r>
              <w:rPr>
                <w:i/>
                <w:sz w:val="19"/>
              </w:rPr>
              <w:t>Statutes (Repeals and Minor Amendments) Act (No. 2) 1998</w:t>
            </w:r>
            <w:r>
              <w:rPr>
                <w:sz w:val="19"/>
              </w:rPr>
              <w:t xml:space="preserve"> s. 73</w:t>
            </w:r>
          </w:p>
        </w:tc>
        <w:tc>
          <w:tcPr>
            <w:tcW w:w="1139"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72" w:type="dxa"/>
          </w:tcPr>
          <w:p>
            <w:pPr>
              <w:pStyle w:val="nTable"/>
              <w:spacing w:after="40"/>
              <w:rPr>
                <w:sz w:val="19"/>
              </w:rPr>
            </w:pPr>
            <w:r>
              <w:rPr>
                <w:sz w:val="19"/>
              </w:rPr>
              <w:t>30 Apr 1998 (see s. 2(1))</w:t>
            </w:r>
          </w:p>
        </w:tc>
      </w:tr>
      <w:tr>
        <w:trPr>
          <w:cantSplit/>
        </w:trPr>
        <w:tc>
          <w:tcPr>
            <w:tcW w:w="2278" w:type="dxa"/>
          </w:tcPr>
          <w:p>
            <w:pPr>
              <w:pStyle w:val="nTable"/>
              <w:spacing w:after="40"/>
              <w:ind w:right="113"/>
              <w:rPr>
                <w:sz w:val="19"/>
              </w:rPr>
            </w:pPr>
            <w:r>
              <w:rPr>
                <w:i/>
                <w:sz w:val="19"/>
              </w:rPr>
              <w:t>Acts Amendment and Repeal (Financial Sector Reform) Act 1999</w:t>
            </w:r>
            <w:r>
              <w:rPr>
                <w:sz w:val="19"/>
              </w:rPr>
              <w:t xml:space="preserve"> s. 110</w:t>
            </w:r>
          </w:p>
        </w:tc>
        <w:tc>
          <w:tcPr>
            <w:tcW w:w="1139" w:type="dxa"/>
          </w:tcPr>
          <w:p>
            <w:pPr>
              <w:pStyle w:val="nTable"/>
              <w:spacing w:after="40"/>
              <w:rPr>
                <w:sz w:val="19"/>
              </w:rPr>
            </w:pPr>
            <w:r>
              <w:rPr>
                <w:sz w:val="19"/>
              </w:rPr>
              <w:t>26 of 1999</w:t>
            </w:r>
          </w:p>
        </w:tc>
        <w:tc>
          <w:tcPr>
            <w:tcW w:w="1136" w:type="dxa"/>
          </w:tcPr>
          <w:p>
            <w:pPr>
              <w:pStyle w:val="nTable"/>
              <w:spacing w:after="40"/>
              <w:rPr>
                <w:sz w:val="19"/>
              </w:rPr>
            </w:pPr>
            <w:r>
              <w:rPr>
                <w:sz w:val="19"/>
              </w:rPr>
              <w:t>29 Jun 1999</w:t>
            </w:r>
          </w:p>
        </w:tc>
        <w:tc>
          <w:tcPr>
            <w:tcW w:w="2572"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78" w:type="dxa"/>
          </w:tcPr>
          <w:p>
            <w:pPr>
              <w:pStyle w:val="nTable"/>
              <w:spacing w:after="40"/>
              <w:ind w:right="113"/>
              <w:rPr>
                <w:i/>
                <w:sz w:val="19"/>
              </w:rPr>
            </w:pPr>
            <w:r>
              <w:rPr>
                <w:i/>
                <w:sz w:val="19"/>
              </w:rPr>
              <w:t>State Superannuation (Transitional and Consequential Provisions) Act 2000</w:t>
            </w:r>
            <w:r>
              <w:rPr>
                <w:sz w:val="19"/>
              </w:rPr>
              <w:t xml:space="preserve"> s. 70</w:t>
            </w:r>
          </w:p>
        </w:tc>
        <w:tc>
          <w:tcPr>
            <w:tcW w:w="1139" w:type="dxa"/>
          </w:tcPr>
          <w:p>
            <w:pPr>
              <w:pStyle w:val="nTable"/>
              <w:spacing w:after="40"/>
              <w:rPr>
                <w:sz w:val="19"/>
              </w:rPr>
            </w:pPr>
            <w:r>
              <w:rPr>
                <w:sz w:val="19"/>
              </w:rPr>
              <w:t>43 of 2000</w:t>
            </w:r>
          </w:p>
        </w:tc>
        <w:tc>
          <w:tcPr>
            <w:tcW w:w="1136" w:type="dxa"/>
          </w:tcPr>
          <w:p>
            <w:pPr>
              <w:pStyle w:val="nTable"/>
              <w:spacing w:after="40"/>
              <w:rPr>
                <w:sz w:val="19"/>
              </w:rPr>
            </w:pPr>
            <w:r>
              <w:rPr>
                <w:sz w:val="19"/>
              </w:rPr>
              <w:t>2 Nov 2000</w:t>
            </w:r>
          </w:p>
        </w:tc>
        <w:tc>
          <w:tcPr>
            <w:tcW w:w="2572"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7125" w:type="dxa"/>
            <w:gridSpan w:val="4"/>
          </w:tcPr>
          <w:p>
            <w:pPr>
              <w:pStyle w:val="nTable"/>
              <w:spacing w:after="40"/>
              <w:rPr>
                <w:sz w:val="19"/>
              </w:rPr>
            </w:pPr>
            <w:r>
              <w:rPr>
                <w:b/>
                <w:sz w:val="19"/>
              </w:rPr>
              <w:t xml:space="preserve">Reprint of the </w:t>
            </w:r>
            <w:r>
              <w:rPr>
                <w:b/>
                <w:i/>
                <w:sz w:val="19"/>
              </w:rPr>
              <w:t>Water Corporation Act 1995</w:t>
            </w:r>
            <w:r>
              <w:rPr>
                <w:b/>
                <w:sz w:val="19"/>
              </w:rPr>
              <w:t xml:space="preserve"> as at 4 May 2001 </w:t>
            </w:r>
            <w:r>
              <w:rPr>
                <w:sz w:val="19"/>
              </w:rPr>
              <w:t>(includes amendments listed above)</w:t>
            </w:r>
          </w:p>
        </w:tc>
      </w:tr>
      <w:tr>
        <w:trPr>
          <w:cantSplit/>
        </w:trPr>
        <w:tc>
          <w:tcPr>
            <w:tcW w:w="2278" w:type="dxa"/>
          </w:tcPr>
          <w:p>
            <w:pPr>
              <w:pStyle w:val="nTable"/>
              <w:spacing w:after="40"/>
              <w:ind w:right="113"/>
              <w:rPr>
                <w:i/>
                <w:sz w:val="19"/>
              </w:rPr>
            </w:pPr>
            <w:r>
              <w:rPr>
                <w:i/>
                <w:sz w:val="19"/>
              </w:rPr>
              <w:t>Corporations (Consequential Amendments) Act 2001</w:t>
            </w:r>
            <w:r>
              <w:rPr>
                <w:sz w:val="19"/>
              </w:rPr>
              <w:t xml:space="preserve"> Pt. 54</w:t>
            </w:r>
          </w:p>
        </w:tc>
        <w:tc>
          <w:tcPr>
            <w:tcW w:w="1139"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72"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4553" w:type="dxa"/>
            <w:gridSpan w:val="3"/>
          </w:tcPr>
          <w:p>
            <w:pPr>
              <w:pStyle w:val="nTable"/>
              <w:spacing w:after="40"/>
              <w:rPr>
                <w:sz w:val="19"/>
              </w:rPr>
            </w:pPr>
            <w:r>
              <w:rPr>
                <w:i/>
                <w:sz w:val="19"/>
              </w:rPr>
              <w:t>Water Corporation (Act Amendment) Regulations 2002</w:t>
            </w:r>
            <w:r>
              <w:rPr>
                <w:sz w:val="19"/>
              </w:rPr>
              <w:t xml:space="preserve"> published in </w:t>
            </w:r>
            <w:r>
              <w:rPr>
                <w:i/>
                <w:sz w:val="19"/>
              </w:rPr>
              <w:t>Gazette</w:t>
            </w:r>
            <w:r>
              <w:rPr>
                <w:sz w:val="19"/>
              </w:rPr>
              <w:t xml:space="preserve"> 24 May 2002 p. 2605</w:t>
            </w:r>
            <w:r>
              <w:rPr>
                <w:sz w:val="19"/>
              </w:rPr>
              <w:noBreakHyphen/>
              <w:t>17</w:t>
            </w:r>
          </w:p>
        </w:tc>
        <w:tc>
          <w:tcPr>
            <w:tcW w:w="2572" w:type="dxa"/>
          </w:tcPr>
          <w:p>
            <w:pPr>
              <w:pStyle w:val="nTable"/>
              <w:spacing w:after="40"/>
              <w:rPr>
                <w:sz w:val="19"/>
              </w:rPr>
            </w:pPr>
            <w:r>
              <w:rPr>
                <w:sz w:val="19"/>
              </w:rPr>
              <w:t>1 Jul 2002 (see r. 2)</w:t>
            </w:r>
          </w:p>
        </w:tc>
      </w:tr>
      <w:tr>
        <w:trPr>
          <w:cantSplit/>
        </w:trPr>
        <w:tc>
          <w:tcPr>
            <w:tcW w:w="2278" w:type="dxa"/>
          </w:tcPr>
          <w:p>
            <w:pPr>
              <w:pStyle w:val="nTable"/>
              <w:spacing w:after="40"/>
              <w:ind w:right="113"/>
              <w:rPr>
                <w:sz w:val="19"/>
              </w:rPr>
            </w:pPr>
            <w:r>
              <w:rPr>
                <w:i/>
                <w:sz w:val="19"/>
              </w:rPr>
              <w:t>Labour Relations Reform Act 2002</w:t>
            </w:r>
            <w:r>
              <w:rPr>
                <w:sz w:val="19"/>
              </w:rPr>
              <w:t xml:space="preserve"> s. 27</w:t>
            </w:r>
          </w:p>
        </w:tc>
        <w:tc>
          <w:tcPr>
            <w:tcW w:w="1139" w:type="dxa"/>
          </w:tcPr>
          <w:p>
            <w:pPr>
              <w:pStyle w:val="nTable"/>
              <w:spacing w:after="40"/>
              <w:rPr>
                <w:sz w:val="19"/>
              </w:rPr>
            </w:pPr>
            <w:r>
              <w:rPr>
                <w:sz w:val="19"/>
              </w:rPr>
              <w:t>20 of 2002</w:t>
            </w:r>
          </w:p>
        </w:tc>
        <w:tc>
          <w:tcPr>
            <w:tcW w:w="1136" w:type="dxa"/>
          </w:tcPr>
          <w:p>
            <w:pPr>
              <w:pStyle w:val="nTable"/>
              <w:spacing w:after="40"/>
              <w:rPr>
                <w:sz w:val="19"/>
              </w:rPr>
            </w:pPr>
            <w:r>
              <w:rPr>
                <w:sz w:val="19"/>
              </w:rPr>
              <w:t>8 Jul 2002</w:t>
            </w:r>
          </w:p>
        </w:tc>
        <w:tc>
          <w:tcPr>
            <w:tcW w:w="2572" w:type="dxa"/>
          </w:tcPr>
          <w:p>
            <w:pPr>
              <w:pStyle w:val="nTable"/>
              <w:spacing w:after="40"/>
              <w:rPr>
                <w:sz w:val="19"/>
              </w:rPr>
            </w:pPr>
            <w:r>
              <w:rPr>
                <w:sz w:val="19"/>
              </w:rPr>
              <w:t xml:space="preserve">15 Sep 2002 (see s. 2(1) and </w:t>
            </w:r>
            <w:r>
              <w:rPr>
                <w:i/>
                <w:sz w:val="19"/>
              </w:rPr>
              <w:t>Gazette</w:t>
            </w:r>
            <w:r>
              <w:rPr>
                <w:sz w:val="19"/>
              </w:rPr>
              <w:t xml:space="preserve"> 6 Sep 2002 p. 4487)</w:t>
            </w:r>
          </w:p>
        </w:tc>
      </w:tr>
      <w:tr>
        <w:trPr>
          <w:cantSplit/>
        </w:trPr>
        <w:tc>
          <w:tcPr>
            <w:tcW w:w="2278" w:type="dxa"/>
          </w:tcPr>
          <w:p>
            <w:pPr>
              <w:pStyle w:val="nTable"/>
              <w:spacing w:after="40"/>
              <w:ind w:right="113"/>
              <w:rPr>
                <w:sz w:val="19"/>
              </w:rPr>
            </w:pPr>
            <w:r>
              <w:rPr>
                <w:i/>
                <w:sz w:val="19"/>
              </w:rPr>
              <w:t>Corporations (Consequential Amendments) Act (No. 3) 2003</w:t>
            </w:r>
            <w:r>
              <w:rPr>
                <w:sz w:val="19"/>
              </w:rPr>
              <w:t xml:space="preserve"> Pt. 16</w:t>
            </w:r>
            <w:r>
              <w:rPr>
                <w:sz w:val="19"/>
                <w:vertAlign w:val="superscript"/>
              </w:rPr>
              <w:t xml:space="preserve"> 2</w:t>
            </w:r>
          </w:p>
        </w:tc>
        <w:tc>
          <w:tcPr>
            <w:tcW w:w="1139" w:type="dxa"/>
          </w:tcPr>
          <w:p>
            <w:pPr>
              <w:pStyle w:val="nTable"/>
              <w:spacing w:after="40"/>
              <w:rPr>
                <w:sz w:val="19"/>
              </w:rPr>
            </w:pPr>
            <w:r>
              <w:rPr>
                <w:sz w:val="19"/>
              </w:rPr>
              <w:t>21 of 2003</w:t>
            </w:r>
          </w:p>
        </w:tc>
        <w:tc>
          <w:tcPr>
            <w:tcW w:w="1136" w:type="dxa"/>
          </w:tcPr>
          <w:p>
            <w:pPr>
              <w:pStyle w:val="nTable"/>
              <w:spacing w:after="40"/>
              <w:rPr>
                <w:sz w:val="19"/>
              </w:rPr>
            </w:pPr>
            <w:r>
              <w:rPr>
                <w:sz w:val="19"/>
              </w:rPr>
              <w:t>23 Apr 2003</w:t>
            </w:r>
          </w:p>
        </w:tc>
        <w:tc>
          <w:tcPr>
            <w:tcW w:w="2572" w:type="dxa"/>
          </w:tcPr>
          <w:p>
            <w:pPr>
              <w:pStyle w:val="nTable"/>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78" w:type="dxa"/>
          </w:tcPr>
          <w:p>
            <w:pPr>
              <w:pStyle w:val="nTable"/>
              <w:spacing w:after="40"/>
              <w:ind w:right="113"/>
              <w:rPr>
                <w:sz w:val="19"/>
              </w:rPr>
            </w:pPr>
            <w:r>
              <w:rPr>
                <w:i/>
                <w:sz w:val="19"/>
              </w:rPr>
              <w:t>Acts Amendment (Equality of Status) Act 2003</w:t>
            </w:r>
            <w:r>
              <w:rPr>
                <w:sz w:val="19"/>
              </w:rPr>
              <w:t xml:space="preserve"> Pt. 59</w:t>
            </w:r>
          </w:p>
        </w:tc>
        <w:tc>
          <w:tcPr>
            <w:tcW w:w="1139" w:type="dxa"/>
          </w:tcPr>
          <w:p>
            <w:pPr>
              <w:pStyle w:val="nTable"/>
              <w:spacing w:after="40"/>
              <w:rPr>
                <w:sz w:val="19"/>
              </w:rPr>
            </w:pPr>
            <w:r>
              <w:rPr>
                <w:sz w:val="19"/>
              </w:rPr>
              <w:t>28 of 2003</w:t>
            </w:r>
          </w:p>
        </w:tc>
        <w:tc>
          <w:tcPr>
            <w:tcW w:w="1136" w:type="dxa"/>
          </w:tcPr>
          <w:p>
            <w:pPr>
              <w:pStyle w:val="nTable"/>
              <w:spacing w:after="40"/>
              <w:ind w:right="-108"/>
              <w:rPr>
                <w:sz w:val="19"/>
              </w:rPr>
            </w:pPr>
            <w:r>
              <w:rPr>
                <w:sz w:val="19"/>
              </w:rPr>
              <w:t>22 May 2003</w:t>
            </w:r>
          </w:p>
        </w:tc>
        <w:tc>
          <w:tcPr>
            <w:tcW w:w="2572"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78" w:type="dxa"/>
          </w:tcPr>
          <w:p>
            <w:pPr>
              <w:pStyle w:val="nTable"/>
              <w:spacing w:after="40"/>
              <w:ind w:right="113"/>
              <w:rPr>
                <w:sz w:val="19"/>
              </w:rPr>
            </w:pPr>
            <w:r>
              <w:rPr>
                <w:i/>
                <w:sz w:val="19"/>
              </w:rPr>
              <w:t xml:space="preserve">Sentencing Legislation Amendment and Repeal Act 2003 </w:t>
            </w:r>
            <w:r>
              <w:rPr>
                <w:sz w:val="19"/>
              </w:rPr>
              <w:t>s. 103</w:t>
            </w:r>
          </w:p>
        </w:tc>
        <w:tc>
          <w:tcPr>
            <w:tcW w:w="1139"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72"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4553" w:type="dxa"/>
            <w:gridSpan w:val="3"/>
          </w:tcPr>
          <w:p>
            <w:pPr>
              <w:pStyle w:val="nTable"/>
              <w:spacing w:after="40"/>
              <w:rPr>
                <w:sz w:val="19"/>
              </w:rPr>
            </w:pPr>
            <w:r>
              <w:rPr>
                <w:i/>
                <w:sz w:val="19"/>
              </w:rPr>
              <w:t>Labour Relations Reform (Consequential Amendments) Regulations 2003</w:t>
            </w:r>
            <w:r>
              <w:rPr>
                <w:sz w:val="19"/>
              </w:rPr>
              <w:t xml:space="preserve"> r. 21 published in </w:t>
            </w:r>
            <w:r>
              <w:rPr>
                <w:i/>
                <w:sz w:val="19"/>
              </w:rPr>
              <w:t xml:space="preserve">Gazette </w:t>
            </w:r>
            <w:r>
              <w:rPr>
                <w:sz w:val="19"/>
              </w:rPr>
              <w:t>15 Aug 2003 p. 3685</w:t>
            </w:r>
            <w:r>
              <w:rPr>
                <w:sz w:val="19"/>
              </w:rPr>
              <w:noBreakHyphen/>
              <w:t>92</w:t>
            </w:r>
          </w:p>
        </w:tc>
        <w:tc>
          <w:tcPr>
            <w:tcW w:w="2572" w:type="dxa"/>
          </w:tcPr>
          <w:p>
            <w:pPr>
              <w:pStyle w:val="nTable"/>
              <w:spacing w:after="40"/>
              <w:rPr>
                <w:sz w:val="19"/>
              </w:rPr>
            </w:pPr>
            <w:r>
              <w:rPr>
                <w:sz w:val="19"/>
              </w:rPr>
              <w:t>15 Sep 2003 (see r. 2)</w:t>
            </w:r>
          </w:p>
        </w:tc>
      </w:tr>
      <w:tr>
        <w:trPr>
          <w:cantSplit/>
        </w:trPr>
        <w:tc>
          <w:tcPr>
            <w:tcW w:w="2278" w:type="dxa"/>
          </w:tcPr>
          <w:p>
            <w:pPr>
              <w:pStyle w:val="nTable"/>
              <w:spacing w:after="40"/>
              <w:ind w:right="113"/>
              <w:rPr>
                <w:sz w:val="19"/>
              </w:rPr>
            </w:pPr>
            <w:r>
              <w:rPr>
                <w:i/>
                <w:sz w:val="19"/>
              </w:rPr>
              <w:t xml:space="preserve">Economic Regulation Authority Act 2003 </w:t>
            </w:r>
            <w:r>
              <w:rPr>
                <w:sz w:val="19"/>
              </w:rPr>
              <w:t>s. 62</w:t>
            </w:r>
          </w:p>
        </w:tc>
        <w:tc>
          <w:tcPr>
            <w:tcW w:w="1139" w:type="dxa"/>
          </w:tcPr>
          <w:p>
            <w:pPr>
              <w:pStyle w:val="nTable"/>
              <w:spacing w:after="40"/>
              <w:rPr>
                <w:sz w:val="19"/>
              </w:rPr>
            </w:pPr>
            <w:r>
              <w:rPr>
                <w:sz w:val="19"/>
              </w:rPr>
              <w:t>67 of 2003</w:t>
            </w:r>
          </w:p>
        </w:tc>
        <w:tc>
          <w:tcPr>
            <w:tcW w:w="1136" w:type="dxa"/>
          </w:tcPr>
          <w:p>
            <w:pPr>
              <w:pStyle w:val="nTable"/>
              <w:spacing w:after="40"/>
              <w:rPr>
                <w:sz w:val="19"/>
              </w:rPr>
            </w:pPr>
            <w:r>
              <w:rPr>
                <w:sz w:val="19"/>
              </w:rPr>
              <w:t>5 Dec 2003</w:t>
            </w:r>
          </w:p>
        </w:tc>
        <w:tc>
          <w:tcPr>
            <w:tcW w:w="2572" w:type="dxa"/>
          </w:tcPr>
          <w:p>
            <w:pPr>
              <w:pStyle w:val="nTable"/>
              <w:spacing w:after="40"/>
              <w:rPr>
                <w:sz w:val="19"/>
              </w:rPr>
            </w:pPr>
            <w:r>
              <w:rPr>
                <w:sz w:val="19"/>
              </w:rPr>
              <w:t xml:space="preserve">1 Jan 2004 (see s. 2 and </w:t>
            </w:r>
            <w:r>
              <w:rPr>
                <w:i/>
                <w:sz w:val="19"/>
              </w:rPr>
              <w:t>Gazette</w:t>
            </w:r>
            <w:r>
              <w:rPr>
                <w:sz w:val="19"/>
              </w:rPr>
              <w:t xml:space="preserve"> 30 Dec 2003 p. 5723)</w:t>
            </w:r>
          </w:p>
        </w:tc>
      </w:tr>
      <w:tr>
        <w:trPr>
          <w:cantSplit/>
        </w:trPr>
        <w:tc>
          <w:tcPr>
            <w:tcW w:w="2278" w:type="dxa"/>
          </w:tcPr>
          <w:p>
            <w:pPr>
              <w:pStyle w:val="nTable"/>
              <w:spacing w:after="40"/>
              <w:ind w:right="113"/>
              <w:rPr>
                <w:sz w:val="19"/>
                <w:vertAlign w:val="superscript"/>
              </w:rPr>
            </w:pPr>
            <w:r>
              <w:rPr>
                <w:i/>
                <w:sz w:val="19"/>
              </w:rPr>
              <w:t>Statutes (Repeals and Minor Amendments) Act 2003</w:t>
            </w:r>
            <w:r>
              <w:rPr>
                <w:sz w:val="19"/>
              </w:rPr>
              <w:t xml:space="preserve"> s. 127 </w:t>
            </w:r>
            <w:r>
              <w:rPr>
                <w:sz w:val="19"/>
                <w:vertAlign w:val="superscript"/>
              </w:rPr>
              <w:t>3</w:t>
            </w:r>
          </w:p>
        </w:tc>
        <w:tc>
          <w:tcPr>
            <w:tcW w:w="1139"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72" w:type="dxa"/>
          </w:tcPr>
          <w:p>
            <w:pPr>
              <w:pStyle w:val="nTable"/>
              <w:spacing w:after="40"/>
              <w:rPr>
                <w:sz w:val="19"/>
              </w:rPr>
            </w:pPr>
            <w:r>
              <w:rPr>
                <w:sz w:val="19"/>
              </w:rPr>
              <w:t>15 Dec 2003 (see s. 2)</w:t>
            </w:r>
          </w:p>
        </w:tc>
      </w:tr>
      <w:tr>
        <w:trPr>
          <w:cantSplit/>
        </w:trPr>
        <w:tc>
          <w:tcPr>
            <w:tcW w:w="7125" w:type="dxa"/>
            <w:gridSpan w:val="4"/>
          </w:tcPr>
          <w:p>
            <w:pPr>
              <w:pStyle w:val="nTable"/>
              <w:spacing w:after="40"/>
              <w:rPr>
                <w:sz w:val="19"/>
              </w:rPr>
            </w:pPr>
            <w:r>
              <w:rPr>
                <w:b/>
                <w:sz w:val="19"/>
              </w:rPr>
              <w:t xml:space="preserve">Reprint 2:  The </w:t>
            </w:r>
            <w:r>
              <w:rPr>
                <w:b/>
                <w:i/>
                <w:sz w:val="19"/>
              </w:rPr>
              <w:t>Water Corporation Act 1995</w:t>
            </w:r>
            <w:r>
              <w:rPr>
                <w:i/>
                <w:sz w:val="19"/>
              </w:rPr>
              <w:t xml:space="preserve"> </w:t>
            </w:r>
            <w:r>
              <w:rPr>
                <w:b/>
                <w:sz w:val="19"/>
              </w:rPr>
              <w:t xml:space="preserve">as at 2 Jul 2004 </w:t>
            </w:r>
            <w:r>
              <w:rPr>
                <w:sz w:val="19"/>
              </w:rPr>
              <w:t>(includes amendments listed above)</w:t>
            </w:r>
          </w:p>
        </w:tc>
      </w:tr>
      <w:tr>
        <w:trPr>
          <w:cantSplit/>
        </w:trPr>
        <w:tc>
          <w:tcPr>
            <w:tcW w:w="2278" w:type="dxa"/>
          </w:tcPr>
          <w:p>
            <w:pPr>
              <w:pStyle w:val="nTable"/>
              <w:spacing w:after="40"/>
              <w:ind w:right="113"/>
              <w:rPr>
                <w:sz w:val="19"/>
                <w:vertAlign w:val="superscript"/>
              </w:rPr>
            </w:pPr>
            <w:r>
              <w:rPr>
                <w:i/>
                <w:snapToGrid w:val="0"/>
                <w:sz w:val="19"/>
                <w:lang w:val="en-US"/>
              </w:rPr>
              <w:t>Machinery of Government (Miscellaneous Amendments) Act 2006</w:t>
            </w:r>
            <w:r>
              <w:rPr>
                <w:i/>
                <w:iCs/>
                <w:snapToGrid w:val="0"/>
                <w:sz w:val="19"/>
                <w:lang w:val="en-US"/>
              </w:rPr>
              <w:t xml:space="preserve"> </w:t>
            </w:r>
            <w:r>
              <w:rPr>
                <w:snapToGrid w:val="0"/>
                <w:sz w:val="19"/>
                <w:lang w:val="en-US"/>
              </w:rPr>
              <w:t>Pt. 15 Div. 3</w:t>
            </w:r>
          </w:p>
        </w:tc>
        <w:tc>
          <w:tcPr>
            <w:tcW w:w="1139" w:type="dxa"/>
          </w:tcPr>
          <w:p>
            <w:pPr>
              <w:pStyle w:val="nTable"/>
              <w:spacing w:after="40"/>
              <w:rPr>
                <w:sz w:val="19"/>
              </w:rPr>
            </w:pPr>
            <w:r>
              <w:rPr>
                <w:snapToGrid w:val="0"/>
                <w:sz w:val="19"/>
                <w:lang w:val="en-US"/>
              </w:rPr>
              <w:t>28 of 2006</w:t>
            </w:r>
          </w:p>
        </w:tc>
        <w:tc>
          <w:tcPr>
            <w:tcW w:w="1136" w:type="dxa"/>
          </w:tcPr>
          <w:p>
            <w:pPr>
              <w:pStyle w:val="nTable"/>
              <w:spacing w:after="40"/>
              <w:rPr>
                <w:sz w:val="19"/>
              </w:rPr>
            </w:pPr>
            <w:r>
              <w:rPr>
                <w:sz w:val="19"/>
              </w:rPr>
              <w:t>26 Jun 2006</w:t>
            </w:r>
          </w:p>
        </w:tc>
        <w:tc>
          <w:tcPr>
            <w:tcW w:w="2572"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78" w:type="dxa"/>
          </w:tcPr>
          <w:p>
            <w:pPr>
              <w:pStyle w:val="nTable"/>
              <w:spacing w:after="40"/>
              <w:ind w:right="113"/>
              <w:rPr>
                <w:i/>
                <w:snapToGrid w:val="0"/>
                <w:sz w:val="19"/>
                <w:lang w:val="en-US"/>
              </w:rPr>
            </w:pPr>
            <w:r>
              <w:rPr>
                <w:i/>
                <w:sz w:val="19"/>
              </w:rPr>
              <w:t>Financial Legislation Amendment and Repeal Act 2006</w:t>
            </w:r>
            <w:r>
              <w:rPr>
                <w:iCs/>
                <w:sz w:val="19"/>
              </w:rPr>
              <w:t xml:space="preserve"> s. 4, 5(1), 14 and 17</w:t>
            </w:r>
          </w:p>
        </w:tc>
        <w:tc>
          <w:tcPr>
            <w:tcW w:w="1139" w:type="dxa"/>
          </w:tcPr>
          <w:p>
            <w:pPr>
              <w:pStyle w:val="nTable"/>
              <w:spacing w:after="40"/>
              <w:rPr>
                <w:snapToGrid w:val="0"/>
                <w:sz w:val="19"/>
                <w:lang w:val="en-US"/>
              </w:rPr>
            </w:pPr>
            <w:r>
              <w:rPr>
                <w:sz w:val="19"/>
              </w:rPr>
              <w:t>77 of 2006</w:t>
            </w:r>
          </w:p>
        </w:tc>
        <w:tc>
          <w:tcPr>
            <w:tcW w:w="1136" w:type="dxa"/>
          </w:tcPr>
          <w:p>
            <w:pPr>
              <w:pStyle w:val="nTable"/>
              <w:spacing w:after="40"/>
              <w:rPr>
                <w:sz w:val="19"/>
              </w:rPr>
            </w:pPr>
            <w:r>
              <w:rPr>
                <w:sz w:val="19"/>
              </w:rPr>
              <w:t>21 Dec 2006</w:t>
            </w:r>
          </w:p>
        </w:tc>
        <w:tc>
          <w:tcPr>
            <w:tcW w:w="2572" w:type="dxa"/>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cantSplit/>
        </w:trPr>
        <w:tc>
          <w:tcPr>
            <w:tcW w:w="2278" w:type="dxa"/>
          </w:tcPr>
          <w:p>
            <w:pPr>
              <w:pStyle w:val="nTable"/>
              <w:spacing w:after="40"/>
              <w:ind w:right="113"/>
              <w:rPr>
                <w:i/>
                <w:sz w:val="19"/>
              </w:rPr>
            </w:pPr>
            <w:r>
              <w:rPr>
                <w:i/>
                <w:snapToGrid w:val="0"/>
                <w:sz w:val="19"/>
              </w:rPr>
              <w:t>Water Resources Legislation Amendment Act 2007</w:t>
            </w:r>
            <w:r>
              <w:rPr>
                <w:iCs/>
                <w:snapToGrid w:val="0"/>
                <w:sz w:val="19"/>
              </w:rPr>
              <w:t xml:space="preserve"> Pt. 7 </w:t>
            </w:r>
            <w:r>
              <w:rPr>
                <w:iCs/>
                <w:snapToGrid w:val="0"/>
                <w:sz w:val="19"/>
                <w:vertAlign w:val="superscript"/>
              </w:rPr>
              <w:t>4</w:t>
            </w:r>
          </w:p>
        </w:tc>
        <w:tc>
          <w:tcPr>
            <w:tcW w:w="1139" w:type="dxa"/>
          </w:tcPr>
          <w:p>
            <w:pPr>
              <w:pStyle w:val="nTable"/>
              <w:spacing w:after="40"/>
              <w:rPr>
                <w:sz w:val="19"/>
              </w:rPr>
            </w:pPr>
            <w:r>
              <w:rPr>
                <w:snapToGrid w:val="0"/>
                <w:sz w:val="19"/>
                <w:lang w:val="en-US"/>
              </w:rPr>
              <w:t>38 of 2007</w:t>
            </w:r>
          </w:p>
        </w:tc>
        <w:tc>
          <w:tcPr>
            <w:tcW w:w="1136" w:type="dxa"/>
          </w:tcPr>
          <w:p>
            <w:pPr>
              <w:pStyle w:val="nTable"/>
              <w:spacing w:after="40"/>
              <w:rPr>
                <w:sz w:val="19"/>
              </w:rPr>
            </w:pPr>
            <w:r>
              <w:rPr>
                <w:sz w:val="19"/>
              </w:rPr>
              <w:t>21 Dec 2007</w:t>
            </w:r>
          </w:p>
        </w:tc>
        <w:tc>
          <w:tcPr>
            <w:tcW w:w="2572"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125" w:type="dxa"/>
            <w:gridSpan w:val="4"/>
          </w:tcPr>
          <w:p>
            <w:pPr>
              <w:pStyle w:val="nTable"/>
              <w:spacing w:after="40"/>
              <w:rPr>
                <w:sz w:val="19"/>
              </w:rPr>
            </w:pPr>
            <w:r>
              <w:rPr>
                <w:b/>
                <w:sz w:val="19"/>
              </w:rPr>
              <w:t xml:space="preserve">Reprint 3:  The </w:t>
            </w:r>
            <w:r>
              <w:rPr>
                <w:b/>
                <w:i/>
                <w:sz w:val="19"/>
              </w:rPr>
              <w:t>Water Corporation Act 1995</w:t>
            </w:r>
            <w:r>
              <w:rPr>
                <w:i/>
                <w:sz w:val="19"/>
              </w:rPr>
              <w:t xml:space="preserve"> </w:t>
            </w:r>
            <w:r>
              <w:rPr>
                <w:b/>
                <w:sz w:val="19"/>
              </w:rPr>
              <w:t xml:space="preserve">as at 4 Jul  2008 </w:t>
            </w:r>
            <w:r>
              <w:rPr>
                <w:sz w:val="19"/>
              </w:rPr>
              <w:t>(includes amendments listed above)</w:t>
            </w:r>
          </w:p>
        </w:tc>
      </w:tr>
      <w:tr>
        <w:trPr>
          <w:cantSplit/>
        </w:trPr>
        <w:tc>
          <w:tcPr>
            <w:tcW w:w="2278" w:type="dxa"/>
          </w:tcPr>
          <w:p>
            <w:pPr>
              <w:pStyle w:val="nTable"/>
              <w:spacing w:after="40"/>
              <w:ind w:right="113"/>
              <w:rPr>
                <w:iCs/>
                <w:sz w:val="19"/>
              </w:rPr>
            </w:pPr>
            <w:r>
              <w:rPr>
                <w:i/>
                <w:sz w:val="19"/>
              </w:rPr>
              <w:t>Statutes (Repeals and Miscellaneous Amendments) Act 2009</w:t>
            </w:r>
            <w:r>
              <w:rPr>
                <w:iCs/>
                <w:sz w:val="19"/>
              </w:rPr>
              <w:t xml:space="preserve"> s. 132</w:t>
            </w:r>
          </w:p>
        </w:tc>
        <w:tc>
          <w:tcPr>
            <w:tcW w:w="1139"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72" w:type="dxa"/>
          </w:tcPr>
          <w:p>
            <w:pPr>
              <w:pStyle w:val="nTable"/>
              <w:spacing w:after="40"/>
              <w:rPr>
                <w:sz w:val="19"/>
              </w:rPr>
            </w:pPr>
            <w:r>
              <w:rPr>
                <w:sz w:val="19"/>
              </w:rPr>
              <w:t>22 May 2009 (see s. 2(b))</w:t>
            </w:r>
          </w:p>
        </w:tc>
      </w:tr>
      <w:tr>
        <w:trPr>
          <w:cantSplit/>
        </w:trPr>
        <w:tc>
          <w:tcPr>
            <w:tcW w:w="2278"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9" w:type="dxa"/>
          </w:tcPr>
          <w:p>
            <w:pPr>
              <w:pStyle w:val="nTable"/>
              <w:spacing w:after="40"/>
              <w:rPr>
                <w:snapToGrid w:val="0"/>
                <w:sz w:val="19"/>
                <w:lang w:val="en-US"/>
              </w:rPr>
            </w:pPr>
            <w:r>
              <w:rPr>
                <w:snapToGrid w:val="0"/>
                <w:sz w:val="19"/>
                <w:lang w:val="en-US"/>
              </w:rPr>
              <w:t>19 of 2010</w:t>
            </w:r>
          </w:p>
        </w:tc>
        <w:tc>
          <w:tcPr>
            <w:tcW w:w="1136" w:type="dxa"/>
          </w:tcPr>
          <w:p>
            <w:pPr>
              <w:pStyle w:val="nTable"/>
              <w:spacing w:after="40"/>
              <w:rPr>
                <w:snapToGrid w:val="0"/>
                <w:sz w:val="19"/>
                <w:lang w:val="en-US"/>
              </w:rPr>
            </w:pPr>
            <w:r>
              <w:rPr>
                <w:snapToGrid w:val="0"/>
                <w:sz w:val="19"/>
                <w:lang w:val="en-US"/>
              </w:rPr>
              <w:t>28 Jun 2010</w:t>
            </w:r>
          </w:p>
        </w:tc>
        <w:tc>
          <w:tcPr>
            <w:tcW w:w="2572"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rPr>
          <w:del w:id="959" w:author="svcMRProcess" w:date="2018-09-09T23:54:00Z"/>
          <w:snapToGrid w:val="0"/>
        </w:rPr>
      </w:pPr>
      <w:del w:id="960" w:author="svcMRProcess" w:date="2018-09-09T23:54: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961" w:author="svcMRProcess" w:date="2018-09-09T23:54:00Z"/>
          <w:snapToGrid w:val="0"/>
        </w:rPr>
      </w:pPr>
      <w:bookmarkStart w:id="962" w:name="_Toc534778309"/>
      <w:bookmarkStart w:id="963" w:name="_Toc7405063"/>
      <w:bookmarkStart w:id="964" w:name="_Toc274143617"/>
      <w:del w:id="965" w:author="svcMRProcess" w:date="2018-09-09T23:54:00Z">
        <w:r>
          <w:rPr>
            <w:snapToGrid w:val="0"/>
          </w:rPr>
          <w:delText>Provisions that have not come into operation</w:delText>
        </w:r>
        <w:bookmarkEnd w:id="962"/>
        <w:bookmarkEnd w:id="963"/>
        <w:bookmarkEnd w:id="964"/>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78"/>
        <w:gridCol w:w="1139"/>
        <w:gridCol w:w="1136"/>
        <w:gridCol w:w="2572"/>
      </w:tblGrid>
      <w:tr>
        <w:trPr>
          <w:del w:id="966" w:author="svcMRProcess" w:date="2018-09-09T23:54:00Z"/>
        </w:trPr>
        <w:tc>
          <w:tcPr>
            <w:tcW w:w="2268" w:type="dxa"/>
          </w:tcPr>
          <w:p>
            <w:pPr>
              <w:pStyle w:val="nTable"/>
              <w:spacing w:after="40"/>
              <w:rPr>
                <w:del w:id="967" w:author="svcMRProcess" w:date="2018-09-09T23:54:00Z"/>
                <w:b/>
                <w:snapToGrid w:val="0"/>
                <w:sz w:val="19"/>
                <w:lang w:val="en-US"/>
              </w:rPr>
            </w:pPr>
            <w:del w:id="968" w:author="svcMRProcess" w:date="2018-09-09T23:54:00Z">
              <w:r>
                <w:rPr>
                  <w:b/>
                  <w:snapToGrid w:val="0"/>
                  <w:sz w:val="19"/>
                  <w:lang w:val="en-US"/>
                </w:rPr>
                <w:delText>Short title</w:delText>
              </w:r>
            </w:del>
          </w:p>
        </w:tc>
        <w:tc>
          <w:tcPr>
            <w:tcW w:w="1118" w:type="dxa"/>
          </w:tcPr>
          <w:p>
            <w:pPr>
              <w:pStyle w:val="nTable"/>
              <w:spacing w:after="40"/>
              <w:rPr>
                <w:del w:id="969" w:author="svcMRProcess" w:date="2018-09-09T23:54:00Z"/>
                <w:b/>
                <w:snapToGrid w:val="0"/>
                <w:sz w:val="19"/>
                <w:lang w:val="en-US"/>
              </w:rPr>
            </w:pPr>
            <w:del w:id="970" w:author="svcMRProcess" w:date="2018-09-09T23:54:00Z">
              <w:r>
                <w:rPr>
                  <w:b/>
                  <w:snapToGrid w:val="0"/>
                  <w:sz w:val="19"/>
                  <w:lang w:val="en-US"/>
                </w:rPr>
                <w:delText>Number and year</w:delText>
              </w:r>
            </w:del>
          </w:p>
        </w:tc>
        <w:tc>
          <w:tcPr>
            <w:tcW w:w="1134" w:type="dxa"/>
          </w:tcPr>
          <w:p>
            <w:pPr>
              <w:pStyle w:val="nTable"/>
              <w:spacing w:after="40"/>
              <w:rPr>
                <w:del w:id="971" w:author="svcMRProcess" w:date="2018-09-09T23:54:00Z"/>
                <w:b/>
                <w:snapToGrid w:val="0"/>
                <w:sz w:val="19"/>
                <w:lang w:val="en-US"/>
              </w:rPr>
            </w:pPr>
            <w:del w:id="972" w:author="svcMRProcess" w:date="2018-09-09T23:54:00Z">
              <w:r>
                <w:rPr>
                  <w:b/>
                  <w:snapToGrid w:val="0"/>
                  <w:sz w:val="19"/>
                  <w:lang w:val="en-US"/>
                </w:rPr>
                <w:delText>Assent</w:delText>
              </w:r>
            </w:del>
          </w:p>
        </w:tc>
        <w:tc>
          <w:tcPr>
            <w:tcW w:w="2552" w:type="dxa"/>
          </w:tcPr>
          <w:p>
            <w:pPr>
              <w:pStyle w:val="nTable"/>
              <w:spacing w:after="40"/>
              <w:rPr>
                <w:del w:id="973" w:author="svcMRProcess" w:date="2018-09-09T23:54:00Z"/>
                <w:b/>
                <w:snapToGrid w:val="0"/>
                <w:sz w:val="19"/>
                <w:lang w:val="en-US"/>
              </w:rPr>
            </w:pPr>
            <w:del w:id="974" w:author="svcMRProcess" w:date="2018-09-09T23:54:00Z">
              <w:r>
                <w:rPr>
                  <w:b/>
                  <w:snapToGrid w:val="0"/>
                  <w:sz w:val="19"/>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78" w:type="dxa"/>
            <w:tcBorders>
              <w:bottom w:val="single" w:sz="4" w:space="0" w:color="auto"/>
            </w:tcBorders>
          </w:tcPr>
          <w:p>
            <w:pPr>
              <w:pStyle w:val="nTable"/>
              <w:spacing w:after="40"/>
              <w:ind w:right="113"/>
              <w:rPr>
                <w:i/>
                <w:snapToGrid w:val="0"/>
                <w:sz w:val="19"/>
                <w:lang w:val="en-US"/>
              </w:rPr>
            </w:pPr>
            <w:r>
              <w:rPr>
                <w:i/>
                <w:snapToGrid w:val="0"/>
                <w:sz w:val="19"/>
                <w:lang w:val="en-US"/>
              </w:rPr>
              <w:t>Public Sector Reform Act 2010</w:t>
            </w:r>
            <w:r>
              <w:rPr>
                <w:iCs/>
                <w:snapToGrid w:val="0"/>
                <w:sz w:val="19"/>
                <w:lang w:val="en-US"/>
              </w:rPr>
              <w:t xml:space="preserve"> s. 87</w:t>
            </w:r>
            <w:del w:id="975" w:author="svcMRProcess" w:date="2018-09-09T23:54:00Z">
              <w:r>
                <w:rPr>
                  <w:iCs/>
                  <w:snapToGrid w:val="0"/>
                  <w:sz w:val="19"/>
                  <w:lang w:val="en-US"/>
                </w:rPr>
                <w:delText xml:space="preserve"> </w:delText>
              </w:r>
              <w:r>
                <w:rPr>
                  <w:iCs/>
                  <w:snapToGrid w:val="0"/>
                  <w:sz w:val="19"/>
                  <w:vertAlign w:val="superscript"/>
                  <w:lang w:val="en-US"/>
                </w:rPr>
                <w:delText>5</w:delText>
              </w:r>
            </w:del>
          </w:p>
        </w:tc>
        <w:tc>
          <w:tcPr>
            <w:tcW w:w="1139" w:type="dxa"/>
            <w:tcBorders>
              <w:bottom w:val="single" w:sz="4" w:space="0" w:color="auto"/>
            </w:tcBorders>
          </w:tcPr>
          <w:p>
            <w:pPr>
              <w:pStyle w:val="nTable"/>
              <w:spacing w:after="40"/>
              <w:rPr>
                <w:snapToGrid w:val="0"/>
                <w:sz w:val="19"/>
                <w:lang w:val="en-US"/>
              </w:rPr>
            </w:pPr>
            <w:r>
              <w:rPr>
                <w:snapToGrid w:val="0"/>
                <w:sz w:val="19"/>
                <w:lang w:val="en-US"/>
              </w:rPr>
              <w:t>39 of 2010</w:t>
            </w:r>
          </w:p>
        </w:tc>
        <w:tc>
          <w:tcPr>
            <w:tcW w:w="1136" w:type="dxa"/>
            <w:tcBorders>
              <w:bottom w:val="single" w:sz="4" w:space="0" w:color="auto"/>
            </w:tcBorders>
          </w:tcPr>
          <w:p>
            <w:pPr>
              <w:pStyle w:val="nTable"/>
              <w:spacing w:after="40"/>
              <w:rPr>
                <w:snapToGrid w:val="0"/>
                <w:sz w:val="19"/>
                <w:lang w:val="en-US"/>
              </w:rPr>
            </w:pPr>
            <w:r>
              <w:rPr>
                <w:sz w:val="19"/>
              </w:rPr>
              <w:t>1 Oct 2010</w:t>
            </w:r>
          </w:p>
        </w:tc>
        <w:tc>
          <w:tcPr>
            <w:tcW w:w="2572" w:type="dxa"/>
            <w:tcBorders>
              <w:bottom w:val="single" w:sz="4" w:space="0" w:color="auto"/>
            </w:tcBorders>
          </w:tcPr>
          <w:p>
            <w:pPr>
              <w:pStyle w:val="nTable"/>
              <w:spacing w:after="40"/>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bl>
    <w:p>
      <w:pPr>
        <w:pStyle w:val="nSubsection"/>
        <w:keepNext/>
        <w:keepLines/>
        <w:spacing w:before="160"/>
      </w:pPr>
      <w:r>
        <w:rPr>
          <w:vertAlign w:val="superscript"/>
        </w:rPr>
        <w:t>2</w:t>
      </w:r>
      <w:r>
        <w:tab/>
        <w:t xml:space="preserve">The </w:t>
      </w:r>
      <w:r>
        <w:rPr>
          <w:i/>
        </w:rPr>
        <w:t>Corporations (Consequential Amendments) Act (No. 3) 2003</w:t>
      </w:r>
      <w:r>
        <w:t xml:space="preserve"> s. 4 is a validation provision.</w:t>
      </w:r>
    </w:p>
    <w:p>
      <w:pPr>
        <w:pStyle w:val="nSubsection"/>
        <w:rPr>
          <w:snapToGrid w:val="0"/>
        </w:rPr>
      </w:pPr>
      <w:r>
        <w:rPr>
          <w:snapToGrid w:val="0"/>
          <w:vertAlign w:val="superscript"/>
        </w:rPr>
        <w:t>3</w:t>
      </w:r>
      <w:r>
        <w:rPr>
          <w:snapToGrid w:val="0"/>
        </w:rPr>
        <w:tab/>
        <w:t>The amendment in the</w:t>
      </w:r>
      <w:r>
        <w:rPr>
          <w:i/>
          <w:snapToGrid w:val="0"/>
        </w:rPr>
        <w:t xml:space="preserve"> </w:t>
      </w:r>
      <w:r>
        <w:rPr>
          <w:i/>
        </w:rPr>
        <w:t>Statutes (Repeals and Minor Amendments) Act 2003</w:t>
      </w:r>
      <w: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nSubsection"/>
        <w:keepNext/>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Subsection"/>
        <w:rPr>
          <w:del w:id="976" w:author="svcMRProcess" w:date="2018-09-09T23:54:00Z"/>
          <w:snapToGrid w:val="0"/>
        </w:rPr>
      </w:pPr>
      <w:del w:id="977" w:author="svcMRProcess" w:date="2018-09-09T23:54:00Z">
        <w:r>
          <w:rPr>
            <w:vertAlign w:val="superscript"/>
          </w:rPr>
          <w:delText>5</w:delText>
        </w:r>
        <w:r>
          <w:tab/>
          <w:delText xml:space="preserve">On the date as at which this compilation was prepared, </w:delText>
        </w:r>
        <w:r>
          <w:rPr>
            <w:snapToGrid w:val="0"/>
          </w:rPr>
          <w:delText xml:space="preserve">the </w:delText>
        </w:r>
        <w:r>
          <w:rPr>
            <w:i/>
            <w:snapToGrid w:val="0"/>
            <w:sz w:val="19"/>
            <w:lang w:val="en-US"/>
          </w:rPr>
          <w:delText>Public Sector Reform Act 2010</w:delText>
        </w:r>
        <w:r>
          <w:rPr>
            <w:iCs/>
            <w:snapToGrid w:val="0"/>
            <w:sz w:val="19"/>
            <w:lang w:val="en-US"/>
          </w:rPr>
          <w:delText xml:space="preserve"> s. 87</w:delText>
        </w:r>
        <w:r>
          <w:rPr>
            <w:iCs/>
            <w:snapToGrid w:val="0"/>
          </w:rPr>
          <w:delText xml:space="preserve"> </w:delText>
        </w:r>
        <w:r>
          <w:rPr>
            <w:snapToGrid w:val="0"/>
          </w:rPr>
          <w:delText>had not come into operation.  It reads as follows:</w:delText>
        </w:r>
      </w:del>
    </w:p>
    <w:p>
      <w:pPr>
        <w:pStyle w:val="BlankOpen"/>
        <w:rPr>
          <w:del w:id="978" w:author="svcMRProcess" w:date="2018-09-09T23:54:00Z"/>
        </w:rPr>
      </w:pPr>
    </w:p>
    <w:p>
      <w:pPr>
        <w:pStyle w:val="nzHeading5"/>
        <w:rPr>
          <w:del w:id="979" w:author="svcMRProcess" w:date="2018-09-09T23:54:00Z"/>
        </w:rPr>
      </w:pPr>
      <w:bookmarkStart w:id="980" w:name="_Toc273538030"/>
      <w:bookmarkStart w:id="981" w:name="_Toc273964957"/>
      <w:bookmarkStart w:id="982" w:name="_Toc273971504"/>
      <w:del w:id="983" w:author="svcMRProcess" w:date="2018-09-09T23:54:00Z">
        <w:r>
          <w:rPr>
            <w:rStyle w:val="CharSectno"/>
          </w:rPr>
          <w:delText>87</w:delText>
        </w:r>
        <w:r>
          <w:delText>.</w:delText>
        </w:r>
        <w:r>
          <w:tab/>
        </w:r>
        <w:r>
          <w:rPr>
            <w:i/>
          </w:rPr>
          <w:delText>Water Corporation Act 1995</w:delText>
        </w:r>
        <w:r>
          <w:delText xml:space="preserve"> amended</w:delText>
        </w:r>
        <w:bookmarkEnd w:id="980"/>
        <w:bookmarkEnd w:id="981"/>
        <w:bookmarkEnd w:id="982"/>
      </w:del>
    </w:p>
    <w:p>
      <w:pPr>
        <w:pStyle w:val="nzSubsection"/>
        <w:rPr>
          <w:del w:id="984" w:author="svcMRProcess" w:date="2018-09-09T23:54:00Z"/>
        </w:rPr>
      </w:pPr>
      <w:del w:id="985" w:author="svcMRProcess" w:date="2018-09-09T23:54:00Z">
        <w:r>
          <w:tab/>
          <w:delText>(1)</w:delText>
        </w:r>
        <w:r>
          <w:tab/>
          <w:delText xml:space="preserve">This section amends the </w:delText>
        </w:r>
        <w:r>
          <w:rPr>
            <w:i/>
          </w:rPr>
          <w:delText>Water Corporation Act 1995</w:delText>
        </w:r>
        <w:r>
          <w:delText>.</w:delText>
        </w:r>
      </w:del>
    </w:p>
    <w:p>
      <w:pPr>
        <w:pStyle w:val="nzSubsection"/>
        <w:rPr>
          <w:del w:id="986" w:author="svcMRProcess" w:date="2018-09-09T23:54:00Z"/>
        </w:rPr>
      </w:pPr>
      <w:del w:id="987" w:author="svcMRProcess" w:date="2018-09-09T23:54:00Z">
        <w:r>
          <w:tab/>
          <w:delText>(2)</w:delText>
        </w:r>
        <w:r>
          <w:tab/>
          <w:delText xml:space="preserve">In section 3(1) delete the definition of </w:delText>
        </w:r>
        <w:r>
          <w:rPr>
            <w:b/>
            <w:bCs/>
            <w:i/>
            <w:iCs/>
          </w:rPr>
          <w:delText>Commissioner for Public Sector Standards</w:delText>
        </w:r>
        <w:r>
          <w:delText>.</w:delText>
        </w:r>
      </w:del>
    </w:p>
    <w:p>
      <w:pPr>
        <w:pStyle w:val="nzSubsection"/>
        <w:rPr>
          <w:del w:id="988" w:author="svcMRProcess" w:date="2018-09-09T23:54:00Z"/>
        </w:rPr>
      </w:pPr>
      <w:del w:id="989" w:author="svcMRProcess" w:date="2018-09-09T23:54:00Z">
        <w:r>
          <w:tab/>
          <w:delText>(3)</w:delText>
        </w:r>
        <w:r>
          <w:tab/>
          <w:delText>In the provisions listed in the Table delete “Commissioner for Public Sector Standards” (each occurrence) and insert:</w:delText>
        </w:r>
      </w:del>
    </w:p>
    <w:p>
      <w:pPr>
        <w:pStyle w:val="BlankOpen"/>
        <w:rPr>
          <w:del w:id="990" w:author="svcMRProcess" w:date="2018-09-09T23:54:00Z"/>
        </w:rPr>
      </w:pPr>
    </w:p>
    <w:p>
      <w:pPr>
        <w:pStyle w:val="nzSubsection"/>
        <w:rPr>
          <w:del w:id="991" w:author="svcMRProcess" w:date="2018-09-09T23:54:00Z"/>
        </w:rPr>
      </w:pPr>
      <w:del w:id="992" w:author="svcMRProcess" w:date="2018-09-09T23:54:00Z">
        <w:r>
          <w:tab/>
        </w:r>
        <w:r>
          <w:tab/>
          <w:delText>Public Sector Commissioner</w:delText>
        </w:r>
      </w:del>
    </w:p>
    <w:p>
      <w:pPr>
        <w:pStyle w:val="BlankClose"/>
        <w:rPr>
          <w:del w:id="993" w:author="svcMRProcess" w:date="2018-09-09T23:54:00Z"/>
        </w:rPr>
      </w:pPr>
    </w:p>
    <w:p>
      <w:pPr>
        <w:pStyle w:val="nzMiscellaneousHeading"/>
        <w:rPr>
          <w:del w:id="994" w:author="svcMRProcess" w:date="2018-09-09T23:54:00Z"/>
          <w:b/>
          <w:bCs/>
        </w:rPr>
      </w:pPr>
      <w:del w:id="995" w:author="svcMRProcess" w:date="2018-09-09T23:54:00Z">
        <w:r>
          <w:rPr>
            <w:b/>
            <w:bCs/>
          </w:rPr>
          <w:delText>Table</w:delText>
        </w:r>
      </w:del>
    </w:p>
    <w:tbl>
      <w:tblPr>
        <w:tblW w:w="0" w:type="auto"/>
        <w:jc w:val="center"/>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347"/>
        <w:gridCol w:w="3003"/>
      </w:tblGrid>
      <w:tr>
        <w:trPr>
          <w:cantSplit/>
          <w:jc w:val="center"/>
          <w:del w:id="996" w:author="svcMRProcess" w:date="2018-09-09T23:54:00Z"/>
        </w:trPr>
        <w:tc>
          <w:tcPr>
            <w:tcW w:w="3347" w:type="dxa"/>
          </w:tcPr>
          <w:p>
            <w:pPr>
              <w:pStyle w:val="nzTable"/>
              <w:rPr>
                <w:del w:id="997" w:author="svcMRProcess" w:date="2018-09-09T23:54:00Z"/>
              </w:rPr>
            </w:pPr>
            <w:del w:id="998" w:author="svcMRProcess" w:date="2018-09-09T23:54:00Z">
              <w:r>
                <w:delText>s. 16(1), (5) and (6)</w:delText>
              </w:r>
            </w:del>
          </w:p>
        </w:tc>
        <w:tc>
          <w:tcPr>
            <w:tcW w:w="3003" w:type="dxa"/>
          </w:tcPr>
          <w:p>
            <w:pPr>
              <w:pStyle w:val="nzTable"/>
              <w:rPr>
                <w:del w:id="999" w:author="svcMRProcess" w:date="2018-09-09T23:54:00Z"/>
              </w:rPr>
            </w:pPr>
            <w:del w:id="1000" w:author="svcMRProcess" w:date="2018-09-09T23:54:00Z">
              <w:r>
                <w:delText>s. 17(1) and (3)</w:delText>
              </w:r>
            </w:del>
          </w:p>
        </w:tc>
      </w:tr>
      <w:tr>
        <w:trPr>
          <w:cantSplit/>
          <w:jc w:val="center"/>
          <w:del w:id="1001" w:author="svcMRProcess" w:date="2018-09-09T23:54:00Z"/>
        </w:trPr>
        <w:tc>
          <w:tcPr>
            <w:tcW w:w="3347" w:type="dxa"/>
          </w:tcPr>
          <w:p>
            <w:pPr>
              <w:pStyle w:val="nzTable"/>
              <w:rPr>
                <w:del w:id="1002" w:author="svcMRProcess" w:date="2018-09-09T23:54:00Z"/>
              </w:rPr>
            </w:pPr>
            <w:del w:id="1003" w:author="svcMRProcess" w:date="2018-09-09T23:54:00Z">
              <w:r>
                <w:delText>s. 24(1) and (3)</w:delText>
              </w:r>
            </w:del>
          </w:p>
        </w:tc>
        <w:tc>
          <w:tcPr>
            <w:tcW w:w="3003" w:type="dxa"/>
          </w:tcPr>
          <w:p>
            <w:pPr>
              <w:pStyle w:val="nzTable"/>
              <w:rPr>
                <w:del w:id="1004" w:author="svcMRProcess" w:date="2018-09-09T23:54:00Z"/>
              </w:rPr>
            </w:pPr>
            <w:del w:id="1005" w:author="svcMRProcess" w:date="2018-09-09T23:54:00Z">
              <w:r>
                <w:delText>s. 25(1) and (3)</w:delText>
              </w:r>
            </w:del>
          </w:p>
        </w:tc>
      </w:tr>
      <w:tr>
        <w:trPr>
          <w:cantSplit/>
          <w:jc w:val="center"/>
          <w:del w:id="1006" w:author="svcMRProcess" w:date="2018-09-09T23:54:00Z"/>
        </w:trPr>
        <w:tc>
          <w:tcPr>
            <w:tcW w:w="3347" w:type="dxa"/>
          </w:tcPr>
          <w:p>
            <w:pPr>
              <w:pStyle w:val="nzTable"/>
              <w:rPr>
                <w:del w:id="1007" w:author="svcMRProcess" w:date="2018-09-09T23:54:00Z"/>
              </w:rPr>
            </w:pPr>
            <w:del w:id="1008" w:author="svcMRProcess" w:date="2018-09-09T23:54:00Z">
              <w:r>
                <w:delText>s. 26(2)</w:delText>
              </w:r>
            </w:del>
          </w:p>
        </w:tc>
        <w:tc>
          <w:tcPr>
            <w:tcW w:w="3003" w:type="dxa"/>
          </w:tcPr>
          <w:p>
            <w:pPr>
              <w:pStyle w:val="nzTable"/>
              <w:rPr>
                <w:del w:id="1009" w:author="svcMRProcess" w:date="2018-09-09T23:54:00Z"/>
              </w:rPr>
            </w:pPr>
          </w:p>
        </w:tc>
      </w:tr>
    </w:tbl>
    <w:p>
      <w:pPr>
        <w:pStyle w:val="BlankClose"/>
        <w:rPr>
          <w:del w:id="1010" w:author="svcMRProcess" w:date="2018-09-09T23:54:00Z"/>
        </w:rPr>
      </w:pPr>
    </w:p>
    <w:p>
      <w:pPr>
        <w:pStyle w:val="BlankClose"/>
        <w:rPr>
          <w:del w:id="1011" w:author="svcMRProcess" w:date="2018-09-09T23:54:00Z"/>
        </w:rPr>
      </w:pPr>
    </w:p>
    <w:p>
      <w:bookmarkStart w:id="1012" w:name="UpToHere"/>
      <w:bookmarkEnd w:id="1012"/>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Bdr>
          <w:top w:val="double" w:sz="4" w:space="0" w:color="auto"/>
        </w:pBdr>
        <w:jc w:val="center"/>
      </w:pPr>
      <w:r>
        <w:rPr>
          <w:sz w:val="12"/>
        </w:rPr>
        <w:t>By Authority: JOHN A. STRIJK, Government Printer</w:t>
      </w:r>
    </w:p>
    <w:sectPr>
      <w:headerReference w:type="even" r:id="rId33"/>
      <w:headerReference w:type="defaul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Provisions as to constitution and proceedings of board</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constitution and proceedings of board</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Provisions as to duties of directors and related provisions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c>
        <w:tcPr>
          <w:tcW w:w="5715" w:type="dxa"/>
        </w:tcPr>
        <w:p>
          <w:pPr>
            <w:pStyle w:val="HeaderTextLeft"/>
          </w:pPr>
          <w:fldSimple w:instr=" styleref CharSDivText ">
            <w:r>
              <w:rPr>
                <w:noProof/>
              </w:rPr>
              <w:t>Other prohibited conduct</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duties of directors and related provisions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fldSimple w:instr=" styleref CharSDivText ">
            <w:r>
              <w:rPr>
                <w:noProof/>
              </w:rPr>
              <w:t>Other prohibited conduct</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Financial administration and audit</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Financial administration and audit</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fldSimple w:instr=" styleref CharPartNo ">
            <w:r>
              <w:rPr>
                <w:noProof/>
              </w:rPr>
              <w:t>Part 1</w:t>
            </w:r>
          </w:fldSimple>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separate"/>
          </w:r>
          <w:r>
            <w:rPr>
              <w:noProof/>
              <w:sz w:val="19"/>
            </w:rPr>
            <w:t>Preliminary</w: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1FC746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BCE1C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B06AE9A"/>
    <w:lvl w:ilvl="0">
      <w:start w:val="1"/>
      <w:numFmt w:val="decimal"/>
      <w:pStyle w:val="ListNumber2"/>
      <w:lvlText w:val="%1."/>
      <w:lvlJc w:val="left"/>
      <w:pPr>
        <w:tabs>
          <w:tab w:val="num" w:pos="643"/>
        </w:tabs>
        <w:ind w:left="643" w:hanging="360"/>
      </w:pPr>
    </w:lvl>
  </w:abstractNum>
  <w:abstractNum w:abstractNumId="4">
    <w:nsid w:val="FFFFFF80"/>
    <w:multiLevelType w:val="singleLevel"/>
    <w:tmpl w:val="93500C3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6E3C95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F3C3412"/>
    <w:multiLevelType w:val="multilevel"/>
    <w:tmpl w:val="D5E6606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BFAF8D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CCA51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714119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25"/>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323"/>
    <w:docVar w:name="WAFER_20151216145323" w:val="RemoveTrackChanges"/>
    <w:docVar w:name="WAFER_20151216145323_GUID" w:val="bfd13bd2-3c09-4bda-ad8a-51d4878f6c8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lang w:eastAsia="en-US"/>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lang w:eastAsia="en-US"/>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2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20438</Words>
  <Characters>98104</Characters>
  <Application>Microsoft Office Word</Application>
  <DocSecurity>0</DocSecurity>
  <Lines>2581</Lines>
  <Paragraphs>1559</Paragraphs>
  <ScaleCrop>false</ScaleCrop>
  <HeadingPairs>
    <vt:vector size="2" baseType="variant">
      <vt:variant>
        <vt:lpstr>Title</vt:lpstr>
      </vt:variant>
      <vt:variant>
        <vt:i4>1</vt:i4>
      </vt:variant>
    </vt:vector>
  </HeadingPairs>
  <TitlesOfParts>
    <vt:vector size="1" baseType="lpstr">
      <vt:lpstr>Water Corporation Act 1995</vt:lpstr>
    </vt:vector>
  </TitlesOfParts>
  <Manager/>
  <Company/>
  <LinksUpToDate>false</LinksUpToDate>
  <CharactersWithSpaces>116983</CharactersWithSpaces>
  <SharedDoc>false</SharedDoc>
  <HLinks>
    <vt:vector size="6" baseType="variant">
      <vt:variant>
        <vt:i4>65542</vt:i4>
      </vt:variant>
      <vt:variant>
        <vt:i4>-1</vt:i4>
      </vt:variant>
      <vt:variant>
        <vt:i4>1038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 Act 1995 03-f0-02 - 03-g0-02</dc:title>
  <dc:subject/>
  <dc:creator/>
  <cp:keywords/>
  <dc:description/>
  <cp:lastModifiedBy>svcMRProcess</cp:lastModifiedBy>
  <cp:revision>2</cp:revision>
  <cp:lastPrinted>2008-07-10T03:55:00Z</cp:lastPrinted>
  <dcterms:created xsi:type="dcterms:W3CDTF">2018-09-09T15:54:00Z</dcterms:created>
  <dcterms:modified xsi:type="dcterms:W3CDTF">2018-09-09T15:54:00Z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CommencementDate">
    <vt:lpwstr>20101201</vt:lpwstr>
  </property>
  <property fmtid="{D5CDD505-2E9C-101B-9397-08002B2CF9AE}" pid="4" name="DocumentType">
    <vt:lpwstr>Act</vt:lpwstr>
  </property>
  <property fmtid="{D5CDD505-2E9C-101B-9397-08002B2CF9AE}" pid="5" name="OwlsUID">
    <vt:i4>868</vt:i4>
  </property>
  <property fmtid="{D5CDD505-2E9C-101B-9397-08002B2CF9AE}" pid="6" name="ReprintNo">
    <vt:lpwstr>3</vt:lpwstr>
  </property>
  <property fmtid="{D5CDD505-2E9C-101B-9397-08002B2CF9AE}" pid="7" name="FromSuffix">
    <vt:lpwstr>03-f0-02</vt:lpwstr>
  </property>
  <property fmtid="{D5CDD505-2E9C-101B-9397-08002B2CF9AE}" pid="8" name="FromAsAtDate">
    <vt:lpwstr>05 Nov 2010</vt:lpwstr>
  </property>
  <property fmtid="{D5CDD505-2E9C-101B-9397-08002B2CF9AE}" pid="9" name="ToSuffix">
    <vt:lpwstr>03-g0-02</vt:lpwstr>
  </property>
  <property fmtid="{D5CDD505-2E9C-101B-9397-08002B2CF9AE}" pid="10" name="ToAsAtDate">
    <vt:lpwstr>01 Dec 2010</vt:lpwstr>
  </property>
</Properties>
</file>